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E773C6">
      <w:pPr>
        <w:rPr>
          <w:rFonts w:ascii="仿宋_GB2312" w:hAnsi="仿宋_GB2312" w:eastAsia="仿宋_GB2312" w:cs="仿宋_GB2312"/>
          <w:color w:val="auto"/>
          <w:sz w:val="36"/>
          <w:szCs w:val="36"/>
        </w:rPr>
      </w:pPr>
    </w:p>
    <w:p w14:paraId="71D2DDD3">
      <w:pPr>
        <w:rPr>
          <w:rFonts w:ascii="仿宋_GB2312" w:hAnsi="仿宋_GB2312" w:eastAsia="仿宋_GB2312" w:cs="仿宋_GB2312"/>
          <w:color w:val="auto"/>
          <w:sz w:val="36"/>
          <w:szCs w:val="36"/>
        </w:rPr>
      </w:pPr>
    </w:p>
    <w:p w14:paraId="2D6060F4">
      <w:pPr>
        <w:rPr>
          <w:rFonts w:hint="eastAsia" w:ascii="仿宋_GB2312" w:hAnsi="仿宋_GB2312" w:eastAsia="仿宋_GB2312" w:cs="仿宋_GB2312"/>
          <w:color w:val="auto"/>
          <w:sz w:val="36"/>
          <w:szCs w:val="36"/>
        </w:rPr>
      </w:pPr>
    </w:p>
    <w:p w14:paraId="3BF1D09B">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0EB59DFC">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2664FB8C">
      <w:pPr>
        <w:adjustRightInd w:val="0"/>
        <w:snapToGrid w:val="0"/>
        <w:spacing w:line="288" w:lineRule="auto"/>
        <w:jc w:val="center"/>
        <w:outlineLvl w:val="0"/>
        <w:rPr>
          <w:rFonts w:ascii="华文仿宋" w:hAnsi="华文仿宋" w:eastAsia="华文仿宋" w:cs="华文仿宋"/>
          <w:color w:val="auto"/>
          <w:kern w:val="44"/>
          <w:sz w:val="44"/>
          <w:szCs w:val="44"/>
        </w:rPr>
      </w:pPr>
    </w:p>
    <w:p w14:paraId="2C816F98">
      <w:pPr>
        <w:jc w:val="center"/>
        <w:rPr>
          <w:rFonts w:eastAsia="仿宋"/>
          <w:color w:val="auto"/>
          <w:sz w:val="52"/>
          <w:szCs w:val="52"/>
        </w:rPr>
      </w:pPr>
    </w:p>
    <w:p w14:paraId="52563F95">
      <w:pPr>
        <w:ind w:firstLine="1040"/>
        <w:rPr>
          <w:rFonts w:eastAsia="仿宋"/>
          <w:color w:val="auto"/>
          <w:sz w:val="44"/>
          <w:szCs w:val="44"/>
        </w:rPr>
      </w:pPr>
    </w:p>
    <w:p w14:paraId="658779CD">
      <w:pPr>
        <w:ind w:firstLine="1040"/>
        <w:rPr>
          <w:rFonts w:eastAsia="仿宋"/>
          <w:color w:val="auto"/>
          <w:sz w:val="44"/>
          <w:szCs w:val="44"/>
        </w:rPr>
      </w:pPr>
    </w:p>
    <w:p w14:paraId="19EA1DA6">
      <w:pPr>
        <w:adjustRightInd w:val="0"/>
        <w:snapToGrid w:val="0"/>
        <w:spacing w:line="288" w:lineRule="auto"/>
        <w:ind w:firstLine="1040"/>
        <w:rPr>
          <w:rFonts w:hint="eastAsia" w:ascii="仿宋_GB2312" w:eastAsia="仿宋_GB2312"/>
          <w:color w:val="auto"/>
          <w:sz w:val="36"/>
          <w:szCs w:val="36"/>
        </w:rPr>
      </w:pPr>
    </w:p>
    <w:p w14:paraId="19B2664C">
      <w:pPr>
        <w:ind w:firstLine="1040"/>
        <w:rPr>
          <w:rFonts w:eastAsia="仿宋"/>
          <w:color w:val="auto"/>
          <w:sz w:val="44"/>
          <w:szCs w:val="44"/>
        </w:rPr>
      </w:pPr>
    </w:p>
    <w:p w14:paraId="348FEC70">
      <w:pPr>
        <w:ind w:firstLine="1040"/>
        <w:rPr>
          <w:rFonts w:eastAsia="仿宋"/>
          <w:color w:val="auto"/>
          <w:sz w:val="44"/>
          <w:szCs w:val="44"/>
        </w:rPr>
      </w:pPr>
    </w:p>
    <w:p w14:paraId="19315120">
      <w:pPr>
        <w:adjustRightInd w:val="0"/>
        <w:snapToGrid w:val="0"/>
        <w:spacing w:line="288" w:lineRule="auto"/>
        <w:rPr>
          <w:rFonts w:hint="default" w:ascii="仿宋_GB2312" w:eastAsia="仿宋_GB2312"/>
          <w:color w:val="auto"/>
          <w:sz w:val="36"/>
          <w:szCs w:val="36"/>
          <w:u w:val="single"/>
          <w:lang w:val="en-US"/>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 xml:space="preserve"> 聚乙烯外护管及保温管生产</w:t>
      </w:r>
      <w:r>
        <w:rPr>
          <w:rFonts w:hint="eastAsia" w:ascii="仿宋_GB2312" w:eastAsia="仿宋_GB2312"/>
          <w:color w:val="auto"/>
          <w:sz w:val="36"/>
          <w:szCs w:val="36"/>
          <w:u w:val="single"/>
          <w:lang w:val="en-US" w:eastAsia="zh-CN"/>
        </w:rPr>
        <w:t>二次</w:t>
      </w:r>
      <w:r>
        <w:rPr>
          <w:rFonts w:hint="eastAsia" w:ascii="仿宋_GB2312" w:eastAsia="仿宋_GB2312"/>
          <w:color w:val="auto"/>
          <w:sz w:val="36"/>
          <w:szCs w:val="36"/>
          <w:u w:val="single"/>
        </w:rPr>
        <w:t>迁建项目</w:t>
      </w:r>
      <w:r>
        <w:rPr>
          <w:rFonts w:hint="eastAsia" w:ascii="仿宋_GB2312" w:eastAsia="仿宋_GB2312"/>
          <w:color w:val="auto"/>
          <w:sz w:val="36"/>
          <w:szCs w:val="36"/>
          <w:u w:val="single"/>
          <w:lang w:val="en-US" w:eastAsia="zh-CN"/>
        </w:rPr>
        <w:t xml:space="preserve">  </w:t>
      </w:r>
    </w:p>
    <w:p w14:paraId="675A15F9">
      <w:pPr>
        <w:adjustRightInd w:val="0"/>
        <w:snapToGrid w:val="0"/>
        <w:spacing w:line="288" w:lineRule="auto"/>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lang w:eastAsia="zh-CN"/>
        </w:rPr>
        <w:t>西安敏丰防腐保温工程有限公司</w:t>
      </w:r>
      <w:r>
        <w:rPr>
          <w:rFonts w:hint="eastAsia" w:ascii="仿宋_GB2312" w:eastAsia="仿宋_GB2312"/>
          <w:color w:val="auto"/>
          <w:sz w:val="36"/>
          <w:szCs w:val="36"/>
          <w:u w:val="single"/>
          <w:lang w:val="en-US" w:eastAsia="zh-CN"/>
        </w:rPr>
        <w:t xml:space="preserve"> </w:t>
      </w:r>
    </w:p>
    <w:p w14:paraId="2F9C59D2">
      <w:pPr>
        <w:adjustRightInd w:val="0"/>
        <w:snapToGrid w:val="0"/>
        <w:spacing w:line="288" w:lineRule="auto"/>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二〇二五年</w:t>
      </w:r>
      <w:r>
        <w:rPr>
          <w:rFonts w:hint="eastAsia" w:ascii="仿宋_GB2312" w:eastAsia="仿宋_GB2312"/>
          <w:color w:val="auto"/>
          <w:sz w:val="36"/>
          <w:szCs w:val="36"/>
          <w:u w:val="single"/>
          <w:lang w:val="en-US" w:eastAsia="zh-CN"/>
        </w:rPr>
        <w:t>十一</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14:paraId="045D9B1F">
      <w:pPr>
        <w:adjustRightInd w:val="0"/>
        <w:snapToGrid w:val="0"/>
        <w:spacing w:line="288" w:lineRule="auto"/>
        <w:ind w:firstLine="1040"/>
        <w:rPr>
          <w:rFonts w:ascii="仿宋_GB2312" w:eastAsia="仿宋_GB2312"/>
          <w:color w:val="auto"/>
          <w:sz w:val="36"/>
          <w:szCs w:val="36"/>
          <w:u w:val="single"/>
        </w:rPr>
      </w:pPr>
      <w:bookmarkStart w:id="0" w:name="_Hlk57884087"/>
    </w:p>
    <w:p w14:paraId="6AF1DE76">
      <w:pPr>
        <w:adjustRightInd w:val="0"/>
        <w:snapToGrid w:val="0"/>
        <w:spacing w:line="288" w:lineRule="auto"/>
        <w:ind w:firstLine="1040"/>
        <w:rPr>
          <w:rFonts w:ascii="仿宋_GB2312" w:eastAsia="仿宋_GB2312"/>
          <w:color w:val="auto"/>
          <w:sz w:val="36"/>
          <w:szCs w:val="36"/>
        </w:rPr>
      </w:pPr>
    </w:p>
    <w:p w14:paraId="0087378F">
      <w:pPr>
        <w:adjustRightInd w:val="0"/>
        <w:snapToGrid w:val="0"/>
        <w:spacing w:line="288" w:lineRule="auto"/>
        <w:ind w:firstLine="1040"/>
        <w:rPr>
          <w:rFonts w:hint="eastAsia" w:ascii="仿宋_GB2312" w:eastAsia="仿宋_GB2312"/>
          <w:color w:val="auto"/>
          <w:sz w:val="36"/>
          <w:szCs w:val="36"/>
        </w:rPr>
      </w:pPr>
    </w:p>
    <w:p w14:paraId="38D29DF5">
      <w:pPr>
        <w:adjustRightInd w:val="0"/>
        <w:snapToGrid w:val="0"/>
        <w:spacing w:line="288" w:lineRule="auto"/>
        <w:ind w:firstLine="1040"/>
        <w:rPr>
          <w:rFonts w:hint="eastAsia" w:ascii="仿宋_GB2312" w:eastAsia="仿宋_GB2312"/>
          <w:color w:val="auto"/>
          <w:sz w:val="36"/>
          <w:szCs w:val="36"/>
        </w:rPr>
      </w:pPr>
    </w:p>
    <w:p w14:paraId="16BBD60F">
      <w:pPr>
        <w:adjustRightInd w:val="0"/>
        <w:snapToGrid w:val="0"/>
        <w:spacing w:line="288" w:lineRule="auto"/>
        <w:ind w:firstLine="1040"/>
        <w:rPr>
          <w:rFonts w:hint="eastAsia" w:ascii="仿宋_GB2312" w:eastAsia="仿宋_GB2312"/>
          <w:color w:val="auto"/>
          <w:sz w:val="36"/>
          <w:szCs w:val="36"/>
        </w:rPr>
      </w:pPr>
    </w:p>
    <w:bookmarkEnd w:id="0"/>
    <w:p w14:paraId="2C1ECECB">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1481120D">
      <w:pPr>
        <w:adjustRightInd w:val="0"/>
        <w:snapToGrid w:val="0"/>
        <w:spacing w:line="288" w:lineRule="auto"/>
        <w:rPr>
          <w:rFonts w:hint="eastAsia"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D5C53DC">
      <w:pPr>
        <w:adjustRightInd w:val="0"/>
        <w:snapToGrid w:val="0"/>
        <w:spacing w:line="288" w:lineRule="auto"/>
        <w:rPr>
          <w:rFonts w:ascii="仿宋_GB2312" w:eastAsia="仿宋_GB2312"/>
          <w:color w:val="auto"/>
          <w:sz w:val="36"/>
          <w:szCs w:val="36"/>
        </w:rPr>
      </w:pPr>
    </w:p>
    <w:p w14:paraId="469106DC">
      <w:pPr>
        <w:tabs>
          <w:tab w:val="left" w:pos="3690"/>
        </w:tabs>
        <w:rPr>
          <w:rFonts w:ascii="仿宋_GB2312" w:eastAsia="仿宋_GB2312"/>
          <w:color w:val="auto"/>
          <w:sz w:val="36"/>
          <w:szCs w:val="36"/>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ascii="仿宋_GB2312" w:eastAsia="仿宋_GB2312"/>
          <w:color w:val="auto"/>
          <w:sz w:val="36"/>
          <w:szCs w:val="36"/>
        </w:rPr>
        <w:tab/>
      </w:r>
    </w:p>
    <w:p w14:paraId="7754D94B">
      <w:pPr>
        <w:pStyle w:val="24"/>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75"/>
        <w:gridCol w:w="2537"/>
        <w:gridCol w:w="1860"/>
        <w:gridCol w:w="2998"/>
      </w:tblGrid>
      <w:tr w14:paraId="4C393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1F40C8E7">
            <w:pPr>
              <w:adjustRightInd w:val="0"/>
              <w:snapToGrid w:val="0"/>
              <w:jc w:val="center"/>
              <w:rPr>
                <w:color w:val="auto"/>
                <w:sz w:val="24"/>
              </w:rPr>
            </w:pPr>
            <w:r>
              <w:rPr>
                <w:color w:val="auto"/>
                <w:sz w:val="24"/>
              </w:rPr>
              <w:t>建设项目名称</w:t>
            </w:r>
          </w:p>
        </w:tc>
        <w:tc>
          <w:tcPr>
            <w:tcW w:w="7395" w:type="dxa"/>
            <w:gridSpan w:val="3"/>
            <w:noWrap w:val="0"/>
            <w:vAlign w:val="center"/>
          </w:tcPr>
          <w:p w14:paraId="0DCAE2B9">
            <w:pPr>
              <w:adjustRightInd w:val="0"/>
              <w:snapToGrid w:val="0"/>
              <w:jc w:val="center"/>
              <w:rPr>
                <w:rFonts w:hint="default" w:eastAsia="宋体"/>
                <w:color w:val="auto"/>
                <w:sz w:val="24"/>
                <w:lang w:val="en-US" w:eastAsia="zh-CN"/>
              </w:rPr>
            </w:pPr>
            <w:r>
              <w:rPr>
                <w:rFonts w:hint="eastAsia"/>
                <w:color w:val="auto"/>
                <w:sz w:val="24"/>
                <w:lang w:val="en-US" w:eastAsia="zh-CN"/>
              </w:rPr>
              <w:t>聚乙烯外护管及保温管生产二次迁建项目</w:t>
            </w:r>
          </w:p>
        </w:tc>
      </w:tr>
      <w:tr w14:paraId="17E76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71F78872">
            <w:pPr>
              <w:adjustRightInd w:val="0"/>
              <w:snapToGrid w:val="0"/>
              <w:jc w:val="center"/>
              <w:rPr>
                <w:color w:val="auto"/>
                <w:sz w:val="24"/>
              </w:rPr>
            </w:pPr>
            <w:r>
              <w:rPr>
                <w:color w:val="auto"/>
                <w:sz w:val="24"/>
              </w:rPr>
              <w:t>项目代码</w:t>
            </w:r>
          </w:p>
        </w:tc>
        <w:tc>
          <w:tcPr>
            <w:tcW w:w="7395" w:type="dxa"/>
            <w:gridSpan w:val="3"/>
            <w:noWrap w:val="0"/>
            <w:vAlign w:val="center"/>
          </w:tcPr>
          <w:p w14:paraId="03CE05DE">
            <w:pPr>
              <w:adjustRightInd w:val="0"/>
              <w:snapToGrid w:val="0"/>
              <w:jc w:val="center"/>
              <w:rPr>
                <w:rFonts w:hint="eastAsia"/>
                <w:color w:val="auto"/>
                <w:sz w:val="24"/>
              </w:rPr>
            </w:pPr>
            <w:r>
              <w:rPr>
                <w:rFonts w:hint="eastAsia"/>
                <w:color w:val="auto"/>
                <w:sz w:val="24"/>
              </w:rPr>
              <w:t>2510-611206-04-01-514497</w:t>
            </w:r>
          </w:p>
        </w:tc>
      </w:tr>
      <w:tr w14:paraId="34439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5" w:type="dxa"/>
            <w:noWrap w:val="0"/>
            <w:tcMar>
              <w:top w:w="16" w:type="dxa"/>
              <w:left w:w="16" w:type="dxa"/>
              <w:right w:w="16" w:type="dxa"/>
            </w:tcMar>
            <w:vAlign w:val="center"/>
          </w:tcPr>
          <w:p w14:paraId="3B99CC13">
            <w:pPr>
              <w:adjustRightInd w:val="0"/>
              <w:snapToGrid w:val="0"/>
              <w:jc w:val="center"/>
              <w:rPr>
                <w:color w:val="auto"/>
                <w:sz w:val="24"/>
              </w:rPr>
            </w:pPr>
            <w:r>
              <w:rPr>
                <w:color w:val="auto"/>
                <w:sz w:val="24"/>
              </w:rPr>
              <w:t>建设单位</w:t>
            </w:r>
          </w:p>
          <w:p w14:paraId="0574791B">
            <w:pPr>
              <w:adjustRightInd w:val="0"/>
              <w:snapToGrid w:val="0"/>
              <w:jc w:val="center"/>
              <w:rPr>
                <w:color w:val="auto"/>
                <w:sz w:val="24"/>
              </w:rPr>
            </w:pPr>
            <w:r>
              <w:rPr>
                <w:color w:val="auto"/>
                <w:sz w:val="24"/>
              </w:rPr>
              <w:t>联系人</w:t>
            </w:r>
          </w:p>
        </w:tc>
        <w:tc>
          <w:tcPr>
            <w:tcW w:w="2537" w:type="dxa"/>
            <w:shd w:val="clear" w:color="auto" w:fill="auto"/>
            <w:noWrap w:val="0"/>
            <w:vAlign w:val="center"/>
          </w:tcPr>
          <w:p w14:paraId="286A5B97">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郭建勇</w:t>
            </w:r>
          </w:p>
        </w:tc>
        <w:tc>
          <w:tcPr>
            <w:tcW w:w="1860" w:type="dxa"/>
            <w:shd w:val="clear" w:color="auto" w:fill="auto"/>
            <w:noWrap w:val="0"/>
            <w:vAlign w:val="center"/>
          </w:tcPr>
          <w:p w14:paraId="370C520D">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联系方式</w:t>
            </w:r>
          </w:p>
        </w:tc>
        <w:tc>
          <w:tcPr>
            <w:tcW w:w="2998" w:type="dxa"/>
            <w:shd w:val="clear" w:color="auto" w:fill="auto"/>
            <w:noWrap w:val="0"/>
            <w:vAlign w:val="center"/>
          </w:tcPr>
          <w:p w14:paraId="20199B3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18292682555</w:t>
            </w:r>
          </w:p>
        </w:tc>
      </w:tr>
      <w:tr w14:paraId="57BEA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2BEFAE84">
            <w:pPr>
              <w:adjustRightInd w:val="0"/>
              <w:snapToGrid w:val="0"/>
              <w:jc w:val="center"/>
              <w:rPr>
                <w:color w:val="auto"/>
                <w:sz w:val="24"/>
              </w:rPr>
            </w:pPr>
            <w:r>
              <w:rPr>
                <w:color w:val="auto"/>
                <w:sz w:val="24"/>
              </w:rPr>
              <w:t>建设地点</w:t>
            </w:r>
          </w:p>
        </w:tc>
        <w:tc>
          <w:tcPr>
            <w:tcW w:w="7395" w:type="dxa"/>
            <w:gridSpan w:val="3"/>
            <w:noWrap w:val="0"/>
            <w:vAlign w:val="center"/>
          </w:tcPr>
          <w:p w14:paraId="4347F203">
            <w:pPr>
              <w:adjustRightInd w:val="0"/>
              <w:snapToGrid w:val="0"/>
              <w:jc w:val="center"/>
              <w:rPr>
                <w:color w:val="auto"/>
                <w:sz w:val="24"/>
              </w:rPr>
            </w:pPr>
            <w:r>
              <w:rPr>
                <w:rFonts w:hint="eastAsia"/>
                <w:color w:val="auto"/>
                <w:sz w:val="24"/>
              </w:rPr>
              <w:t>陕西省西咸新区泾河新城美国科技产业园宝信园区</w:t>
            </w:r>
          </w:p>
        </w:tc>
      </w:tr>
      <w:tr w14:paraId="37858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253F32B6">
            <w:pPr>
              <w:adjustRightInd w:val="0"/>
              <w:snapToGrid w:val="0"/>
              <w:jc w:val="center"/>
              <w:rPr>
                <w:color w:val="auto"/>
                <w:sz w:val="24"/>
              </w:rPr>
            </w:pPr>
            <w:r>
              <w:rPr>
                <w:color w:val="auto"/>
                <w:sz w:val="24"/>
              </w:rPr>
              <w:t>地理坐标</w:t>
            </w:r>
          </w:p>
        </w:tc>
        <w:tc>
          <w:tcPr>
            <w:tcW w:w="7395" w:type="dxa"/>
            <w:gridSpan w:val="3"/>
            <w:noWrap w:val="0"/>
            <w:vAlign w:val="center"/>
          </w:tcPr>
          <w:p w14:paraId="3C7AB393">
            <w:pPr>
              <w:jc w:val="center"/>
              <w:rPr>
                <w:color w:val="auto"/>
                <w:sz w:val="24"/>
              </w:rPr>
            </w:pPr>
            <w:r>
              <w:rPr>
                <w:color w:val="auto"/>
                <w:sz w:val="24"/>
              </w:rPr>
              <w:t>（</w:t>
            </w:r>
            <w:r>
              <w:rPr>
                <w:rFonts w:hint="eastAsia"/>
                <w:color w:val="auto"/>
                <w:sz w:val="24"/>
              </w:rPr>
              <w:t>东经</w:t>
            </w:r>
            <w:r>
              <w:rPr>
                <w:color w:val="auto"/>
                <w:sz w:val="24"/>
              </w:rPr>
              <w:t>108度</w:t>
            </w:r>
            <w:r>
              <w:rPr>
                <w:rFonts w:hint="eastAsia"/>
                <w:color w:val="auto"/>
                <w:sz w:val="24"/>
                <w:lang w:val="en-US" w:eastAsia="zh-CN"/>
              </w:rPr>
              <w:t>54</w:t>
            </w:r>
            <w:r>
              <w:rPr>
                <w:color w:val="auto"/>
                <w:sz w:val="24"/>
              </w:rPr>
              <w:t>分</w:t>
            </w:r>
            <w:r>
              <w:rPr>
                <w:rFonts w:hint="eastAsia"/>
                <w:color w:val="auto"/>
                <w:sz w:val="24"/>
                <w:lang w:val="en-US" w:eastAsia="zh-CN"/>
              </w:rPr>
              <w:t>1.240</w:t>
            </w:r>
            <w:r>
              <w:rPr>
                <w:color w:val="auto"/>
                <w:sz w:val="24"/>
              </w:rPr>
              <w:t>秒，</w:t>
            </w:r>
            <w:r>
              <w:rPr>
                <w:rFonts w:hint="eastAsia"/>
                <w:color w:val="auto"/>
                <w:sz w:val="24"/>
              </w:rPr>
              <w:t>北纬34</w:t>
            </w:r>
            <w:r>
              <w:rPr>
                <w:color w:val="auto"/>
                <w:sz w:val="24"/>
              </w:rPr>
              <w:t>度</w:t>
            </w:r>
            <w:r>
              <w:rPr>
                <w:rFonts w:hint="eastAsia"/>
                <w:color w:val="auto"/>
                <w:sz w:val="24"/>
                <w:lang w:val="en-US" w:eastAsia="zh-CN"/>
              </w:rPr>
              <w:t>32</w:t>
            </w:r>
            <w:r>
              <w:rPr>
                <w:color w:val="auto"/>
                <w:sz w:val="24"/>
              </w:rPr>
              <w:t>分</w:t>
            </w:r>
            <w:r>
              <w:rPr>
                <w:rFonts w:hint="eastAsia"/>
                <w:color w:val="auto"/>
                <w:sz w:val="24"/>
                <w:lang w:val="en-US" w:eastAsia="zh-CN"/>
              </w:rPr>
              <w:t>0.815</w:t>
            </w:r>
            <w:r>
              <w:rPr>
                <w:color w:val="auto"/>
                <w:sz w:val="24"/>
              </w:rPr>
              <w:t>秒）</w:t>
            </w:r>
          </w:p>
        </w:tc>
      </w:tr>
      <w:tr w14:paraId="38876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75" w:type="dxa"/>
            <w:noWrap w:val="0"/>
            <w:tcMar>
              <w:top w:w="16" w:type="dxa"/>
              <w:left w:w="16" w:type="dxa"/>
              <w:right w:w="16" w:type="dxa"/>
            </w:tcMar>
            <w:vAlign w:val="center"/>
          </w:tcPr>
          <w:p w14:paraId="56B21F98">
            <w:pPr>
              <w:adjustRightInd w:val="0"/>
              <w:snapToGrid w:val="0"/>
              <w:jc w:val="center"/>
              <w:rPr>
                <w:color w:val="auto"/>
                <w:sz w:val="24"/>
              </w:rPr>
            </w:pPr>
            <w:r>
              <w:rPr>
                <w:color w:val="auto"/>
                <w:sz w:val="24"/>
              </w:rPr>
              <w:t>国民经济</w:t>
            </w:r>
          </w:p>
          <w:p w14:paraId="7F8DEE15">
            <w:pPr>
              <w:adjustRightInd w:val="0"/>
              <w:snapToGrid w:val="0"/>
              <w:jc w:val="center"/>
              <w:rPr>
                <w:color w:val="auto"/>
                <w:sz w:val="24"/>
              </w:rPr>
            </w:pPr>
            <w:r>
              <w:rPr>
                <w:color w:val="auto"/>
                <w:sz w:val="24"/>
              </w:rPr>
              <w:t>行业类别</w:t>
            </w:r>
          </w:p>
        </w:tc>
        <w:tc>
          <w:tcPr>
            <w:tcW w:w="2537" w:type="dxa"/>
            <w:noWrap w:val="0"/>
            <w:vAlign w:val="center"/>
          </w:tcPr>
          <w:p w14:paraId="7CC69F23">
            <w:pPr>
              <w:adjustRightInd w:val="0"/>
              <w:snapToGrid w:val="0"/>
              <w:jc w:val="center"/>
              <w:rPr>
                <w:rFonts w:hint="eastAsia" w:eastAsia="宋体"/>
                <w:color w:val="auto"/>
                <w:sz w:val="24"/>
                <w:lang w:eastAsia="zh-CN"/>
              </w:rPr>
            </w:pPr>
            <w:r>
              <w:rPr>
                <w:rFonts w:hint="default" w:ascii="Times New Roman" w:hAnsi="Times New Roman" w:cs="Times New Roman"/>
                <w:color w:val="auto"/>
                <w:sz w:val="24"/>
                <w:szCs w:val="24"/>
              </w:rPr>
              <w:t>C2922塑料板、管、型材制造，C2924泡沫塑料制造</w:t>
            </w:r>
          </w:p>
        </w:tc>
        <w:tc>
          <w:tcPr>
            <w:tcW w:w="1860" w:type="dxa"/>
            <w:noWrap w:val="0"/>
            <w:vAlign w:val="center"/>
          </w:tcPr>
          <w:p w14:paraId="4EEC7CFC">
            <w:pPr>
              <w:adjustRightInd w:val="0"/>
              <w:snapToGrid w:val="0"/>
              <w:jc w:val="center"/>
              <w:rPr>
                <w:color w:val="auto"/>
                <w:sz w:val="24"/>
              </w:rPr>
            </w:pPr>
            <w:r>
              <w:rPr>
                <w:color w:val="auto"/>
                <w:sz w:val="24"/>
              </w:rPr>
              <w:t>建设项目</w:t>
            </w:r>
          </w:p>
          <w:p w14:paraId="59ADE082">
            <w:pPr>
              <w:adjustRightInd w:val="0"/>
              <w:snapToGrid w:val="0"/>
              <w:jc w:val="center"/>
              <w:rPr>
                <w:color w:val="auto"/>
                <w:sz w:val="24"/>
              </w:rPr>
            </w:pPr>
            <w:r>
              <w:rPr>
                <w:color w:val="auto"/>
                <w:sz w:val="24"/>
              </w:rPr>
              <w:t>行业类别</w:t>
            </w:r>
          </w:p>
        </w:tc>
        <w:tc>
          <w:tcPr>
            <w:tcW w:w="2998" w:type="dxa"/>
            <w:shd w:val="clear" w:color="auto" w:fill="auto"/>
            <w:noWrap w:val="0"/>
            <w:vAlign w:val="center"/>
          </w:tcPr>
          <w:p w14:paraId="5915193F">
            <w:pPr>
              <w:keepNext w:val="0"/>
              <w:keepLines w:val="0"/>
              <w:pageBreakBefore w:val="0"/>
              <w:widowControl w:val="0"/>
              <w:kinsoku/>
              <w:wordWrap/>
              <w:overflowPunct/>
              <w:topLinePunct w:val="0"/>
              <w:autoSpaceDE/>
              <w:autoSpaceDN/>
              <w:bidi w:val="0"/>
              <w:adjustRightInd w:val="0"/>
              <w:snapToGrid w:val="0"/>
              <w:ind w:left="105" w:leftChars="5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二十六</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橡胶和塑料制品业</w:t>
            </w:r>
            <w:r>
              <w:rPr>
                <w:rFonts w:hint="eastAsia" w:ascii="Times New Roman" w:hAnsi="Times New Roman" w:cs="Times New Roman"/>
                <w:color w:val="auto"/>
                <w:sz w:val="24"/>
                <w:szCs w:val="24"/>
                <w:lang w:val="en-US" w:eastAsia="zh-CN"/>
              </w:rPr>
              <w:t xml:space="preserve">29 </w:t>
            </w:r>
            <w:r>
              <w:rPr>
                <w:rFonts w:hint="default" w:ascii="Times New Roman" w:hAnsi="Times New Roman" w:cs="Times New Roman"/>
                <w:color w:val="auto"/>
                <w:sz w:val="24"/>
                <w:szCs w:val="24"/>
              </w:rPr>
              <w:t>53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塑料制品制造</w:t>
            </w:r>
            <w:r>
              <w:rPr>
                <w:color w:val="auto"/>
                <w:sz w:val="24"/>
              </w:rPr>
              <w:t>292-其他</w:t>
            </w:r>
          </w:p>
        </w:tc>
      </w:tr>
      <w:tr w14:paraId="492CB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75" w:type="dxa"/>
            <w:noWrap w:val="0"/>
            <w:tcMar>
              <w:top w:w="16" w:type="dxa"/>
              <w:left w:w="16" w:type="dxa"/>
              <w:right w:w="16" w:type="dxa"/>
            </w:tcMar>
            <w:vAlign w:val="center"/>
          </w:tcPr>
          <w:p w14:paraId="31F8459F">
            <w:pPr>
              <w:adjustRightInd w:val="0"/>
              <w:snapToGrid w:val="0"/>
              <w:jc w:val="center"/>
              <w:rPr>
                <w:color w:val="auto"/>
                <w:sz w:val="24"/>
              </w:rPr>
            </w:pPr>
            <w:r>
              <w:rPr>
                <w:color w:val="auto"/>
                <w:sz w:val="24"/>
              </w:rPr>
              <w:t>建设性质</w:t>
            </w:r>
          </w:p>
        </w:tc>
        <w:tc>
          <w:tcPr>
            <w:tcW w:w="2537" w:type="dxa"/>
            <w:noWrap w:val="0"/>
            <w:vAlign w:val="center"/>
          </w:tcPr>
          <w:p w14:paraId="47F80B99">
            <w:pPr>
              <w:jc w:val="left"/>
              <w:rPr>
                <w:rFonts w:hint="eastAsia" w:eastAsia="宋体"/>
                <w:color w:val="auto"/>
                <w:sz w:val="24"/>
                <w:lang w:eastAsia="zh-CN"/>
              </w:rPr>
            </w:pPr>
            <w:r>
              <w:rPr>
                <w:color w:val="auto"/>
                <w:sz w:val="24"/>
              </w:rPr>
              <w:sym w:font="Wingdings 2" w:char="0052"/>
            </w:r>
            <w:r>
              <w:rPr>
                <w:color w:val="auto"/>
                <w:sz w:val="24"/>
              </w:rPr>
              <w:t>新建</w:t>
            </w:r>
            <w:r>
              <w:rPr>
                <w:rFonts w:hint="eastAsia"/>
                <w:color w:val="auto"/>
                <w:sz w:val="24"/>
                <w:lang w:eastAsia="zh-CN"/>
              </w:rPr>
              <w:t>（</w:t>
            </w:r>
            <w:r>
              <w:rPr>
                <w:rFonts w:hint="eastAsia"/>
                <w:color w:val="auto"/>
                <w:sz w:val="24"/>
                <w:lang w:val="en-US" w:eastAsia="zh-CN"/>
              </w:rPr>
              <w:t>迁建</w:t>
            </w:r>
            <w:r>
              <w:rPr>
                <w:rFonts w:hint="eastAsia"/>
                <w:color w:val="auto"/>
                <w:sz w:val="24"/>
                <w:lang w:eastAsia="zh-CN"/>
              </w:rPr>
              <w:t>）</w:t>
            </w:r>
          </w:p>
          <w:p w14:paraId="6899E8B4">
            <w:pPr>
              <w:jc w:val="left"/>
              <w:rPr>
                <w:color w:val="auto"/>
                <w:sz w:val="24"/>
              </w:rPr>
            </w:pPr>
            <w:r>
              <w:rPr>
                <w:color w:val="auto"/>
                <w:sz w:val="24"/>
              </w:rPr>
              <w:sym w:font="Wingdings 2" w:char="00A3"/>
            </w:r>
            <w:r>
              <w:rPr>
                <w:color w:val="auto"/>
                <w:sz w:val="24"/>
              </w:rPr>
              <w:t>改建</w:t>
            </w:r>
          </w:p>
          <w:p w14:paraId="1EA34962">
            <w:pPr>
              <w:jc w:val="left"/>
              <w:rPr>
                <w:color w:val="auto"/>
                <w:sz w:val="24"/>
              </w:rPr>
            </w:pPr>
            <w:r>
              <w:rPr>
                <w:color w:val="auto"/>
                <w:sz w:val="24"/>
              </w:rPr>
              <w:sym w:font="Wingdings 2" w:char="00A3"/>
            </w:r>
            <w:r>
              <w:rPr>
                <w:color w:val="auto"/>
                <w:sz w:val="24"/>
              </w:rPr>
              <w:t>扩建</w:t>
            </w:r>
          </w:p>
          <w:p w14:paraId="0B84008A">
            <w:pPr>
              <w:jc w:val="left"/>
              <w:rPr>
                <w:color w:val="auto"/>
                <w:sz w:val="24"/>
              </w:rPr>
            </w:pPr>
            <w:r>
              <w:rPr>
                <w:color w:val="auto"/>
                <w:sz w:val="24"/>
              </w:rPr>
              <w:sym w:font="Wingdings 2" w:char="00A3"/>
            </w:r>
            <w:r>
              <w:rPr>
                <w:color w:val="auto"/>
                <w:sz w:val="24"/>
              </w:rPr>
              <w:t>技术改造</w:t>
            </w:r>
          </w:p>
        </w:tc>
        <w:tc>
          <w:tcPr>
            <w:tcW w:w="1860" w:type="dxa"/>
            <w:noWrap w:val="0"/>
            <w:vAlign w:val="center"/>
          </w:tcPr>
          <w:p w14:paraId="08F2F3FF">
            <w:pPr>
              <w:adjustRightInd w:val="0"/>
              <w:snapToGrid w:val="0"/>
              <w:jc w:val="center"/>
              <w:rPr>
                <w:color w:val="auto"/>
                <w:sz w:val="24"/>
              </w:rPr>
            </w:pPr>
            <w:r>
              <w:rPr>
                <w:color w:val="auto"/>
                <w:sz w:val="24"/>
              </w:rPr>
              <w:t>建设项目</w:t>
            </w:r>
          </w:p>
          <w:p w14:paraId="2D0AFBA9">
            <w:pPr>
              <w:adjustRightInd w:val="0"/>
              <w:snapToGrid w:val="0"/>
              <w:jc w:val="center"/>
              <w:rPr>
                <w:color w:val="auto"/>
                <w:sz w:val="24"/>
              </w:rPr>
            </w:pPr>
            <w:r>
              <w:rPr>
                <w:color w:val="auto"/>
                <w:sz w:val="24"/>
              </w:rPr>
              <w:t>申报情形</w:t>
            </w:r>
          </w:p>
        </w:tc>
        <w:tc>
          <w:tcPr>
            <w:tcW w:w="2998" w:type="dxa"/>
            <w:noWrap w:val="0"/>
            <w:vAlign w:val="center"/>
          </w:tcPr>
          <w:p w14:paraId="445D5F37">
            <w:pPr>
              <w:jc w:val="left"/>
              <w:rPr>
                <w:color w:val="auto"/>
                <w:sz w:val="24"/>
              </w:rPr>
            </w:pPr>
            <w:r>
              <w:rPr>
                <w:color w:val="auto"/>
                <w:sz w:val="24"/>
              </w:rPr>
              <w:sym w:font="Wingdings 2" w:char="0052"/>
            </w:r>
            <w:r>
              <w:rPr>
                <w:color w:val="auto"/>
                <w:sz w:val="24"/>
              </w:rPr>
              <w:t>首次申报项目</w:t>
            </w:r>
          </w:p>
          <w:p w14:paraId="635BD64A">
            <w:pPr>
              <w:jc w:val="left"/>
              <w:rPr>
                <w:color w:val="auto"/>
                <w:sz w:val="24"/>
              </w:rPr>
            </w:pPr>
            <w:r>
              <w:rPr>
                <w:color w:val="auto"/>
                <w:sz w:val="24"/>
              </w:rPr>
              <w:sym w:font="Wingdings 2" w:char="00A3"/>
            </w:r>
            <w:r>
              <w:rPr>
                <w:color w:val="auto"/>
                <w:sz w:val="24"/>
              </w:rPr>
              <w:t>不予批准后再次申报项目</w:t>
            </w:r>
          </w:p>
          <w:p w14:paraId="0EC82A40">
            <w:pPr>
              <w:jc w:val="left"/>
              <w:rPr>
                <w:color w:val="auto"/>
                <w:sz w:val="24"/>
              </w:rPr>
            </w:pPr>
            <w:r>
              <w:rPr>
                <w:color w:val="auto"/>
                <w:sz w:val="24"/>
              </w:rPr>
              <w:sym w:font="Wingdings 2" w:char="00A3"/>
            </w:r>
            <w:r>
              <w:rPr>
                <w:color w:val="auto"/>
                <w:sz w:val="24"/>
              </w:rPr>
              <w:t>超五年重新审核项目</w:t>
            </w:r>
          </w:p>
          <w:p w14:paraId="5A8908A6">
            <w:pPr>
              <w:jc w:val="left"/>
              <w:rPr>
                <w:color w:val="auto"/>
                <w:sz w:val="24"/>
              </w:rPr>
            </w:pPr>
            <w:r>
              <w:rPr>
                <w:color w:val="auto"/>
                <w:sz w:val="24"/>
              </w:rPr>
              <w:sym w:font="Wingdings 2" w:char="00A3"/>
            </w:r>
            <w:r>
              <w:rPr>
                <w:color w:val="auto"/>
                <w:sz w:val="24"/>
              </w:rPr>
              <w:t>重大变动重新报批项目</w:t>
            </w:r>
          </w:p>
        </w:tc>
      </w:tr>
      <w:tr w14:paraId="6A8AF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5" w:type="dxa"/>
            <w:noWrap w:val="0"/>
            <w:tcMar>
              <w:top w:w="16" w:type="dxa"/>
              <w:left w:w="16" w:type="dxa"/>
              <w:right w:w="16" w:type="dxa"/>
            </w:tcMar>
            <w:vAlign w:val="center"/>
          </w:tcPr>
          <w:p w14:paraId="603CDF8A">
            <w:pPr>
              <w:adjustRightInd w:val="0"/>
              <w:snapToGrid w:val="0"/>
              <w:jc w:val="center"/>
              <w:rPr>
                <w:color w:val="auto"/>
                <w:sz w:val="24"/>
              </w:rPr>
            </w:pPr>
            <w:r>
              <w:rPr>
                <w:color w:val="auto"/>
                <w:sz w:val="24"/>
              </w:rPr>
              <w:t>项目审批（核准/备案）部门（选填）</w:t>
            </w:r>
          </w:p>
        </w:tc>
        <w:tc>
          <w:tcPr>
            <w:tcW w:w="2537" w:type="dxa"/>
            <w:noWrap w:val="0"/>
            <w:vAlign w:val="center"/>
          </w:tcPr>
          <w:p w14:paraId="29F5550D">
            <w:pPr>
              <w:adjustRightInd w:val="0"/>
              <w:snapToGrid w:val="0"/>
              <w:jc w:val="center"/>
              <w:rPr>
                <w:color w:val="auto"/>
                <w:sz w:val="24"/>
              </w:rPr>
            </w:pPr>
            <w:r>
              <w:rPr>
                <w:rFonts w:hint="eastAsia"/>
                <w:color w:val="auto"/>
                <w:sz w:val="24"/>
              </w:rPr>
              <w:t>/</w:t>
            </w:r>
          </w:p>
        </w:tc>
        <w:tc>
          <w:tcPr>
            <w:tcW w:w="1860" w:type="dxa"/>
            <w:noWrap w:val="0"/>
            <w:vAlign w:val="center"/>
          </w:tcPr>
          <w:p w14:paraId="6697CB7D">
            <w:pPr>
              <w:adjustRightInd w:val="0"/>
              <w:snapToGrid w:val="0"/>
              <w:jc w:val="center"/>
              <w:rPr>
                <w:color w:val="auto"/>
                <w:sz w:val="24"/>
              </w:rPr>
            </w:pPr>
            <w:r>
              <w:rPr>
                <w:color w:val="auto"/>
                <w:sz w:val="24"/>
              </w:rPr>
              <w:t>项目审批（核准/</w:t>
            </w:r>
          </w:p>
          <w:p w14:paraId="214DE3E7">
            <w:pPr>
              <w:adjustRightInd w:val="0"/>
              <w:snapToGrid w:val="0"/>
              <w:jc w:val="center"/>
              <w:rPr>
                <w:color w:val="auto"/>
                <w:sz w:val="24"/>
              </w:rPr>
            </w:pPr>
            <w:r>
              <w:rPr>
                <w:color w:val="auto"/>
                <w:sz w:val="24"/>
              </w:rPr>
              <w:t>备案）文号（选填）</w:t>
            </w:r>
          </w:p>
        </w:tc>
        <w:tc>
          <w:tcPr>
            <w:tcW w:w="2998" w:type="dxa"/>
            <w:noWrap w:val="0"/>
            <w:vAlign w:val="center"/>
          </w:tcPr>
          <w:p w14:paraId="5E833B2C">
            <w:pPr>
              <w:adjustRightInd w:val="0"/>
              <w:snapToGrid w:val="0"/>
              <w:jc w:val="center"/>
              <w:rPr>
                <w:color w:val="auto"/>
                <w:sz w:val="24"/>
              </w:rPr>
            </w:pPr>
            <w:r>
              <w:rPr>
                <w:rFonts w:hint="eastAsia"/>
                <w:color w:val="auto"/>
                <w:sz w:val="24"/>
              </w:rPr>
              <w:t>/</w:t>
            </w:r>
          </w:p>
        </w:tc>
      </w:tr>
      <w:tr w14:paraId="1E213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3BC5C919">
            <w:pPr>
              <w:adjustRightInd w:val="0"/>
              <w:snapToGrid w:val="0"/>
              <w:jc w:val="center"/>
              <w:rPr>
                <w:color w:val="auto"/>
                <w:sz w:val="24"/>
              </w:rPr>
            </w:pPr>
            <w:r>
              <w:rPr>
                <w:color w:val="auto"/>
                <w:sz w:val="24"/>
              </w:rPr>
              <w:t>总投资（万元）</w:t>
            </w:r>
          </w:p>
        </w:tc>
        <w:tc>
          <w:tcPr>
            <w:tcW w:w="2537" w:type="dxa"/>
            <w:noWrap w:val="0"/>
            <w:vAlign w:val="center"/>
          </w:tcPr>
          <w:p w14:paraId="24681D4C">
            <w:pPr>
              <w:adjustRightInd w:val="0"/>
              <w:snapToGrid w:val="0"/>
              <w:jc w:val="center"/>
              <w:rPr>
                <w:rFonts w:hint="default" w:eastAsia="宋体"/>
                <w:color w:val="auto"/>
                <w:sz w:val="24"/>
                <w:lang w:val="en-US" w:eastAsia="zh-CN"/>
              </w:rPr>
            </w:pPr>
            <w:r>
              <w:rPr>
                <w:rFonts w:hint="eastAsia"/>
                <w:color w:val="auto"/>
                <w:sz w:val="24"/>
                <w:lang w:val="en-US" w:eastAsia="zh-CN"/>
              </w:rPr>
              <w:t>310</w:t>
            </w:r>
          </w:p>
        </w:tc>
        <w:tc>
          <w:tcPr>
            <w:tcW w:w="1860" w:type="dxa"/>
            <w:noWrap w:val="0"/>
            <w:tcMar>
              <w:top w:w="16" w:type="dxa"/>
              <w:left w:w="16" w:type="dxa"/>
              <w:right w:w="16" w:type="dxa"/>
            </w:tcMar>
            <w:vAlign w:val="center"/>
          </w:tcPr>
          <w:p w14:paraId="0BC0FAE9">
            <w:pPr>
              <w:adjustRightInd w:val="0"/>
              <w:snapToGrid w:val="0"/>
              <w:jc w:val="center"/>
              <w:rPr>
                <w:color w:val="auto"/>
                <w:sz w:val="24"/>
              </w:rPr>
            </w:pPr>
            <w:r>
              <w:rPr>
                <w:color w:val="auto"/>
                <w:sz w:val="24"/>
              </w:rPr>
              <w:t>环保投资（万元）</w:t>
            </w:r>
          </w:p>
        </w:tc>
        <w:tc>
          <w:tcPr>
            <w:tcW w:w="2998" w:type="dxa"/>
            <w:noWrap w:val="0"/>
            <w:vAlign w:val="center"/>
          </w:tcPr>
          <w:p w14:paraId="347980B8">
            <w:pPr>
              <w:adjustRightInd w:val="0"/>
              <w:snapToGrid w:val="0"/>
              <w:jc w:val="center"/>
              <w:rPr>
                <w:rFonts w:hint="default" w:eastAsia="宋体"/>
                <w:color w:val="auto"/>
                <w:sz w:val="24"/>
                <w:lang w:val="en-US" w:eastAsia="zh-CN"/>
              </w:rPr>
            </w:pPr>
            <w:r>
              <w:rPr>
                <w:rFonts w:hint="eastAsia"/>
                <w:color w:val="auto"/>
                <w:sz w:val="24"/>
                <w:lang w:val="en-US" w:eastAsia="zh-CN"/>
              </w:rPr>
              <w:t>15.6</w:t>
            </w:r>
          </w:p>
        </w:tc>
      </w:tr>
      <w:tr w14:paraId="1F672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5" w:type="dxa"/>
            <w:noWrap w:val="0"/>
            <w:tcMar>
              <w:top w:w="16" w:type="dxa"/>
              <w:left w:w="16" w:type="dxa"/>
              <w:right w:w="16" w:type="dxa"/>
            </w:tcMar>
            <w:vAlign w:val="center"/>
          </w:tcPr>
          <w:p w14:paraId="32519E7D">
            <w:pPr>
              <w:adjustRightInd w:val="0"/>
              <w:snapToGrid w:val="0"/>
              <w:jc w:val="center"/>
              <w:rPr>
                <w:color w:val="auto"/>
                <w:sz w:val="24"/>
              </w:rPr>
            </w:pPr>
            <w:r>
              <w:rPr>
                <w:color w:val="auto"/>
                <w:sz w:val="24"/>
              </w:rPr>
              <w:t>环保投资占比（%）</w:t>
            </w:r>
          </w:p>
        </w:tc>
        <w:tc>
          <w:tcPr>
            <w:tcW w:w="2537" w:type="dxa"/>
            <w:noWrap w:val="0"/>
            <w:vAlign w:val="center"/>
          </w:tcPr>
          <w:p w14:paraId="1FDB6B01">
            <w:pPr>
              <w:adjustRightInd w:val="0"/>
              <w:snapToGrid w:val="0"/>
              <w:jc w:val="center"/>
              <w:rPr>
                <w:rFonts w:hint="default" w:eastAsia="宋体"/>
                <w:color w:val="auto"/>
                <w:sz w:val="24"/>
                <w:lang w:val="en-US" w:eastAsia="zh-CN"/>
              </w:rPr>
            </w:pPr>
            <w:r>
              <w:rPr>
                <w:rFonts w:hint="eastAsia"/>
                <w:color w:val="auto"/>
                <w:sz w:val="24"/>
                <w:lang w:val="en-US" w:eastAsia="zh-CN"/>
              </w:rPr>
              <w:t>5.03</w:t>
            </w:r>
          </w:p>
        </w:tc>
        <w:tc>
          <w:tcPr>
            <w:tcW w:w="1860" w:type="dxa"/>
            <w:noWrap w:val="0"/>
            <w:tcMar>
              <w:top w:w="16" w:type="dxa"/>
              <w:left w:w="16" w:type="dxa"/>
              <w:right w:w="16" w:type="dxa"/>
            </w:tcMar>
            <w:vAlign w:val="center"/>
          </w:tcPr>
          <w:p w14:paraId="607D6D26">
            <w:pPr>
              <w:adjustRightInd w:val="0"/>
              <w:snapToGrid w:val="0"/>
              <w:jc w:val="center"/>
              <w:rPr>
                <w:color w:val="auto"/>
                <w:sz w:val="24"/>
              </w:rPr>
            </w:pPr>
            <w:r>
              <w:rPr>
                <w:color w:val="auto"/>
                <w:sz w:val="24"/>
              </w:rPr>
              <w:t>施工工期</w:t>
            </w:r>
          </w:p>
        </w:tc>
        <w:tc>
          <w:tcPr>
            <w:tcW w:w="2998" w:type="dxa"/>
            <w:noWrap w:val="0"/>
            <w:vAlign w:val="center"/>
          </w:tcPr>
          <w:p w14:paraId="5C41773E">
            <w:pPr>
              <w:adjustRightInd w:val="0"/>
              <w:snapToGrid w:val="0"/>
              <w:jc w:val="center"/>
              <w:rPr>
                <w:rFonts w:hint="default" w:eastAsia="宋体"/>
                <w:color w:val="auto"/>
                <w:sz w:val="24"/>
                <w:lang w:val="en-US" w:eastAsia="zh-CN"/>
              </w:rPr>
            </w:pPr>
            <w:r>
              <w:rPr>
                <w:rFonts w:hint="eastAsia"/>
                <w:color w:val="auto"/>
                <w:sz w:val="24"/>
                <w:lang w:val="en-US" w:eastAsia="zh-CN"/>
              </w:rPr>
              <w:t>1个月</w:t>
            </w:r>
          </w:p>
        </w:tc>
      </w:tr>
      <w:tr w14:paraId="68CE9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5" w:type="dxa"/>
            <w:noWrap w:val="0"/>
            <w:tcMar>
              <w:top w:w="16" w:type="dxa"/>
              <w:left w:w="16" w:type="dxa"/>
              <w:right w:w="16" w:type="dxa"/>
            </w:tcMar>
            <w:vAlign w:val="center"/>
          </w:tcPr>
          <w:p w14:paraId="70ECB11A">
            <w:pPr>
              <w:adjustRightInd w:val="0"/>
              <w:snapToGrid w:val="0"/>
              <w:jc w:val="center"/>
              <w:rPr>
                <w:color w:val="auto"/>
                <w:sz w:val="24"/>
              </w:rPr>
            </w:pPr>
            <w:r>
              <w:rPr>
                <w:color w:val="auto"/>
                <w:sz w:val="24"/>
              </w:rPr>
              <w:t>是否开工建设</w:t>
            </w:r>
          </w:p>
        </w:tc>
        <w:tc>
          <w:tcPr>
            <w:tcW w:w="2537" w:type="dxa"/>
            <w:noWrap w:val="0"/>
            <w:vAlign w:val="center"/>
          </w:tcPr>
          <w:p w14:paraId="6A7ADBC0">
            <w:pPr>
              <w:adjustRightInd w:val="0"/>
              <w:snapToGrid w:val="0"/>
              <w:rPr>
                <w:color w:val="auto"/>
                <w:sz w:val="24"/>
              </w:rPr>
            </w:pPr>
            <w:r>
              <w:rPr>
                <w:color w:val="auto"/>
                <w:sz w:val="24"/>
              </w:rPr>
              <w:sym w:font="Wingdings 2" w:char="0052"/>
            </w:r>
            <w:r>
              <w:rPr>
                <w:color w:val="auto"/>
                <w:sz w:val="24"/>
              </w:rPr>
              <w:t>否</w:t>
            </w:r>
          </w:p>
          <w:p w14:paraId="65FE9776">
            <w:pPr>
              <w:adjustRightInd w:val="0"/>
              <w:snapToGrid w:val="0"/>
              <w:rPr>
                <w:rFonts w:hint="eastAsia" w:eastAsia="宋体"/>
                <w:color w:val="auto"/>
                <w:sz w:val="24"/>
                <w:lang w:val="en-US" w:eastAsia="zh-CN"/>
              </w:rPr>
            </w:pPr>
            <w:r>
              <w:rPr>
                <w:color w:val="auto"/>
                <w:sz w:val="24"/>
              </w:rPr>
              <w:sym w:font="Wingdings 2" w:char="00A3"/>
            </w:r>
            <w:r>
              <w:rPr>
                <w:color w:val="auto"/>
                <w:sz w:val="24"/>
              </w:rPr>
              <w:t>是：</w:t>
            </w:r>
          </w:p>
        </w:tc>
        <w:tc>
          <w:tcPr>
            <w:tcW w:w="1860" w:type="dxa"/>
            <w:noWrap w:val="0"/>
            <w:tcMar>
              <w:top w:w="16" w:type="dxa"/>
              <w:left w:w="16" w:type="dxa"/>
              <w:right w:w="16" w:type="dxa"/>
            </w:tcMar>
            <w:vAlign w:val="center"/>
          </w:tcPr>
          <w:p w14:paraId="391BE3A9">
            <w:pPr>
              <w:adjustRightInd w:val="0"/>
              <w:snapToGrid w:val="0"/>
              <w:jc w:val="center"/>
              <w:rPr>
                <w:color w:val="auto"/>
                <w:sz w:val="24"/>
              </w:rPr>
            </w:pPr>
            <w:r>
              <w:rPr>
                <w:color w:val="auto"/>
                <w:spacing w:val="-6"/>
                <w:sz w:val="24"/>
              </w:rPr>
              <w:t>用地面积（m</w:t>
            </w:r>
            <w:r>
              <w:rPr>
                <w:color w:val="auto"/>
                <w:spacing w:val="-6"/>
                <w:sz w:val="24"/>
                <w:vertAlign w:val="superscript"/>
              </w:rPr>
              <w:t>2</w:t>
            </w:r>
            <w:r>
              <w:rPr>
                <w:color w:val="auto"/>
                <w:spacing w:val="-6"/>
                <w:sz w:val="24"/>
              </w:rPr>
              <w:t>）</w:t>
            </w:r>
          </w:p>
        </w:tc>
        <w:tc>
          <w:tcPr>
            <w:tcW w:w="2998" w:type="dxa"/>
            <w:noWrap w:val="0"/>
            <w:vAlign w:val="center"/>
          </w:tcPr>
          <w:p w14:paraId="06A41FFD">
            <w:pPr>
              <w:adjustRightInd w:val="0"/>
              <w:snapToGrid w:val="0"/>
              <w:jc w:val="center"/>
              <w:rPr>
                <w:rFonts w:hint="default" w:eastAsia="宋体"/>
                <w:color w:val="auto"/>
                <w:sz w:val="24"/>
                <w:lang w:val="en-US" w:eastAsia="zh-CN"/>
              </w:rPr>
            </w:pPr>
            <w:r>
              <w:rPr>
                <w:rFonts w:hint="eastAsia"/>
                <w:color w:val="auto"/>
                <w:sz w:val="24"/>
                <w:lang w:val="en-US" w:eastAsia="zh-CN"/>
              </w:rPr>
              <w:t>3810</w:t>
            </w:r>
          </w:p>
        </w:tc>
      </w:tr>
      <w:tr w14:paraId="7C77D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75" w:type="dxa"/>
            <w:noWrap w:val="0"/>
            <w:vAlign w:val="center"/>
          </w:tcPr>
          <w:p w14:paraId="6A4D3A0A">
            <w:pPr>
              <w:autoSpaceDE w:val="0"/>
              <w:autoSpaceDN w:val="0"/>
              <w:adjustRightInd w:val="0"/>
              <w:snapToGrid w:val="0"/>
              <w:jc w:val="center"/>
              <w:rPr>
                <w:color w:val="auto"/>
                <w:kern w:val="0"/>
                <w:sz w:val="24"/>
              </w:rPr>
            </w:pPr>
            <w:r>
              <w:rPr>
                <w:color w:val="auto"/>
                <w:kern w:val="0"/>
                <w:sz w:val="24"/>
              </w:rPr>
              <w:t>专项评价设置情况</w:t>
            </w:r>
          </w:p>
        </w:tc>
        <w:tc>
          <w:tcPr>
            <w:tcW w:w="7395" w:type="dxa"/>
            <w:gridSpan w:val="3"/>
            <w:shd w:val="clear" w:color="auto" w:fill="auto"/>
            <w:noWrap w:val="0"/>
            <w:vAlign w:val="center"/>
          </w:tcPr>
          <w:p w14:paraId="6B876B6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无</w:t>
            </w:r>
          </w:p>
        </w:tc>
      </w:tr>
      <w:tr w14:paraId="2F5DF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5" w:type="dxa"/>
            <w:noWrap w:val="0"/>
            <w:vAlign w:val="center"/>
          </w:tcPr>
          <w:p w14:paraId="6D0C2C73">
            <w:pPr>
              <w:autoSpaceDE w:val="0"/>
              <w:autoSpaceDN w:val="0"/>
              <w:adjustRightInd w:val="0"/>
              <w:snapToGrid w:val="0"/>
              <w:jc w:val="center"/>
              <w:rPr>
                <w:color w:val="auto"/>
                <w:sz w:val="24"/>
              </w:rPr>
            </w:pPr>
            <w:r>
              <w:rPr>
                <w:color w:val="auto"/>
                <w:sz w:val="24"/>
              </w:rPr>
              <w:t>规划情况</w:t>
            </w:r>
          </w:p>
        </w:tc>
        <w:tc>
          <w:tcPr>
            <w:tcW w:w="7395" w:type="dxa"/>
            <w:gridSpan w:val="3"/>
            <w:noWrap w:val="0"/>
            <w:vAlign w:val="center"/>
          </w:tcPr>
          <w:p w14:paraId="4BCA618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auto"/>
                <w:kern w:val="0"/>
                <w:sz w:val="24"/>
              </w:rPr>
            </w:pPr>
            <w:r>
              <w:rPr>
                <w:rFonts w:hint="eastAsia"/>
                <w:color w:val="auto"/>
                <w:kern w:val="0"/>
                <w:sz w:val="24"/>
              </w:rPr>
              <w:t>规划名称：《西咸新区-泾河新城分区规划修编（2016年~2035年）》</w:t>
            </w:r>
          </w:p>
          <w:p w14:paraId="7B9BFA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4"/>
                <w:lang w:val="en-US" w:eastAsia="zh-CN"/>
              </w:rPr>
            </w:pPr>
            <w:r>
              <w:rPr>
                <w:rFonts w:hint="eastAsia"/>
                <w:color w:val="auto"/>
                <w:kern w:val="0"/>
                <w:sz w:val="24"/>
              </w:rPr>
              <w:t>审批机关：西咸新区开发建设管理委员会</w:t>
            </w:r>
          </w:p>
        </w:tc>
      </w:tr>
      <w:tr w14:paraId="29591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75" w:type="dxa"/>
            <w:noWrap w:val="0"/>
            <w:vAlign w:val="center"/>
          </w:tcPr>
          <w:p w14:paraId="618198A3">
            <w:pPr>
              <w:adjustRightInd w:val="0"/>
              <w:snapToGrid w:val="0"/>
              <w:jc w:val="center"/>
              <w:rPr>
                <w:color w:val="auto"/>
                <w:kern w:val="0"/>
                <w:sz w:val="24"/>
              </w:rPr>
            </w:pPr>
            <w:r>
              <w:rPr>
                <w:color w:val="auto"/>
                <w:sz w:val="24"/>
              </w:rPr>
              <w:t>规划环境影响评价情况</w:t>
            </w:r>
          </w:p>
        </w:tc>
        <w:tc>
          <w:tcPr>
            <w:tcW w:w="7395" w:type="dxa"/>
            <w:gridSpan w:val="3"/>
            <w:noWrap w:val="0"/>
            <w:vAlign w:val="center"/>
          </w:tcPr>
          <w:p w14:paraId="661DB43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规划环境影响评价文件名称：《陕西省西咸新区泾河新城分区规划（2016-2035）环境影响报告书》</w:t>
            </w:r>
          </w:p>
          <w:p w14:paraId="5B82CB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召集审查机关：陕西省西咸新区生态环境局</w:t>
            </w:r>
          </w:p>
          <w:p w14:paraId="168AC6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rPr>
            </w:pPr>
            <w:r>
              <w:rPr>
                <w:rFonts w:hint="eastAsia" w:ascii="Times New Roman" w:hAnsi="Times New Roman" w:eastAsia="宋体" w:cs="Times New Roman"/>
                <w:color w:val="auto"/>
                <w:kern w:val="0"/>
                <w:sz w:val="24"/>
              </w:rPr>
              <w:t>审查文件名称及文号：陕西省西咸新区生态环境局关于《西咸新区-泾河新城分区规划（2016-2035）环境影响报告书》的审查意见（陕西咸环函〔2021〕41号）</w:t>
            </w:r>
          </w:p>
        </w:tc>
      </w:tr>
      <w:tr w14:paraId="54807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75" w:type="dxa"/>
            <w:noWrap w:val="0"/>
            <w:vAlign w:val="center"/>
          </w:tcPr>
          <w:p w14:paraId="1241F5B9">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395" w:type="dxa"/>
            <w:gridSpan w:val="3"/>
            <w:noWrap w:val="0"/>
            <w:vAlign w:val="center"/>
          </w:tcPr>
          <w:p w14:paraId="312AA63B">
            <w:pPr>
              <w:pStyle w:val="66"/>
              <w:rPr>
                <w:rFonts w:ascii="Times New Roman" w:hAnsi="Times New Roman" w:eastAsia="宋体" w:cs="Times New Roman"/>
                <w:b/>
                <w:bCs/>
                <w:color w:val="auto"/>
                <w:szCs w:val="24"/>
              </w:rPr>
            </w:pPr>
            <w:r>
              <w:rPr>
                <w:rFonts w:hint="eastAsia" w:ascii="Times New Roman" w:hAnsi="Times New Roman" w:eastAsia="宋体" w:cs="Times New Roman"/>
                <w:b/>
                <w:bCs/>
                <w:color w:val="auto"/>
                <w:szCs w:val="24"/>
              </w:rPr>
              <w:t>表1-1  项目与规划及规划环评相符情况</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46"/>
              <w:gridCol w:w="2965"/>
              <w:gridCol w:w="2393"/>
              <w:gridCol w:w="547"/>
            </w:tblGrid>
            <w:tr w14:paraId="575C4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28" w:type="pct"/>
                  <w:noWrap w:val="0"/>
                  <w:vAlign w:val="center"/>
                </w:tcPr>
                <w:p w14:paraId="0D965AEA">
                  <w:pPr>
                    <w:adjustRightInd w:val="0"/>
                    <w:snapToGrid w:val="0"/>
                    <w:jc w:val="center"/>
                    <w:rPr>
                      <w:b/>
                      <w:bCs/>
                      <w:color w:val="auto"/>
                      <w:kern w:val="0"/>
                      <w:szCs w:val="21"/>
                    </w:rPr>
                  </w:pPr>
                  <w:r>
                    <w:rPr>
                      <w:rFonts w:hint="eastAsia"/>
                      <w:b/>
                      <w:bCs/>
                      <w:color w:val="auto"/>
                      <w:kern w:val="0"/>
                      <w:szCs w:val="21"/>
                    </w:rPr>
                    <w:t>类别</w:t>
                  </w:r>
                </w:p>
              </w:tc>
              <w:tc>
                <w:tcPr>
                  <w:tcW w:w="2044" w:type="pct"/>
                  <w:noWrap w:val="0"/>
                  <w:vAlign w:val="center"/>
                </w:tcPr>
                <w:p w14:paraId="24A43160">
                  <w:pPr>
                    <w:adjustRightInd w:val="0"/>
                    <w:snapToGrid w:val="0"/>
                    <w:jc w:val="center"/>
                    <w:rPr>
                      <w:b/>
                      <w:bCs/>
                      <w:color w:val="auto"/>
                      <w:kern w:val="0"/>
                      <w:szCs w:val="21"/>
                    </w:rPr>
                  </w:pPr>
                  <w:r>
                    <w:rPr>
                      <w:b/>
                      <w:bCs/>
                      <w:color w:val="auto"/>
                      <w:kern w:val="0"/>
                      <w:szCs w:val="21"/>
                    </w:rPr>
                    <w:t>主要要求</w:t>
                  </w:r>
                </w:p>
              </w:tc>
              <w:tc>
                <w:tcPr>
                  <w:tcW w:w="1650" w:type="pct"/>
                  <w:noWrap w:val="0"/>
                  <w:vAlign w:val="center"/>
                </w:tcPr>
                <w:p w14:paraId="23B2B86D">
                  <w:pPr>
                    <w:adjustRightInd w:val="0"/>
                    <w:snapToGrid w:val="0"/>
                    <w:jc w:val="center"/>
                    <w:rPr>
                      <w:b/>
                      <w:bCs/>
                      <w:color w:val="auto"/>
                      <w:kern w:val="0"/>
                      <w:szCs w:val="21"/>
                    </w:rPr>
                  </w:pPr>
                  <w:r>
                    <w:rPr>
                      <w:b/>
                      <w:bCs/>
                      <w:color w:val="auto"/>
                      <w:kern w:val="0"/>
                      <w:szCs w:val="21"/>
                    </w:rPr>
                    <w:t>本项目情况</w:t>
                  </w:r>
                </w:p>
              </w:tc>
              <w:tc>
                <w:tcPr>
                  <w:tcW w:w="377" w:type="pct"/>
                  <w:noWrap w:val="0"/>
                  <w:vAlign w:val="center"/>
                </w:tcPr>
                <w:p w14:paraId="36A50A83">
                  <w:pPr>
                    <w:adjustRightInd w:val="0"/>
                    <w:snapToGrid w:val="0"/>
                    <w:jc w:val="center"/>
                    <w:rPr>
                      <w:b/>
                      <w:bCs/>
                      <w:color w:val="auto"/>
                      <w:kern w:val="0"/>
                      <w:szCs w:val="21"/>
                    </w:rPr>
                  </w:pPr>
                  <w:r>
                    <w:rPr>
                      <w:b/>
                      <w:bCs/>
                      <w:color w:val="auto"/>
                      <w:kern w:val="0"/>
                      <w:szCs w:val="21"/>
                    </w:rPr>
                    <w:t>符合性</w:t>
                  </w:r>
                </w:p>
              </w:tc>
            </w:tr>
            <w:tr w14:paraId="57866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28" w:type="pct"/>
                  <w:shd w:val="clear" w:color="auto" w:fill="auto"/>
                  <w:noWrap w:val="0"/>
                  <w:vAlign w:val="center"/>
                </w:tcPr>
                <w:p w14:paraId="395BDA9F">
                  <w:pPr>
                    <w:wordWrap w:val="0"/>
                    <w:autoSpaceDE w:val="0"/>
                    <w:autoSpaceDN w:val="0"/>
                    <w:adjustRightInd w:val="0"/>
                    <w:snapToGrid w:val="0"/>
                    <w:spacing w:line="300" w:lineRule="atLeast"/>
                    <w:jc w:val="center"/>
                    <w:rPr>
                      <w:rFonts w:hint="eastAsia" w:ascii="Times New Roman" w:hAnsi="Times New Roman" w:eastAsia="宋体" w:cs="Times New Roman"/>
                      <w:color w:val="auto"/>
                      <w:kern w:val="2"/>
                      <w:sz w:val="21"/>
                      <w:szCs w:val="21"/>
                      <w:lang w:val="en-US" w:eastAsia="zh-CN" w:bidi="ar-SA"/>
                    </w:rPr>
                  </w:pPr>
                  <w:r>
                    <w:rPr>
                      <w:color w:val="auto"/>
                      <w:szCs w:val="21"/>
                    </w:rPr>
                    <w:t>《西咸新区</w:t>
                  </w:r>
                  <w:r>
                    <w:rPr>
                      <w:rFonts w:hint="eastAsia"/>
                      <w:color w:val="auto"/>
                      <w:szCs w:val="21"/>
                    </w:rPr>
                    <w:t>－</w:t>
                  </w:r>
                  <w:r>
                    <w:rPr>
                      <w:color w:val="auto"/>
                      <w:szCs w:val="21"/>
                    </w:rPr>
                    <w:t>泾河新城分区规划</w:t>
                  </w:r>
                  <w:r>
                    <w:rPr>
                      <w:rFonts w:hint="eastAsia"/>
                      <w:color w:val="auto"/>
                      <w:szCs w:val="21"/>
                    </w:rPr>
                    <w:t>修编</w:t>
                  </w:r>
                  <w:r>
                    <w:rPr>
                      <w:color w:val="auto"/>
                      <w:szCs w:val="21"/>
                    </w:rPr>
                    <w:t>（2016-2035）》</w:t>
                  </w:r>
                </w:p>
              </w:tc>
              <w:tc>
                <w:tcPr>
                  <w:tcW w:w="2044" w:type="pct"/>
                  <w:shd w:val="clear" w:color="auto" w:fill="auto"/>
                  <w:noWrap w:val="0"/>
                  <w:vAlign w:val="center"/>
                </w:tcPr>
                <w:p w14:paraId="1E9F3025">
                  <w:pPr>
                    <w:adjustRightInd w:val="0"/>
                    <w:snapToGrid w:val="0"/>
                    <w:ind w:firstLine="420" w:firstLineChars="200"/>
                    <w:rPr>
                      <w:rFonts w:ascii="Times New Roman" w:hAnsi="Times New Roman" w:eastAsia="宋体" w:cs="Times New Roman"/>
                      <w:color w:val="auto"/>
                      <w:kern w:val="0"/>
                      <w:sz w:val="21"/>
                      <w:szCs w:val="21"/>
                      <w:lang w:val="en-US" w:eastAsia="zh-CN" w:bidi="ar-SA"/>
                    </w:rPr>
                  </w:pPr>
                  <w:r>
                    <w:rPr>
                      <w:color w:val="auto"/>
                      <w:szCs w:val="21"/>
                    </w:rPr>
                    <w:t>规划将泾河新城总体定位为：以先进制造业、现代服务业、现代农业为主导产业，以智能制造、生产性服务、文化旅游和茯茶产业为特色产业，具有浓厚古今文化韵味、智慧宜居氛围的大西安北部生态休闲示范区和渭北创新产业服务高地。</w:t>
                  </w:r>
                </w:p>
              </w:tc>
              <w:tc>
                <w:tcPr>
                  <w:tcW w:w="1650" w:type="pct"/>
                  <w:noWrap w:val="0"/>
                  <w:vAlign w:val="center"/>
                </w:tcPr>
                <w:p w14:paraId="44572E82">
                  <w:pPr>
                    <w:adjustRightInd w:val="0"/>
                    <w:snapToGrid w:val="0"/>
                    <w:rPr>
                      <w:rFonts w:hint="eastAsia" w:eastAsia="宋体"/>
                      <w:color w:val="auto"/>
                      <w:kern w:val="0"/>
                      <w:szCs w:val="21"/>
                      <w:lang w:eastAsia="zh-CN"/>
                    </w:rPr>
                  </w:pPr>
                  <w:r>
                    <w:rPr>
                      <w:rFonts w:hint="eastAsia"/>
                      <w:color w:val="auto"/>
                      <w:kern w:val="21"/>
                      <w:szCs w:val="21"/>
                    </w:rPr>
                    <w:t>本项目</w:t>
                  </w:r>
                  <w:r>
                    <w:rPr>
                      <w:rFonts w:hint="eastAsia"/>
                      <w:color w:val="auto"/>
                      <w:kern w:val="21"/>
                      <w:szCs w:val="21"/>
                      <w:lang w:val="en-US" w:eastAsia="zh-CN"/>
                    </w:rPr>
                    <w:t>位于泾河新城美国科技产业园宝信园区，位于规划范围内。项目</w:t>
                  </w:r>
                  <w:r>
                    <w:rPr>
                      <w:rFonts w:hint="eastAsia"/>
                      <w:color w:val="auto"/>
                      <w:kern w:val="21"/>
                      <w:szCs w:val="21"/>
                    </w:rPr>
                    <w:t>主要进行聚乙烯外护管和保温管的生产，属于制造业，基本符合总体定位</w:t>
                  </w:r>
                  <w:r>
                    <w:rPr>
                      <w:rFonts w:hint="eastAsia"/>
                      <w:color w:val="auto"/>
                      <w:kern w:val="21"/>
                      <w:szCs w:val="21"/>
                      <w:lang w:eastAsia="zh-CN"/>
                    </w:rPr>
                    <w:t>。</w:t>
                  </w:r>
                </w:p>
              </w:tc>
              <w:tc>
                <w:tcPr>
                  <w:tcW w:w="377" w:type="pct"/>
                  <w:noWrap w:val="0"/>
                  <w:vAlign w:val="center"/>
                </w:tcPr>
                <w:p w14:paraId="1A577736">
                  <w:pPr>
                    <w:adjustRightInd w:val="0"/>
                    <w:snapToGrid w:val="0"/>
                    <w:jc w:val="center"/>
                    <w:rPr>
                      <w:color w:val="auto"/>
                      <w:kern w:val="0"/>
                      <w:szCs w:val="21"/>
                    </w:rPr>
                  </w:pPr>
                  <w:r>
                    <w:rPr>
                      <w:rFonts w:hint="eastAsia"/>
                      <w:color w:val="auto"/>
                      <w:kern w:val="0"/>
                      <w:szCs w:val="21"/>
                    </w:rPr>
                    <w:t>符合</w:t>
                  </w:r>
                </w:p>
              </w:tc>
            </w:tr>
            <w:tr w14:paraId="2A18A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restart"/>
                  <w:shd w:val="clear" w:color="auto" w:fill="auto"/>
                  <w:noWrap w:val="0"/>
                  <w:vAlign w:val="center"/>
                </w:tcPr>
                <w:p w14:paraId="5B1B5F5E">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《西咸新区-泾河新城分区规划（2016-2035）环境影响报告书》的审查意见（陕西咸环函</w:t>
                  </w:r>
                  <w:r>
                    <w:rPr>
                      <w:rFonts w:hint="default" w:ascii="Times New Roman" w:hAnsi="Times New Roman" w:eastAsia="宋体" w:cs="Times New Roman"/>
                      <w:color w:val="auto"/>
                      <w:szCs w:val="21"/>
                      <w:lang w:eastAsia="zh-CN"/>
                    </w:rPr>
                    <w:t>〔2021〕41号</w:t>
                  </w:r>
                  <w:r>
                    <w:rPr>
                      <w:rFonts w:hint="eastAsia"/>
                      <w:color w:val="auto"/>
                      <w:szCs w:val="21"/>
                    </w:rPr>
                    <w:t>）</w:t>
                  </w:r>
                </w:p>
              </w:tc>
              <w:tc>
                <w:tcPr>
                  <w:tcW w:w="2044" w:type="pct"/>
                  <w:shd w:val="clear" w:color="auto" w:fill="auto"/>
                  <w:noWrap w:val="0"/>
                  <w:vAlign w:val="center"/>
                </w:tcPr>
                <w:p w14:paraId="6094DFE2">
                  <w:pPr>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一）严格落实生态保护红线、环境质量底线、资源利用上线和生态环境准入清单管控要求。强化“三线一单”在优化布局、控制规模及对项目环境准入的强制约束作用。限制大气污染物及水污染物排放量大的项目入区。</w:t>
                  </w:r>
                </w:p>
              </w:tc>
              <w:tc>
                <w:tcPr>
                  <w:tcW w:w="1650" w:type="pct"/>
                  <w:shd w:val="clear" w:color="auto" w:fill="auto"/>
                  <w:noWrap w:val="0"/>
                  <w:vAlign w:val="center"/>
                </w:tcPr>
                <w:p w14:paraId="4092C5E8">
                  <w:pPr>
                    <w:adjustRightInd w:val="0"/>
                    <w:snapToGrid w:val="0"/>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本项目严格落实生态保护红线、环境质量底线、资源利用上线和生态环境准入清单管控要求。对照陕西省“三线一单”生态环境管控单元对照分析报告，本项目位于重点管控单元，不涉及生态保护红线</w:t>
                  </w:r>
                  <w:r>
                    <w:rPr>
                      <w:rFonts w:hint="eastAsia"/>
                      <w:color w:val="auto"/>
                      <w:kern w:val="0"/>
                      <w:szCs w:val="21"/>
                      <w:lang w:eastAsia="zh-CN"/>
                    </w:rPr>
                    <w:t>。</w:t>
                  </w:r>
                </w:p>
              </w:tc>
              <w:tc>
                <w:tcPr>
                  <w:tcW w:w="377" w:type="pct"/>
                  <w:shd w:val="clear" w:color="auto" w:fill="auto"/>
                  <w:noWrap w:val="0"/>
                  <w:vAlign w:val="center"/>
                </w:tcPr>
                <w:p w14:paraId="7F152857">
                  <w:pPr>
                    <w:adjustRightInd w:val="0"/>
                    <w:snapToGrid w:val="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Cs w:val="21"/>
                    </w:rPr>
                    <w:t>符合</w:t>
                  </w:r>
                </w:p>
              </w:tc>
            </w:tr>
            <w:tr w14:paraId="15E69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continue"/>
                  <w:noWrap w:val="0"/>
                  <w:vAlign w:val="center"/>
                </w:tcPr>
                <w:p w14:paraId="33D5F225">
                  <w:pPr>
                    <w:autoSpaceDE w:val="0"/>
                    <w:autoSpaceDN w:val="0"/>
                    <w:adjustRightInd w:val="0"/>
                    <w:snapToGrid w:val="0"/>
                    <w:jc w:val="left"/>
                    <w:rPr>
                      <w:rFonts w:hint="eastAsia"/>
                      <w:color w:val="auto"/>
                      <w:szCs w:val="21"/>
                    </w:rPr>
                  </w:pPr>
                </w:p>
              </w:tc>
              <w:tc>
                <w:tcPr>
                  <w:tcW w:w="2044" w:type="pct"/>
                  <w:shd w:val="clear" w:color="auto" w:fill="auto"/>
                  <w:noWrap w:val="0"/>
                  <w:vAlign w:val="center"/>
                </w:tcPr>
                <w:p w14:paraId="23428519">
                  <w:pPr>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（二）严守环境质量底线，落实污染物总量管控要求。根据国家、陕西省、西咸新区有关大气、水、土壤污染防治行动计划相关要求，采取有效措施减少主要污染物排放总量，实现区域环境质量改善目标。</w:t>
                  </w:r>
                </w:p>
              </w:tc>
              <w:tc>
                <w:tcPr>
                  <w:tcW w:w="1650" w:type="pct"/>
                  <w:shd w:val="clear" w:color="auto" w:fill="auto"/>
                  <w:noWrap w:val="0"/>
                  <w:vAlign w:val="center"/>
                </w:tcPr>
                <w:p w14:paraId="28C78756">
                  <w:pPr>
                    <w:adjustRightInd w:val="0"/>
                    <w:snapToGrid w:val="0"/>
                    <w:rPr>
                      <w:rFonts w:hint="eastAsia" w:eastAsia="宋体"/>
                      <w:color w:val="auto"/>
                      <w:kern w:val="0"/>
                      <w:szCs w:val="21"/>
                      <w:lang w:val="en-US" w:eastAsia="zh-CN"/>
                    </w:rPr>
                  </w:pPr>
                  <w:r>
                    <w:rPr>
                      <w:rFonts w:hint="eastAsia"/>
                      <w:color w:val="auto"/>
                      <w:kern w:val="0"/>
                      <w:szCs w:val="21"/>
                    </w:rPr>
                    <w:t>本项目</w:t>
                  </w:r>
                  <w:r>
                    <w:rPr>
                      <w:rFonts w:hint="eastAsia"/>
                      <w:color w:val="auto"/>
                      <w:kern w:val="0"/>
                      <w:szCs w:val="21"/>
                      <w:lang w:val="en-US" w:eastAsia="zh-CN"/>
                    </w:rPr>
                    <w:t>运行过程中产生的有机废气（挤出和发泡废气）经</w:t>
                  </w:r>
                  <w:r>
                    <w:rPr>
                      <w:rFonts w:hint="eastAsia"/>
                      <w:bCs/>
                      <w:color w:val="auto"/>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Cs w:val="21"/>
                      <w:lang w:val="en-US" w:eastAsia="zh-CN"/>
                    </w:rPr>
                    <w:t>排气筒排放</w:t>
                  </w:r>
                  <w:r>
                    <w:rPr>
                      <w:rFonts w:hint="eastAsia"/>
                      <w:color w:val="auto"/>
                      <w:kern w:val="0"/>
                      <w:szCs w:val="21"/>
                      <w:lang w:val="en-US" w:eastAsia="zh-CN"/>
                    </w:rPr>
                    <w:t>；除锈废气</w:t>
                  </w:r>
                  <w:r>
                    <w:rPr>
                      <w:rFonts w:hint="eastAsia"/>
                      <w:color w:val="auto"/>
                      <w:kern w:val="0"/>
                      <w:szCs w:val="21"/>
                    </w:rPr>
                    <w:t>采用</w:t>
                  </w:r>
                  <w:r>
                    <w:rPr>
                      <w:rFonts w:hint="eastAsia"/>
                      <w:bCs/>
                      <w:color w:val="auto"/>
                      <w:szCs w:val="21"/>
                      <w:lang w:val="en-US" w:eastAsia="zh-CN"/>
                    </w:rPr>
                    <w:t>布袋除尘器</w:t>
                  </w:r>
                  <w:r>
                    <w:rPr>
                      <w:rFonts w:hint="default" w:ascii="Times New Roman" w:hAnsi="Times New Roman" w:eastAsia="宋体" w:cs="Times New Roman"/>
                      <w:color w:val="auto"/>
                      <w:sz w:val="21"/>
                      <w:szCs w:val="21"/>
                      <w:highlight w:val="none"/>
                    </w:rPr>
                    <w:t>处理后</w:t>
                  </w:r>
                  <w:r>
                    <w:rPr>
                      <w:rFonts w:hint="eastAsia" w:eastAsia="宋体" w:cs="Times New Roman"/>
                      <w:color w:val="auto"/>
                      <w:sz w:val="21"/>
                      <w:szCs w:val="21"/>
                      <w:highlight w:val="none"/>
                      <w:lang w:val="en-US" w:eastAsia="zh-CN"/>
                    </w:rPr>
                    <w:t>由</w:t>
                  </w:r>
                  <w:r>
                    <w:rPr>
                      <w:rFonts w:hint="eastAsia" w:cs="Times New Roman"/>
                      <w:color w:val="auto"/>
                      <w:sz w:val="21"/>
                      <w:szCs w:val="21"/>
                      <w:highlight w:val="none"/>
                      <w:lang w:val="en-US" w:eastAsia="zh-CN"/>
                    </w:rPr>
                    <w:t>15m</w:t>
                  </w:r>
                  <w:r>
                    <w:rPr>
                      <w:rFonts w:hint="eastAsia" w:eastAsia="宋体" w:cs="Times New Roman"/>
                      <w:color w:val="auto"/>
                      <w:sz w:val="21"/>
                      <w:szCs w:val="21"/>
                      <w:highlight w:val="none"/>
                      <w:lang w:val="en-US" w:eastAsia="zh-CN"/>
                    </w:rPr>
                    <w:t>高</w:t>
                  </w:r>
                  <w:r>
                    <w:rPr>
                      <w:rFonts w:hint="eastAsia"/>
                      <w:color w:val="auto"/>
                      <w:kern w:val="0"/>
                      <w:szCs w:val="21"/>
                    </w:rPr>
                    <w:t>排气筒排放</w:t>
                  </w:r>
                  <w:r>
                    <w:rPr>
                      <w:rFonts w:hint="eastAsia"/>
                      <w:color w:val="auto"/>
                      <w:kern w:val="0"/>
                      <w:szCs w:val="21"/>
                      <w:lang w:eastAsia="zh-CN"/>
                    </w:rPr>
                    <w:t>。</w:t>
                  </w:r>
                </w:p>
                <w:p w14:paraId="60E59C57">
                  <w:pPr>
                    <w:adjustRightInd w:val="0"/>
                    <w:snapToGrid w:val="0"/>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eastAsia="zh-CN"/>
                    </w:rPr>
                    <w:t>生活污水依托租赁厂区化粪池处理后，</w:t>
                  </w:r>
                  <w:r>
                    <w:rPr>
                      <w:rFonts w:hint="eastAsia"/>
                      <w:color w:val="auto"/>
                      <w:kern w:val="0"/>
                      <w:szCs w:val="21"/>
                    </w:rPr>
                    <w:t>经市政污水管网排入泾河新城第二污水处理厂处理，减少了污染物排放量</w:t>
                  </w:r>
                  <w:r>
                    <w:rPr>
                      <w:rFonts w:hint="eastAsia"/>
                      <w:color w:val="auto"/>
                      <w:kern w:val="0"/>
                      <w:szCs w:val="21"/>
                      <w:lang w:eastAsia="zh-CN"/>
                    </w:rPr>
                    <w:t>。</w:t>
                  </w:r>
                </w:p>
              </w:tc>
              <w:tc>
                <w:tcPr>
                  <w:tcW w:w="377" w:type="pct"/>
                  <w:shd w:val="clear" w:color="auto" w:fill="auto"/>
                  <w:noWrap w:val="0"/>
                  <w:vAlign w:val="center"/>
                </w:tcPr>
                <w:p w14:paraId="24A07536">
                  <w:pPr>
                    <w:adjustRightInd w:val="0"/>
                    <w:snapToGrid w:val="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Cs w:val="21"/>
                    </w:rPr>
                    <w:t>符合</w:t>
                  </w:r>
                </w:p>
              </w:tc>
            </w:tr>
            <w:tr w14:paraId="44899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continue"/>
                  <w:noWrap w:val="0"/>
                  <w:vAlign w:val="center"/>
                </w:tcPr>
                <w:p w14:paraId="306EC1A7">
                  <w:pPr>
                    <w:autoSpaceDE w:val="0"/>
                    <w:autoSpaceDN w:val="0"/>
                    <w:adjustRightInd w:val="0"/>
                    <w:snapToGrid w:val="0"/>
                    <w:jc w:val="left"/>
                    <w:rPr>
                      <w:rFonts w:hint="eastAsia"/>
                      <w:color w:val="auto"/>
                      <w:szCs w:val="21"/>
                    </w:rPr>
                  </w:pPr>
                </w:p>
              </w:tc>
              <w:tc>
                <w:tcPr>
                  <w:tcW w:w="2044" w:type="pct"/>
                  <w:shd w:val="clear" w:color="auto" w:fill="auto"/>
                  <w:noWrap w:val="0"/>
                  <w:vAlign w:val="center"/>
                </w:tcPr>
                <w:p w14:paraId="576F1C5E">
                  <w:pPr>
                    <w:ind w:firstLine="420" w:firstLineChars="200"/>
                    <w:rPr>
                      <w:rFonts w:hint="eastAsia" w:ascii="Times New Roman" w:hAnsi="Times New Roman" w:eastAsia="宋体" w:cs="Times New Roman"/>
                      <w:color w:val="auto"/>
                      <w:szCs w:val="21"/>
                      <w:lang w:val="zh-CN" w:eastAsia="zh-CN"/>
                    </w:rPr>
                  </w:pPr>
                  <w:r>
                    <w:rPr>
                      <w:rFonts w:hint="default" w:ascii="Times New Roman" w:hAnsi="Times New Roman" w:eastAsia="宋体" w:cs="Times New Roman"/>
                      <w:color w:val="auto"/>
                      <w:szCs w:val="21"/>
                      <w:lang w:val="zh-CN" w:eastAsia="zh-CN"/>
                    </w:rPr>
                    <w:t>（三）结合区域大气环境质量改善目标的要求，进一步优化能源结构、提升清洁能源使用率，加强挥发性有机物产生企业等监督管理，强化移动源污染防治，提高企业清洁生产水平。</w:t>
                  </w:r>
                </w:p>
              </w:tc>
              <w:tc>
                <w:tcPr>
                  <w:tcW w:w="1650" w:type="pct"/>
                  <w:shd w:val="clear" w:color="auto" w:fill="auto"/>
                  <w:noWrap w:val="0"/>
                  <w:vAlign w:val="center"/>
                </w:tcPr>
                <w:p w14:paraId="63BF265F">
                  <w:pPr>
                    <w:adjustRightInd w:val="0"/>
                    <w:snapToGrid w:val="0"/>
                    <w:rPr>
                      <w:rFonts w:hint="eastAsia"/>
                      <w:color w:val="auto"/>
                      <w:kern w:val="0"/>
                      <w:szCs w:val="21"/>
                      <w:lang w:val="en-US" w:eastAsia="zh-CN"/>
                    </w:rPr>
                  </w:pPr>
                  <w:r>
                    <w:rPr>
                      <w:rFonts w:hint="default"/>
                      <w:color w:val="auto"/>
                      <w:kern w:val="0"/>
                      <w:szCs w:val="21"/>
                      <w:lang w:eastAsia="zh-CN"/>
                    </w:rPr>
                    <w:t>本项目能源消耗主要是电能，属于清洁能源</w:t>
                  </w:r>
                  <w:r>
                    <w:rPr>
                      <w:rFonts w:hint="eastAsia"/>
                      <w:color w:val="auto"/>
                      <w:kern w:val="0"/>
                      <w:szCs w:val="21"/>
                      <w:lang w:eastAsia="zh-CN"/>
                    </w:rPr>
                    <w:t>。</w:t>
                  </w:r>
                </w:p>
              </w:tc>
              <w:tc>
                <w:tcPr>
                  <w:tcW w:w="377" w:type="pct"/>
                  <w:shd w:val="clear" w:color="auto" w:fill="auto"/>
                  <w:noWrap w:val="0"/>
                  <w:vAlign w:val="center"/>
                </w:tcPr>
                <w:p w14:paraId="33B00EB4">
                  <w:pPr>
                    <w:keepNext w:val="0"/>
                    <w:keepLines w:val="0"/>
                    <w:pageBreakBefore w:val="0"/>
                    <w:kinsoku/>
                    <w:overflowPunct/>
                    <w:topLinePunct w:val="0"/>
                    <w:autoSpaceDE/>
                    <w:autoSpaceDN/>
                    <w:bidi w:val="0"/>
                    <w:adjustRightInd w:val="0"/>
                    <w:snapToGrid w:val="0"/>
                    <w:spacing w:line="264"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符合</w:t>
                  </w:r>
                </w:p>
              </w:tc>
            </w:tr>
            <w:tr w14:paraId="7CAB6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continue"/>
                  <w:noWrap w:val="0"/>
                  <w:vAlign w:val="center"/>
                </w:tcPr>
                <w:p w14:paraId="3DA978A6">
                  <w:pPr>
                    <w:autoSpaceDE w:val="0"/>
                    <w:autoSpaceDN w:val="0"/>
                    <w:adjustRightInd w:val="0"/>
                    <w:snapToGrid w:val="0"/>
                    <w:jc w:val="left"/>
                    <w:rPr>
                      <w:rFonts w:hint="eastAsia"/>
                      <w:color w:val="auto"/>
                      <w:szCs w:val="21"/>
                    </w:rPr>
                  </w:pPr>
                </w:p>
              </w:tc>
              <w:tc>
                <w:tcPr>
                  <w:tcW w:w="2044" w:type="pct"/>
                  <w:shd w:val="clear" w:color="auto" w:fill="auto"/>
                  <w:noWrap w:val="0"/>
                  <w:vAlign w:val="center"/>
                </w:tcPr>
                <w:p w14:paraId="6B953B39">
                  <w:pPr>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w:t>
                  </w:r>
                  <w:r>
                    <w:rPr>
                      <w:rFonts w:hint="eastAsia"/>
                      <w:color w:val="auto"/>
                      <w:szCs w:val="21"/>
                      <w:lang w:val="en-US" w:eastAsia="zh-CN"/>
                    </w:rPr>
                    <w:t>四</w:t>
                  </w:r>
                  <w:r>
                    <w:rPr>
                      <w:rFonts w:hint="eastAsia"/>
                      <w:color w:val="auto"/>
                      <w:szCs w:val="21"/>
                      <w:lang w:eastAsia="zh-CN"/>
                    </w:rPr>
                    <w:t>）</w:t>
                  </w:r>
                  <w:r>
                    <w:rPr>
                      <w:rFonts w:hint="eastAsia"/>
                      <w:color w:val="auto"/>
                      <w:szCs w:val="21"/>
                    </w:rPr>
                    <w:t>结合区域水环境质量改善目标的要求，加快污水处理厂及市政配套管网建设，实施雨污分流，强化污水处理厂监督管理，确保达标排放。</w:t>
                  </w:r>
                </w:p>
              </w:tc>
              <w:tc>
                <w:tcPr>
                  <w:tcW w:w="1650" w:type="pct"/>
                  <w:shd w:val="clear" w:color="auto" w:fill="auto"/>
                  <w:noWrap w:val="0"/>
                  <w:vAlign w:val="center"/>
                </w:tcPr>
                <w:p w14:paraId="0268B2C3">
                  <w:pPr>
                    <w:adjustRightInd w:val="0"/>
                    <w:snapToGrid w:val="0"/>
                    <w:rPr>
                      <w:rFonts w:hint="eastAsia"/>
                      <w:color w:val="auto"/>
                      <w:kern w:val="0"/>
                      <w:szCs w:val="21"/>
                      <w:lang w:val="en-US" w:eastAsia="zh-CN"/>
                    </w:rPr>
                  </w:pPr>
                  <w:r>
                    <w:rPr>
                      <w:rFonts w:hint="eastAsia"/>
                      <w:color w:val="auto"/>
                      <w:kern w:val="0"/>
                      <w:szCs w:val="21"/>
                    </w:rPr>
                    <w:t>本项目</w:t>
                  </w:r>
                  <w:r>
                    <w:rPr>
                      <w:rFonts w:hint="eastAsia"/>
                      <w:color w:val="auto"/>
                      <w:kern w:val="0"/>
                      <w:szCs w:val="21"/>
                      <w:lang w:val="en-US" w:eastAsia="zh-CN"/>
                    </w:rPr>
                    <w:t>废水</w:t>
                  </w:r>
                  <w:r>
                    <w:rPr>
                      <w:rFonts w:hint="eastAsia"/>
                      <w:color w:val="auto"/>
                      <w:kern w:val="0"/>
                      <w:szCs w:val="21"/>
                    </w:rPr>
                    <w:t>主要为生活污水，生活污水依托租赁</w:t>
                  </w:r>
                  <w:r>
                    <w:rPr>
                      <w:rFonts w:hint="eastAsia"/>
                      <w:color w:val="auto"/>
                      <w:kern w:val="0"/>
                      <w:szCs w:val="21"/>
                      <w:lang w:val="en-US" w:eastAsia="zh-CN"/>
                    </w:rPr>
                    <w:t>厂区</w:t>
                  </w:r>
                  <w:r>
                    <w:rPr>
                      <w:rFonts w:hint="eastAsia"/>
                      <w:color w:val="auto"/>
                      <w:kern w:val="0"/>
                      <w:szCs w:val="21"/>
                    </w:rPr>
                    <w:t>化粪池处理后</w:t>
                  </w:r>
                  <w:r>
                    <w:rPr>
                      <w:rFonts w:hint="eastAsia"/>
                      <w:color w:val="auto"/>
                      <w:kern w:val="0"/>
                      <w:szCs w:val="21"/>
                      <w:lang w:eastAsia="zh-CN"/>
                    </w:rPr>
                    <w:t>，</w:t>
                  </w:r>
                  <w:r>
                    <w:rPr>
                      <w:rFonts w:hint="eastAsia"/>
                      <w:color w:val="auto"/>
                      <w:kern w:val="0"/>
                      <w:szCs w:val="21"/>
                    </w:rPr>
                    <w:t>经市政污水管网排入泾河新城第二污水处理厂处理</w:t>
                  </w:r>
                  <w:r>
                    <w:rPr>
                      <w:rFonts w:hint="eastAsia"/>
                      <w:color w:val="auto"/>
                      <w:kern w:val="0"/>
                      <w:szCs w:val="21"/>
                      <w:lang w:eastAsia="zh-CN"/>
                    </w:rPr>
                    <w:t>。</w:t>
                  </w:r>
                </w:p>
              </w:tc>
              <w:tc>
                <w:tcPr>
                  <w:tcW w:w="377" w:type="pct"/>
                  <w:shd w:val="clear" w:color="auto" w:fill="auto"/>
                  <w:noWrap w:val="0"/>
                  <w:vAlign w:val="center"/>
                </w:tcPr>
                <w:p w14:paraId="5F9F6EE4">
                  <w:pPr>
                    <w:adjustRightInd w:val="0"/>
                    <w:snapToGrid w:val="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Cs w:val="21"/>
                    </w:rPr>
                    <w:t>符合</w:t>
                  </w:r>
                </w:p>
              </w:tc>
            </w:tr>
          </w:tbl>
          <w:p w14:paraId="06D7008A">
            <w:pPr>
              <w:autoSpaceDE w:val="0"/>
              <w:autoSpaceDN w:val="0"/>
              <w:adjustRightInd w:val="0"/>
              <w:snapToGrid w:val="0"/>
              <w:jc w:val="both"/>
              <w:rPr>
                <w:color w:val="auto"/>
                <w:sz w:val="24"/>
              </w:rPr>
            </w:pPr>
          </w:p>
        </w:tc>
      </w:tr>
      <w:tr w14:paraId="4FB9C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5" w:type="dxa"/>
            <w:noWrap w:val="0"/>
            <w:vAlign w:val="center"/>
          </w:tcPr>
          <w:p w14:paraId="02072C32">
            <w:pPr>
              <w:autoSpaceDE w:val="0"/>
              <w:autoSpaceDN w:val="0"/>
              <w:adjustRightInd w:val="0"/>
              <w:snapToGrid w:val="0"/>
              <w:jc w:val="center"/>
              <w:rPr>
                <w:color w:val="auto"/>
                <w:kern w:val="0"/>
                <w:sz w:val="24"/>
              </w:rPr>
            </w:pPr>
            <w:r>
              <w:rPr>
                <w:color w:val="auto"/>
                <w:kern w:val="0"/>
                <w:sz w:val="24"/>
              </w:rPr>
              <w:t>其他符合性分析</w:t>
            </w:r>
          </w:p>
        </w:tc>
        <w:tc>
          <w:tcPr>
            <w:tcW w:w="7395" w:type="dxa"/>
            <w:gridSpan w:val="3"/>
            <w:noWrap w:val="0"/>
            <w:vAlign w:val="center"/>
          </w:tcPr>
          <w:p w14:paraId="26787878">
            <w:pPr>
              <w:spacing w:before="120" w:beforeLines="50" w:line="360" w:lineRule="auto"/>
              <w:ind w:firstLine="482" w:firstLineChars="200"/>
              <w:rPr>
                <w:b/>
                <w:bCs/>
                <w:color w:val="auto"/>
                <w:sz w:val="24"/>
              </w:rPr>
            </w:pPr>
            <w:r>
              <w:rPr>
                <w:b/>
                <w:bCs/>
                <w:color w:val="auto"/>
                <w:sz w:val="24"/>
              </w:rPr>
              <w:t>1、产业政策符合性分析</w:t>
            </w:r>
          </w:p>
          <w:p w14:paraId="554D49C3">
            <w:pPr>
              <w:spacing w:line="360" w:lineRule="auto"/>
              <w:ind w:firstLine="480" w:firstLineChars="200"/>
              <w:rPr>
                <w:rFonts w:hint="eastAsia"/>
                <w:color w:val="auto"/>
                <w:sz w:val="24"/>
              </w:rPr>
            </w:pPr>
            <w:r>
              <w:rPr>
                <w:rFonts w:hint="eastAsia"/>
                <w:color w:val="auto"/>
                <w:sz w:val="24"/>
              </w:rPr>
              <w:t>本项目属于“</w:t>
            </w:r>
            <w:r>
              <w:rPr>
                <w:rFonts w:hint="eastAsia"/>
                <w:color w:val="auto"/>
                <w:sz w:val="24"/>
                <w:lang w:val="en-US" w:eastAsia="zh-CN"/>
              </w:rPr>
              <w:t>C2922塑料板、管、型材制造，C2924泡沫塑料制造</w:t>
            </w:r>
            <w:r>
              <w:rPr>
                <w:rFonts w:hint="eastAsia"/>
                <w:color w:val="auto"/>
                <w:sz w:val="24"/>
              </w:rPr>
              <w:t>”，根据《产业结构调整目录（2024年本）》，本项目不属于其中的鼓励类、限制类、淘汰类项目，视为允许类项目。</w:t>
            </w:r>
            <w:r>
              <w:rPr>
                <w:color w:val="auto"/>
                <w:sz w:val="24"/>
              </w:rPr>
              <w:t>根据《市场准入负面清单（202</w:t>
            </w:r>
            <w:r>
              <w:rPr>
                <w:rFonts w:hint="eastAsia"/>
                <w:color w:val="auto"/>
                <w:sz w:val="24"/>
                <w:lang w:val="en-US" w:eastAsia="zh-CN"/>
              </w:rPr>
              <w:t>5</w:t>
            </w:r>
            <w:r>
              <w:rPr>
                <w:color w:val="auto"/>
                <w:sz w:val="24"/>
              </w:rPr>
              <w:t>年版）》，本项目</w:t>
            </w:r>
            <w:r>
              <w:rPr>
                <w:rFonts w:hint="eastAsia"/>
                <w:color w:val="auto"/>
                <w:sz w:val="24"/>
                <w:lang w:val="en-US" w:eastAsia="zh-CN"/>
              </w:rPr>
              <w:t>不</w:t>
            </w:r>
            <w:r>
              <w:rPr>
                <w:color w:val="auto"/>
                <w:sz w:val="24"/>
              </w:rPr>
              <w:t>属于</w:t>
            </w:r>
            <w:r>
              <w:rPr>
                <w:rFonts w:hint="eastAsia"/>
                <w:color w:val="auto"/>
                <w:sz w:val="24"/>
                <w:lang w:val="en-US" w:eastAsia="zh-CN"/>
              </w:rPr>
              <w:t>其中的禁止准入和许可准入类项目，为允许类项目</w:t>
            </w:r>
            <w:r>
              <w:rPr>
                <w:rFonts w:hint="eastAsia"/>
                <w:color w:val="auto"/>
                <w:sz w:val="24"/>
              </w:rPr>
              <w:t>。</w:t>
            </w:r>
          </w:p>
          <w:p w14:paraId="717679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西安敏丰防腐保温工程有限公司</w:t>
            </w:r>
            <w:r>
              <w:rPr>
                <w:rFonts w:hint="eastAsia"/>
                <w:color w:val="auto"/>
                <w:sz w:val="24"/>
                <w:lang w:val="en-US" w:eastAsia="zh-CN"/>
              </w:rPr>
              <w:t>“聚乙烯外护管及保温管生产二次迁建项目”</w:t>
            </w:r>
            <w:r>
              <w:rPr>
                <w:rFonts w:hint="eastAsia"/>
                <w:color w:val="auto"/>
                <w:sz w:val="24"/>
              </w:rPr>
              <w:t>取得了</w:t>
            </w:r>
            <w:r>
              <w:rPr>
                <w:rFonts w:hint="eastAsia"/>
                <w:color w:val="auto"/>
                <w:sz w:val="24"/>
                <w:lang w:val="en-US" w:eastAsia="zh-CN"/>
              </w:rPr>
              <w:t>陕西省西咸新区泾河新城管理委员会审核通过的</w:t>
            </w:r>
            <w:r>
              <w:rPr>
                <w:rFonts w:hint="eastAsia"/>
                <w:color w:val="auto"/>
                <w:sz w:val="24"/>
              </w:rPr>
              <w:t>企业投资项目备案确认书（项目代码：2</w:t>
            </w:r>
            <w:r>
              <w:rPr>
                <w:rFonts w:hint="eastAsia"/>
                <w:color w:val="auto"/>
                <w:sz w:val="24"/>
                <w:lang w:val="en-US" w:eastAsia="zh-CN"/>
              </w:rPr>
              <w:t>510</w:t>
            </w:r>
            <w:r>
              <w:rPr>
                <w:rFonts w:hint="eastAsia"/>
                <w:color w:val="auto"/>
                <w:sz w:val="24"/>
              </w:rPr>
              <w:t>-61</w:t>
            </w:r>
            <w:r>
              <w:rPr>
                <w:rFonts w:hint="eastAsia"/>
                <w:color w:val="auto"/>
                <w:sz w:val="24"/>
                <w:lang w:val="en-US" w:eastAsia="zh-CN"/>
              </w:rPr>
              <w:t>1206</w:t>
            </w:r>
            <w:r>
              <w:rPr>
                <w:rFonts w:hint="eastAsia"/>
                <w:color w:val="auto"/>
                <w:sz w:val="24"/>
              </w:rPr>
              <w:t>-04-01-</w:t>
            </w:r>
            <w:r>
              <w:rPr>
                <w:rFonts w:hint="eastAsia"/>
                <w:color w:val="auto"/>
                <w:sz w:val="24"/>
                <w:lang w:val="en-US" w:eastAsia="zh-CN"/>
              </w:rPr>
              <w:t>514497</w:t>
            </w:r>
            <w:r>
              <w:rPr>
                <w:rFonts w:hint="eastAsia"/>
                <w:color w:val="auto"/>
                <w:sz w:val="24"/>
              </w:rPr>
              <w:t>）（附件2）。</w:t>
            </w:r>
          </w:p>
          <w:p w14:paraId="0DE735C9">
            <w:pPr>
              <w:spacing w:line="360" w:lineRule="auto"/>
              <w:ind w:firstLine="480" w:firstLineChars="200"/>
              <w:rPr>
                <w:color w:val="auto"/>
                <w:sz w:val="24"/>
              </w:rPr>
            </w:pPr>
            <w:r>
              <w:rPr>
                <w:color w:val="auto"/>
                <w:sz w:val="24"/>
              </w:rPr>
              <w:t>因此，</w:t>
            </w:r>
            <w:r>
              <w:rPr>
                <w:rFonts w:hint="eastAsia"/>
                <w:color w:val="auto"/>
                <w:sz w:val="24"/>
              </w:rPr>
              <w:t>本</w:t>
            </w:r>
            <w:r>
              <w:rPr>
                <w:color w:val="auto"/>
                <w:sz w:val="24"/>
              </w:rPr>
              <w:t>项目符合</w:t>
            </w:r>
            <w:r>
              <w:rPr>
                <w:rFonts w:hint="eastAsia"/>
                <w:color w:val="auto"/>
                <w:sz w:val="24"/>
                <w:lang w:val="en-US" w:eastAsia="zh-CN"/>
              </w:rPr>
              <w:t>国家</w:t>
            </w:r>
            <w:r>
              <w:rPr>
                <w:color w:val="auto"/>
                <w:sz w:val="24"/>
              </w:rPr>
              <w:t>产业政策要求。</w:t>
            </w:r>
          </w:p>
          <w:p w14:paraId="1D1EF6D5">
            <w:pPr>
              <w:pStyle w:val="60"/>
              <w:spacing w:line="360" w:lineRule="auto"/>
              <w:ind w:firstLine="482"/>
              <w:rPr>
                <w:rFonts w:hAnsi="Times New Roman"/>
                <w:b/>
                <w:bCs/>
                <w:color w:val="auto"/>
                <w:kern w:val="0"/>
              </w:rPr>
            </w:pPr>
            <w:r>
              <w:rPr>
                <w:rFonts w:hint="eastAsia" w:hAnsi="Times New Roman"/>
                <w:b/>
                <w:bCs/>
                <w:color w:val="auto"/>
                <w:kern w:val="0"/>
                <w:lang w:val="en-US" w:eastAsia="zh-CN"/>
              </w:rPr>
              <w:t>2</w:t>
            </w:r>
            <w:r>
              <w:rPr>
                <w:rFonts w:hAnsi="Times New Roman"/>
                <w:b/>
                <w:bCs/>
                <w:color w:val="auto"/>
                <w:kern w:val="0"/>
              </w:rPr>
              <w:t>、</w:t>
            </w:r>
            <w:r>
              <w:rPr>
                <w:rFonts w:hint="eastAsia" w:hAnsi="Times New Roman"/>
                <w:b/>
                <w:bCs/>
                <w:color w:val="auto"/>
                <w:kern w:val="0"/>
              </w:rPr>
              <w:t>生态环境分区管控符合性分析</w:t>
            </w:r>
          </w:p>
          <w:p w14:paraId="36E9416A">
            <w:pPr>
              <w:spacing w:line="360" w:lineRule="auto"/>
              <w:ind w:firstLine="480" w:firstLineChars="200"/>
              <w:jc w:val="left"/>
              <w:rPr>
                <w:color w:val="auto"/>
                <w:sz w:val="24"/>
              </w:rPr>
            </w:pPr>
            <w:r>
              <w:rPr>
                <w:rFonts w:hint="eastAsia"/>
                <w:color w:val="auto"/>
                <w:sz w:val="24"/>
              </w:rPr>
              <w:t>根据《2023年陕西省生态环境分区管控成果动态更新实施方案》</w:t>
            </w:r>
            <w:r>
              <w:rPr>
                <w:rFonts w:hint="default" w:ascii="Times New Roman" w:hAnsi="Times New Roman" w:eastAsia="宋体" w:cs="Times New Roman"/>
                <w:color w:val="auto"/>
                <w:sz w:val="24"/>
                <w:lang w:val="en-US" w:eastAsia="zh-CN"/>
              </w:rPr>
              <w:t>（市生态委办发〔2024〕16号）</w:t>
            </w:r>
            <w:r>
              <w:rPr>
                <w:rFonts w:hint="eastAsia"/>
                <w:color w:val="auto"/>
                <w:sz w:val="24"/>
              </w:rPr>
              <w:t>及《陕西省“</w:t>
            </w:r>
            <w:r>
              <w:rPr>
                <w:color w:val="auto"/>
                <w:sz w:val="24"/>
              </w:rPr>
              <w:t>三线一单</w:t>
            </w:r>
            <w:r>
              <w:rPr>
                <w:rFonts w:hint="eastAsia"/>
                <w:color w:val="auto"/>
                <w:sz w:val="24"/>
              </w:rPr>
              <w:t>”</w:t>
            </w:r>
            <w:r>
              <w:rPr>
                <w:color w:val="auto"/>
                <w:sz w:val="24"/>
              </w:rPr>
              <w:t>生态环境分区管控</w:t>
            </w:r>
            <w:r>
              <w:rPr>
                <w:rFonts w:hint="eastAsia"/>
                <w:color w:val="auto"/>
                <w:sz w:val="24"/>
              </w:rPr>
              <w:t>应用技术指南：环境影响评价（试行）》，环评文件涉及“三线一单”生态环境分区管控符合性分析应采取“一图一表一说明”的表达方式，本项目生态环境分区管控符合性分析如下：</w:t>
            </w:r>
          </w:p>
          <w:p w14:paraId="231005B1">
            <w:pPr>
              <w:spacing w:line="360" w:lineRule="auto"/>
              <w:ind w:firstLine="480" w:firstLineChars="200"/>
              <w:rPr>
                <w:rFonts w:hint="eastAsia"/>
                <w:color w:val="auto"/>
                <w:sz w:val="24"/>
              </w:rPr>
            </w:pPr>
            <w:r>
              <w:rPr>
                <w:rFonts w:hint="eastAsia"/>
                <w:color w:val="auto"/>
                <w:sz w:val="24"/>
              </w:rPr>
              <w:t>（1）</w:t>
            </w:r>
            <w:r>
              <w:rPr>
                <w:rFonts w:hint="eastAsia"/>
                <w:color w:val="auto"/>
                <w:spacing w:val="2"/>
                <w:sz w:val="24"/>
              </w:rPr>
              <w:t>“一图”</w:t>
            </w:r>
          </w:p>
          <w:p w14:paraId="2C7CBC1F">
            <w:pPr>
              <w:spacing w:line="360" w:lineRule="auto"/>
              <w:ind w:firstLine="480" w:firstLineChars="200"/>
              <w:jc w:val="left"/>
              <w:rPr>
                <w:rFonts w:hint="eastAsia"/>
                <w:color w:val="auto"/>
                <w:sz w:val="24"/>
              </w:rPr>
            </w:pPr>
            <w:r>
              <w:rPr>
                <w:rFonts w:hint="eastAsia"/>
                <w:color w:val="auto"/>
                <w:sz w:val="24"/>
              </w:rPr>
              <w:t>根据陕西省“三线一单”数据应用系统叠图分析</w:t>
            </w:r>
            <w:r>
              <w:rPr>
                <w:color w:val="auto"/>
                <w:sz w:val="24"/>
              </w:rPr>
              <w:t>可知，本项目属于重点管控单元</w:t>
            </w:r>
            <w:r>
              <w:rPr>
                <w:rFonts w:hint="eastAsia"/>
                <w:color w:val="auto"/>
                <w:sz w:val="24"/>
              </w:rPr>
              <w:t>，不涉及生态保护红线。项目与环境管控单位对照分析示意图如下图所示：</w:t>
            </w:r>
          </w:p>
          <w:p w14:paraId="450974B0">
            <w:pPr>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auto"/>
                <w:sz w:val="24"/>
                <w:lang w:val="en-US" w:eastAsia="zh-CN"/>
              </w:rPr>
            </w:pPr>
          </w:p>
          <w:p w14:paraId="29F7FD30">
            <w:pPr>
              <w:pStyle w:val="2"/>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3BEA6AD4">
            <w:pPr>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609E46A7">
            <w:pPr>
              <w:pStyle w:val="2"/>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5D8204C5">
            <w:pPr>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7483AA8F">
            <w:pPr>
              <w:pStyle w:val="2"/>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p>
          <w:p w14:paraId="60CAAF73">
            <w:pPr>
              <w:widowControl/>
              <w:adjustRightInd w:val="0"/>
              <w:snapToGrid w:val="0"/>
              <w:spacing w:line="360" w:lineRule="auto"/>
              <w:jc w:val="center"/>
              <w:rPr>
                <w:rFonts w:hint="eastAsia" w:eastAsia="宋体"/>
                <w:color w:val="auto"/>
                <w:kern w:val="0"/>
                <w:sz w:val="24"/>
                <w:lang w:eastAsia="zh-CN"/>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2253615</wp:posOffset>
                      </wp:positionH>
                      <wp:positionV relativeFrom="paragraph">
                        <wp:posOffset>1519555</wp:posOffset>
                      </wp:positionV>
                      <wp:extent cx="676275" cy="276860"/>
                      <wp:effectExtent l="0" t="0" r="0" b="0"/>
                      <wp:wrapNone/>
                      <wp:docPr id="1" name="自选图形 3"/>
                      <wp:cNvGraphicFramePr/>
                      <a:graphic xmlns:a="http://schemas.openxmlformats.org/drawingml/2006/main">
                        <a:graphicData uri="http://schemas.microsoft.com/office/word/2010/wordprocessingShape">
                          <wps:wsp>
                            <wps:cNvSpPr/>
                            <wps:spPr>
                              <a:xfrm>
                                <a:off x="0" y="0"/>
                                <a:ext cx="676275" cy="276860"/>
                              </a:xfrm>
                              <a:prstGeom prst="wedgeRectCallout">
                                <a:avLst>
                                  <a:gd name="adj1" fmla="val -60324"/>
                                  <a:gd name="adj2" fmla="val -158023"/>
                                </a:avLst>
                              </a:prstGeom>
                              <a:noFill/>
                              <a:ln w="9525" cap="flat" cmpd="sng">
                                <a:solidFill>
                                  <a:srgbClr val="FFFFFF"/>
                                </a:solidFill>
                                <a:prstDash val="solid"/>
                                <a:miter/>
                                <a:headEnd type="none" w="med" len="med"/>
                                <a:tailEnd type="none" w="med" len="med"/>
                              </a:ln>
                            </wps:spPr>
                            <wps:txbx>
                              <w:txbxContent>
                                <w:p w14:paraId="09149A0B">
                                  <w:pPr>
                                    <w:rPr>
                                      <w:rFonts w:hint="eastAsia"/>
                                      <w:b/>
                                      <w:bCs/>
                                    </w:rPr>
                                  </w:pPr>
                                  <w:r>
                                    <w:rPr>
                                      <w:rFonts w:hint="eastAsia"/>
                                      <w:b/>
                                      <w:bCs/>
                                    </w:rPr>
                                    <w:t>项目地</w:t>
                                  </w:r>
                                </w:p>
                              </w:txbxContent>
                            </wps:txbx>
                            <wps:bodyPr wrap="square" upright="1"/>
                          </wps:wsp>
                        </a:graphicData>
                      </a:graphic>
                    </wp:anchor>
                  </w:drawing>
                </mc:Choice>
                <mc:Fallback>
                  <w:pict>
                    <v:shape id="自选图形 3" o:spid="_x0000_s1026" o:spt="61" type="#_x0000_t61" style="position:absolute;left:0pt;margin-left:177.45pt;margin-top:119.65pt;height:21.8pt;width:53.25pt;z-index:251659264;mso-width-relative:page;mso-height-relative:page;" filled="f" stroked="t" coordsize="21600,21600" o:gfxdata="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ldma2gAAAAsBAAAPAAAAAAAAAAEAIAAAACIA&#10;AABkcnMvZG93bnJldi54bWxQSwECFAAUAAAACACHTuJAgRvkrUACAABzBAAADgAAAAAAAAABACAA&#10;AAApAQAAZHJzL2Uyb0RvYy54bWxQSwUGAAAAAAYABgBZAQAA2wUAAAAA&#10;" adj="-2230,-23333">
                      <v:fill on="f" focussize="0,0"/>
                      <v:stroke color="#FFFFFF" joinstyle="miter"/>
                      <v:imagedata o:title=""/>
                      <o:lock v:ext="edit" aspectratio="f"/>
                      <v:textbox>
                        <w:txbxContent>
                          <w:p w14:paraId="09149A0B">
                            <w:pPr>
                              <w:rPr>
                                <w:rFonts w:hint="eastAsia"/>
                                <w:b/>
                                <w:bCs/>
                              </w:rPr>
                            </w:pPr>
                            <w:r>
                              <w:rPr>
                                <w:rFonts w:hint="eastAsia"/>
                                <w:b/>
                                <w:bCs/>
                              </w:rPr>
                              <w:t>项目地</w:t>
                            </w:r>
                          </w:p>
                        </w:txbxContent>
                      </v:textbox>
                    </v:shape>
                  </w:pict>
                </mc:Fallback>
              </mc:AlternateContent>
            </w:r>
            <w:r>
              <w:rPr>
                <w:rFonts w:hint="eastAsia" w:eastAsia="宋体"/>
                <w:color w:val="auto"/>
                <w:kern w:val="0"/>
                <w:sz w:val="24"/>
                <w:lang w:eastAsia="zh-CN"/>
              </w:rPr>
              <w:drawing>
                <wp:inline distT="0" distB="0" distL="114300" distR="114300">
                  <wp:extent cx="4558030" cy="3710305"/>
                  <wp:effectExtent l="0" t="0" r="13970" b="4445"/>
                  <wp:docPr id="11" name="图片 11" descr="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线一单"/>
                          <pic:cNvPicPr>
                            <a:picLocks noChangeAspect="1"/>
                          </pic:cNvPicPr>
                        </pic:nvPicPr>
                        <pic:blipFill>
                          <a:blip r:embed="rId10"/>
                          <a:stretch>
                            <a:fillRect/>
                          </a:stretch>
                        </pic:blipFill>
                        <pic:spPr>
                          <a:xfrm>
                            <a:off x="0" y="0"/>
                            <a:ext cx="4558030" cy="3710305"/>
                          </a:xfrm>
                          <a:prstGeom prst="rect">
                            <a:avLst/>
                          </a:prstGeom>
                        </pic:spPr>
                      </pic:pic>
                    </a:graphicData>
                  </a:graphic>
                </wp:inline>
              </w:drawing>
            </w:r>
          </w:p>
          <w:p w14:paraId="4F7D494F">
            <w:pPr>
              <w:autoSpaceDE w:val="0"/>
              <w:autoSpaceDN w:val="0"/>
              <w:adjustRightInd w:val="0"/>
              <w:snapToGrid w:val="0"/>
              <w:spacing w:line="360" w:lineRule="auto"/>
              <w:jc w:val="center"/>
              <w:rPr>
                <w:rFonts w:hint="eastAsia"/>
                <w:color w:val="auto"/>
              </w:rPr>
            </w:pPr>
            <w:r>
              <w:rPr>
                <w:b/>
                <w:bCs/>
                <w:color w:val="auto"/>
                <w:kern w:val="0"/>
                <w:sz w:val="24"/>
              </w:rPr>
              <w:t>图1-1  本项目与环境管控单元对照分析示意图</w:t>
            </w:r>
          </w:p>
        </w:tc>
      </w:tr>
    </w:tbl>
    <w:p w14:paraId="13C2F350">
      <w:pPr>
        <w:spacing w:line="360" w:lineRule="auto"/>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7"/>
        <w:tblW w:w="50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2418"/>
      </w:tblGrid>
      <w:tr w14:paraId="6906B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1" w:type="dxa"/>
            <w:noWrap w:val="0"/>
            <w:vAlign w:val="center"/>
          </w:tcPr>
          <w:p w14:paraId="6FF61DFD">
            <w:pPr>
              <w:autoSpaceDE w:val="0"/>
              <w:autoSpaceDN w:val="0"/>
              <w:adjustRightInd w:val="0"/>
              <w:snapToGrid w:val="0"/>
              <w:jc w:val="center"/>
              <w:rPr>
                <w:color w:val="auto"/>
                <w:kern w:val="0"/>
                <w:sz w:val="24"/>
              </w:rPr>
            </w:pPr>
            <w:r>
              <w:rPr>
                <w:color w:val="auto"/>
                <w:kern w:val="0"/>
                <w:sz w:val="24"/>
              </w:rPr>
              <w:t>其他符合性分析</w:t>
            </w:r>
          </w:p>
        </w:tc>
        <w:tc>
          <w:tcPr>
            <w:tcW w:w="12418" w:type="dxa"/>
            <w:noWrap w:val="0"/>
            <w:vAlign w:val="center"/>
          </w:tcPr>
          <w:p w14:paraId="153E1DF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rPr>
            </w:pPr>
            <w:r>
              <w:rPr>
                <w:rFonts w:hint="eastAsia"/>
                <w:color w:val="auto"/>
                <w:sz w:val="24"/>
              </w:rPr>
              <w:t>（2）</w:t>
            </w:r>
            <w:r>
              <w:rPr>
                <w:rFonts w:hint="eastAsia"/>
                <w:color w:val="auto"/>
                <w:spacing w:val="2"/>
                <w:sz w:val="24"/>
              </w:rPr>
              <w:t>“一表”</w:t>
            </w:r>
          </w:p>
          <w:p w14:paraId="2291794C">
            <w:pPr>
              <w:adjustRightInd w:val="0"/>
              <w:snapToGrid w:val="0"/>
              <w:spacing w:line="360" w:lineRule="auto"/>
              <w:ind w:firstLine="480" w:firstLineChars="200"/>
              <w:jc w:val="left"/>
              <w:rPr>
                <w:rFonts w:hint="eastAsia"/>
                <w:color w:val="auto"/>
                <w:sz w:val="24"/>
              </w:rPr>
            </w:pPr>
            <w:r>
              <w:rPr>
                <w:rFonts w:hint="eastAsia"/>
                <w:color w:val="auto"/>
                <w:sz w:val="24"/>
              </w:rPr>
              <w:t>根据从陕西省“三线一单”数据应用系统（V1.0）中导出的分析文件（具体见附件），本项目所涉及的生态环境管控单元符合性分析如下表所示：</w:t>
            </w:r>
          </w:p>
          <w:p w14:paraId="18B0C7DA">
            <w:pPr>
              <w:pStyle w:val="6"/>
              <w:ind w:firstLine="0"/>
              <w:jc w:val="center"/>
              <w:rPr>
                <w:b/>
                <w:bCs/>
                <w:color w:val="auto"/>
                <w:kern w:val="0"/>
                <w:szCs w:val="24"/>
              </w:rPr>
            </w:pPr>
            <w:r>
              <w:rPr>
                <w:b/>
                <w:bCs/>
                <w:color w:val="auto"/>
                <w:kern w:val="0"/>
                <w:szCs w:val="24"/>
              </w:rPr>
              <w:t>表1-</w:t>
            </w:r>
            <w:r>
              <w:rPr>
                <w:rFonts w:hint="eastAsia"/>
                <w:b/>
                <w:bCs/>
                <w:color w:val="auto"/>
                <w:kern w:val="0"/>
                <w:szCs w:val="24"/>
              </w:rPr>
              <w:t xml:space="preserve">2 </w:t>
            </w:r>
            <w:r>
              <w:rPr>
                <w:b/>
                <w:bCs/>
                <w:color w:val="auto"/>
                <w:kern w:val="0"/>
                <w:szCs w:val="24"/>
              </w:rPr>
              <w:t xml:space="preserve"> 与</w:t>
            </w:r>
            <w:r>
              <w:rPr>
                <w:rFonts w:hint="eastAsia"/>
                <w:b/>
                <w:bCs/>
                <w:color w:val="auto"/>
                <w:kern w:val="0"/>
                <w:szCs w:val="24"/>
              </w:rPr>
              <w:t>生态环境管控单元管控要求</w:t>
            </w:r>
            <w:r>
              <w:rPr>
                <w:b/>
                <w:bCs/>
                <w:color w:val="auto"/>
                <w:kern w:val="0"/>
                <w:szCs w:val="24"/>
              </w:rPr>
              <w:t>符合性分析一览表</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06"/>
              <w:gridCol w:w="568"/>
              <w:gridCol w:w="400"/>
              <w:gridCol w:w="667"/>
              <w:gridCol w:w="666"/>
              <w:gridCol w:w="3919"/>
              <w:gridCol w:w="966"/>
              <w:gridCol w:w="3108"/>
              <w:gridCol w:w="545"/>
            </w:tblGrid>
            <w:tr w14:paraId="17D3D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35" w:type="pct"/>
                  <w:noWrap w:val="0"/>
                  <w:vAlign w:val="center"/>
                </w:tcPr>
                <w:p w14:paraId="6009979F">
                  <w:pPr>
                    <w:autoSpaceDE w:val="0"/>
                    <w:autoSpaceDN w:val="0"/>
                    <w:adjustRightInd w:val="0"/>
                    <w:snapToGrid w:val="0"/>
                    <w:jc w:val="center"/>
                    <w:rPr>
                      <w:rFonts w:hint="eastAsia"/>
                      <w:b/>
                      <w:bCs/>
                      <w:color w:val="auto"/>
                      <w:kern w:val="0"/>
                      <w:szCs w:val="21"/>
                    </w:rPr>
                  </w:pPr>
                  <w:r>
                    <w:rPr>
                      <w:rFonts w:hint="eastAsia"/>
                      <w:b/>
                      <w:bCs/>
                      <w:color w:val="auto"/>
                      <w:kern w:val="0"/>
                      <w:szCs w:val="21"/>
                    </w:rPr>
                    <w:t>序号</w:t>
                  </w:r>
                </w:p>
              </w:tc>
              <w:tc>
                <w:tcPr>
                  <w:tcW w:w="367" w:type="pct"/>
                  <w:noWrap w:val="0"/>
                  <w:vAlign w:val="center"/>
                </w:tcPr>
                <w:p w14:paraId="4EE59FCB">
                  <w:pPr>
                    <w:autoSpaceDE w:val="0"/>
                    <w:autoSpaceDN w:val="0"/>
                    <w:adjustRightInd w:val="0"/>
                    <w:snapToGrid w:val="0"/>
                    <w:jc w:val="center"/>
                    <w:rPr>
                      <w:b/>
                      <w:bCs/>
                      <w:color w:val="auto"/>
                      <w:kern w:val="0"/>
                      <w:szCs w:val="21"/>
                    </w:rPr>
                  </w:pPr>
                  <w:r>
                    <w:rPr>
                      <w:rFonts w:hint="eastAsia"/>
                      <w:b/>
                      <w:bCs/>
                      <w:color w:val="auto"/>
                      <w:kern w:val="0"/>
                      <w:szCs w:val="21"/>
                    </w:rPr>
                    <w:t>环境管控单元名称</w:t>
                  </w:r>
                </w:p>
              </w:tc>
              <w:tc>
                <w:tcPr>
                  <w:tcW w:w="230" w:type="pct"/>
                  <w:noWrap w:val="0"/>
                  <w:vAlign w:val="center"/>
                </w:tcPr>
                <w:p w14:paraId="4C5F346E">
                  <w:pPr>
                    <w:autoSpaceDE w:val="0"/>
                    <w:autoSpaceDN w:val="0"/>
                    <w:adjustRightInd w:val="0"/>
                    <w:snapToGrid w:val="0"/>
                    <w:jc w:val="center"/>
                    <w:rPr>
                      <w:b/>
                      <w:bCs/>
                      <w:color w:val="auto"/>
                      <w:kern w:val="0"/>
                      <w:szCs w:val="21"/>
                    </w:rPr>
                  </w:pPr>
                  <w:r>
                    <w:rPr>
                      <w:rFonts w:hint="eastAsia"/>
                      <w:b/>
                      <w:bCs/>
                      <w:color w:val="auto"/>
                      <w:kern w:val="0"/>
                      <w:szCs w:val="21"/>
                    </w:rPr>
                    <w:t>市(区)</w:t>
                  </w:r>
                </w:p>
              </w:tc>
              <w:tc>
                <w:tcPr>
                  <w:tcW w:w="162" w:type="pct"/>
                  <w:noWrap w:val="0"/>
                  <w:vAlign w:val="center"/>
                </w:tcPr>
                <w:p w14:paraId="389D69C3">
                  <w:pPr>
                    <w:autoSpaceDE w:val="0"/>
                    <w:autoSpaceDN w:val="0"/>
                    <w:adjustRightInd w:val="0"/>
                    <w:snapToGrid w:val="0"/>
                    <w:jc w:val="center"/>
                    <w:rPr>
                      <w:rFonts w:hint="eastAsia"/>
                      <w:b/>
                      <w:bCs/>
                      <w:color w:val="auto"/>
                      <w:kern w:val="0"/>
                      <w:szCs w:val="21"/>
                    </w:rPr>
                  </w:pPr>
                  <w:r>
                    <w:rPr>
                      <w:rFonts w:hint="eastAsia"/>
                      <w:b/>
                      <w:bCs/>
                      <w:color w:val="auto"/>
                      <w:kern w:val="0"/>
                      <w:szCs w:val="21"/>
                    </w:rPr>
                    <w:t>区县</w:t>
                  </w:r>
                </w:p>
              </w:tc>
              <w:tc>
                <w:tcPr>
                  <w:tcW w:w="270" w:type="pct"/>
                  <w:noWrap w:val="0"/>
                  <w:vAlign w:val="center"/>
                </w:tcPr>
                <w:p w14:paraId="70D2A9D9">
                  <w:pPr>
                    <w:autoSpaceDE w:val="0"/>
                    <w:autoSpaceDN w:val="0"/>
                    <w:adjustRightInd w:val="0"/>
                    <w:snapToGrid w:val="0"/>
                    <w:jc w:val="center"/>
                    <w:rPr>
                      <w:b/>
                      <w:bCs/>
                      <w:color w:val="auto"/>
                      <w:kern w:val="0"/>
                      <w:szCs w:val="21"/>
                    </w:rPr>
                  </w:pPr>
                  <w:r>
                    <w:rPr>
                      <w:rFonts w:hint="eastAsia"/>
                      <w:b/>
                      <w:bCs/>
                      <w:color w:val="auto"/>
                      <w:kern w:val="0"/>
                      <w:szCs w:val="21"/>
                    </w:rPr>
                    <w:t>单元要素属性</w:t>
                  </w:r>
                </w:p>
              </w:tc>
              <w:tc>
                <w:tcPr>
                  <w:tcW w:w="270" w:type="pct"/>
                  <w:noWrap w:val="0"/>
                  <w:vAlign w:val="center"/>
                </w:tcPr>
                <w:p w14:paraId="203E1EC2">
                  <w:pPr>
                    <w:autoSpaceDE w:val="0"/>
                    <w:autoSpaceDN w:val="0"/>
                    <w:adjustRightInd w:val="0"/>
                    <w:snapToGrid w:val="0"/>
                    <w:jc w:val="center"/>
                    <w:rPr>
                      <w:b/>
                      <w:bCs/>
                      <w:color w:val="auto"/>
                      <w:kern w:val="0"/>
                      <w:szCs w:val="21"/>
                    </w:rPr>
                  </w:pPr>
                  <w:r>
                    <w:rPr>
                      <w:b/>
                      <w:bCs/>
                      <w:color w:val="auto"/>
                      <w:kern w:val="0"/>
                      <w:szCs w:val="21"/>
                    </w:rPr>
                    <w:t>管控</w:t>
                  </w:r>
                  <w:r>
                    <w:rPr>
                      <w:rFonts w:hint="eastAsia"/>
                      <w:b/>
                      <w:bCs/>
                      <w:color w:val="auto"/>
                      <w:kern w:val="0"/>
                      <w:szCs w:val="21"/>
                    </w:rPr>
                    <w:t>要求分类</w:t>
                  </w:r>
                </w:p>
              </w:tc>
              <w:tc>
                <w:tcPr>
                  <w:tcW w:w="1589" w:type="pct"/>
                  <w:noWrap w:val="0"/>
                  <w:vAlign w:val="center"/>
                </w:tcPr>
                <w:p w14:paraId="64F3D69D">
                  <w:pPr>
                    <w:autoSpaceDE w:val="0"/>
                    <w:autoSpaceDN w:val="0"/>
                    <w:adjustRightInd w:val="0"/>
                    <w:snapToGrid w:val="0"/>
                    <w:jc w:val="center"/>
                    <w:rPr>
                      <w:b/>
                      <w:bCs/>
                      <w:color w:val="auto"/>
                      <w:kern w:val="0"/>
                      <w:szCs w:val="21"/>
                    </w:rPr>
                  </w:pPr>
                  <w:r>
                    <w:rPr>
                      <w:b/>
                      <w:bCs/>
                      <w:color w:val="auto"/>
                      <w:kern w:val="0"/>
                      <w:szCs w:val="21"/>
                    </w:rPr>
                    <w:t>管控要求</w:t>
                  </w:r>
                </w:p>
              </w:tc>
              <w:tc>
                <w:tcPr>
                  <w:tcW w:w="391" w:type="pct"/>
                  <w:noWrap w:val="0"/>
                  <w:vAlign w:val="center"/>
                </w:tcPr>
                <w:p w14:paraId="5089F749">
                  <w:pPr>
                    <w:autoSpaceDE w:val="0"/>
                    <w:autoSpaceDN w:val="0"/>
                    <w:adjustRightInd w:val="0"/>
                    <w:snapToGrid w:val="0"/>
                    <w:jc w:val="center"/>
                    <w:rPr>
                      <w:b/>
                      <w:bCs/>
                      <w:color w:val="auto"/>
                      <w:kern w:val="0"/>
                      <w:szCs w:val="21"/>
                    </w:rPr>
                  </w:pPr>
                  <w:r>
                    <w:rPr>
                      <w:rFonts w:hint="eastAsia"/>
                      <w:b/>
                      <w:bCs/>
                      <w:color w:val="auto"/>
                      <w:kern w:val="0"/>
                      <w:szCs w:val="21"/>
                    </w:rPr>
                    <w:t>面积/长度（平方米/米）</w:t>
                  </w:r>
                </w:p>
              </w:tc>
              <w:tc>
                <w:tcPr>
                  <w:tcW w:w="1260" w:type="pct"/>
                  <w:noWrap w:val="0"/>
                  <w:vAlign w:val="center"/>
                </w:tcPr>
                <w:p w14:paraId="10BFCE59">
                  <w:pPr>
                    <w:autoSpaceDE w:val="0"/>
                    <w:autoSpaceDN w:val="0"/>
                    <w:adjustRightInd w:val="0"/>
                    <w:snapToGrid w:val="0"/>
                    <w:jc w:val="center"/>
                    <w:rPr>
                      <w:b/>
                      <w:bCs/>
                      <w:color w:val="auto"/>
                      <w:kern w:val="0"/>
                      <w:szCs w:val="21"/>
                    </w:rPr>
                  </w:pPr>
                  <w:r>
                    <w:rPr>
                      <w:b/>
                      <w:bCs/>
                      <w:color w:val="auto"/>
                      <w:kern w:val="0"/>
                      <w:szCs w:val="21"/>
                    </w:rPr>
                    <w:t>本项目情况</w:t>
                  </w:r>
                </w:p>
              </w:tc>
              <w:tc>
                <w:tcPr>
                  <w:tcW w:w="221" w:type="pct"/>
                  <w:noWrap w:val="0"/>
                  <w:vAlign w:val="center"/>
                </w:tcPr>
                <w:p w14:paraId="0164E8DC">
                  <w:pPr>
                    <w:autoSpaceDE w:val="0"/>
                    <w:autoSpaceDN w:val="0"/>
                    <w:adjustRightInd w:val="0"/>
                    <w:snapToGrid w:val="0"/>
                    <w:jc w:val="center"/>
                    <w:rPr>
                      <w:b/>
                      <w:bCs/>
                      <w:color w:val="auto"/>
                      <w:kern w:val="0"/>
                      <w:szCs w:val="21"/>
                    </w:rPr>
                  </w:pPr>
                  <w:r>
                    <w:rPr>
                      <w:b/>
                      <w:bCs/>
                      <w:color w:val="auto"/>
                      <w:kern w:val="0"/>
                      <w:szCs w:val="21"/>
                    </w:rPr>
                    <w:t>符合性</w:t>
                  </w:r>
                </w:p>
              </w:tc>
            </w:tr>
            <w:tr w14:paraId="26780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35" w:type="pct"/>
                  <w:vMerge w:val="restart"/>
                  <w:noWrap w:val="0"/>
                  <w:vAlign w:val="center"/>
                </w:tcPr>
                <w:p w14:paraId="5446D7F3">
                  <w:pPr>
                    <w:autoSpaceDE w:val="0"/>
                    <w:autoSpaceDN w:val="0"/>
                    <w:adjustRightInd w:val="0"/>
                    <w:snapToGrid w:val="0"/>
                    <w:jc w:val="center"/>
                    <w:rPr>
                      <w:color w:val="auto"/>
                      <w:kern w:val="0"/>
                      <w:szCs w:val="21"/>
                    </w:rPr>
                  </w:pPr>
                  <w:r>
                    <w:rPr>
                      <w:rFonts w:hint="eastAsia"/>
                      <w:color w:val="auto"/>
                      <w:kern w:val="0"/>
                      <w:szCs w:val="21"/>
                    </w:rPr>
                    <w:t>1</w:t>
                  </w:r>
                </w:p>
              </w:tc>
              <w:tc>
                <w:tcPr>
                  <w:tcW w:w="367" w:type="pct"/>
                  <w:vMerge w:val="restart"/>
                  <w:noWrap w:val="0"/>
                  <w:vAlign w:val="center"/>
                </w:tcPr>
                <w:p w14:paraId="7CFE3C83">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rPr>
                    <w:t>陕西省咸阳市泾阳县重点管控单元11（西咸新</w:t>
                  </w:r>
                  <w:r>
                    <w:rPr>
                      <w:rFonts w:hint="eastAsia"/>
                      <w:color w:val="auto"/>
                      <w:kern w:val="0"/>
                      <w:szCs w:val="21"/>
                      <w:lang w:val="en-US" w:eastAsia="zh-CN"/>
                    </w:rPr>
                    <w:t>区）</w:t>
                  </w:r>
                </w:p>
              </w:tc>
              <w:tc>
                <w:tcPr>
                  <w:tcW w:w="230" w:type="pct"/>
                  <w:vMerge w:val="restart"/>
                  <w:noWrap w:val="0"/>
                  <w:vAlign w:val="center"/>
                </w:tcPr>
                <w:p w14:paraId="5C5D398F">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咸阳市</w:t>
                  </w:r>
                </w:p>
              </w:tc>
              <w:tc>
                <w:tcPr>
                  <w:tcW w:w="162" w:type="pct"/>
                  <w:vMerge w:val="restart"/>
                  <w:noWrap w:val="0"/>
                  <w:vAlign w:val="center"/>
                </w:tcPr>
                <w:p w14:paraId="7EB48C7B">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泾阳县</w:t>
                  </w:r>
                </w:p>
              </w:tc>
              <w:tc>
                <w:tcPr>
                  <w:tcW w:w="270" w:type="pct"/>
                  <w:vMerge w:val="restart"/>
                  <w:noWrap w:val="0"/>
                  <w:vAlign w:val="center"/>
                </w:tcPr>
                <w:p w14:paraId="38619553">
                  <w:pPr>
                    <w:autoSpaceDE w:val="0"/>
                    <w:autoSpaceDN w:val="0"/>
                    <w:adjustRightInd w:val="0"/>
                    <w:snapToGrid w:val="0"/>
                    <w:jc w:val="center"/>
                    <w:rPr>
                      <w:color w:val="auto"/>
                      <w:kern w:val="0"/>
                      <w:szCs w:val="21"/>
                    </w:rPr>
                  </w:pPr>
                  <w:r>
                    <w:rPr>
                      <w:rFonts w:hint="eastAsia"/>
                      <w:color w:val="auto"/>
                      <w:kern w:val="0"/>
                      <w:szCs w:val="21"/>
                    </w:rPr>
                    <w:t>大气环境受体敏感重点管控区</w:t>
                  </w:r>
                </w:p>
              </w:tc>
              <w:tc>
                <w:tcPr>
                  <w:tcW w:w="270" w:type="pct"/>
                  <w:noWrap w:val="0"/>
                  <w:vAlign w:val="center"/>
                </w:tcPr>
                <w:p w14:paraId="6329EE47">
                  <w:pPr>
                    <w:autoSpaceDE w:val="0"/>
                    <w:autoSpaceDN w:val="0"/>
                    <w:adjustRightInd w:val="0"/>
                    <w:snapToGrid w:val="0"/>
                    <w:jc w:val="center"/>
                    <w:rPr>
                      <w:color w:val="auto"/>
                      <w:kern w:val="0"/>
                      <w:szCs w:val="21"/>
                    </w:rPr>
                  </w:pPr>
                  <w:r>
                    <w:rPr>
                      <w:rFonts w:hint="eastAsia"/>
                      <w:color w:val="auto"/>
                      <w:kern w:val="0"/>
                      <w:szCs w:val="21"/>
                    </w:rPr>
                    <w:t>空间布局约束</w:t>
                  </w:r>
                </w:p>
              </w:tc>
              <w:tc>
                <w:tcPr>
                  <w:tcW w:w="1589" w:type="pct"/>
                  <w:noWrap w:val="0"/>
                  <w:vAlign w:val="center"/>
                </w:tcPr>
                <w:p w14:paraId="024FA52C">
                  <w:pPr>
                    <w:autoSpaceDE w:val="0"/>
                    <w:autoSpaceDN w:val="0"/>
                    <w:adjustRightInd w:val="0"/>
                    <w:snapToGrid w:val="0"/>
                    <w:rPr>
                      <w:rFonts w:hint="eastAsia"/>
                      <w:color w:val="auto"/>
                      <w:kern w:val="0"/>
                      <w:szCs w:val="21"/>
                    </w:rPr>
                  </w:pPr>
                  <w:r>
                    <w:rPr>
                      <w:rFonts w:hint="eastAsia"/>
                      <w:color w:val="auto"/>
                      <w:kern w:val="0"/>
                      <w:szCs w:val="21"/>
                    </w:rPr>
                    <w:t>大气环境受体敏感重点管控区：</w:t>
                  </w:r>
                </w:p>
                <w:p w14:paraId="3FAFD52F">
                  <w:pPr>
                    <w:autoSpaceDE w:val="0"/>
                    <w:autoSpaceDN w:val="0"/>
                    <w:adjustRightInd w:val="0"/>
                    <w:snapToGrid w:val="0"/>
                    <w:rPr>
                      <w:rFonts w:hint="eastAsia"/>
                      <w:color w:val="auto"/>
                      <w:kern w:val="0"/>
                      <w:szCs w:val="21"/>
                    </w:rPr>
                  </w:pPr>
                  <w:r>
                    <w:rPr>
                      <w:rFonts w:hint="eastAsia"/>
                      <w:color w:val="auto"/>
                      <w:kern w:val="0"/>
                      <w:szCs w:val="21"/>
                    </w:rPr>
                    <w:t>1.严格控制新增《陕西省“两高”项目管理暂行目录》行业项目（民生等项目除外，后续对“两高”范围国家如有新规定的，从其规定）。</w:t>
                  </w:r>
                </w:p>
                <w:p w14:paraId="794457E4">
                  <w:pPr>
                    <w:autoSpaceDE w:val="0"/>
                    <w:autoSpaceDN w:val="0"/>
                    <w:adjustRightInd w:val="0"/>
                    <w:snapToGrid w:val="0"/>
                    <w:rPr>
                      <w:color w:val="auto"/>
                      <w:kern w:val="0"/>
                      <w:szCs w:val="21"/>
                    </w:rPr>
                  </w:pPr>
                  <w:r>
                    <w:rPr>
                      <w:rFonts w:hint="eastAsia"/>
                      <w:color w:val="auto"/>
                      <w:kern w:val="0"/>
                      <w:szCs w:val="21"/>
                    </w:rPr>
                    <w:t>2.推动重污染企业搬迁入园或依法关闭。</w:t>
                  </w:r>
                </w:p>
              </w:tc>
              <w:tc>
                <w:tcPr>
                  <w:tcW w:w="391" w:type="pct"/>
                  <w:vMerge w:val="restart"/>
                  <w:noWrap w:val="0"/>
                  <w:vAlign w:val="center"/>
                </w:tcPr>
                <w:p w14:paraId="24A54E75">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3597.43</w:t>
                  </w:r>
                </w:p>
              </w:tc>
              <w:tc>
                <w:tcPr>
                  <w:tcW w:w="1260" w:type="pct"/>
                  <w:noWrap w:val="0"/>
                  <w:vAlign w:val="center"/>
                </w:tcPr>
                <w:p w14:paraId="321FFA67">
                  <w:pPr>
                    <w:autoSpaceDE w:val="0"/>
                    <w:autoSpaceDN w:val="0"/>
                    <w:adjustRightInd w:val="0"/>
                    <w:snapToGrid w:val="0"/>
                    <w:rPr>
                      <w:rFonts w:hint="eastAsia"/>
                      <w:color w:val="auto"/>
                      <w:kern w:val="0"/>
                      <w:szCs w:val="21"/>
                    </w:rPr>
                  </w:pPr>
                  <w:r>
                    <w:rPr>
                      <w:rFonts w:hint="eastAsia"/>
                      <w:color w:val="auto"/>
                      <w:kern w:val="0"/>
                      <w:szCs w:val="21"/>
                    </w:rPr>
                    <w:t>1.本项目属于</w:t>
                  </w:r>
                  <w:r>
                    <w:rPr>
                      <w:rFonts w:hint="eastAsia"/>
                      <w:color w:val="auto"/>
                      <w:kern w:val="0"/>
                      <w:szCs w:val="21"/>
                      <w:lang w:eastAsia="zh-CN"/>
                    </w:rPr>
                    <w:t>塑料板、管、型材制造和泡沫塑料制造</w:t>
                  </w:r>
                  <w:r>
                    <w:rPr>
                      <w:rFonts w:hint="eastAsia"/>
                      <w:color w:val="auto"/>
                      <w:kern w:val="0"/>
                      <w:szCs w:val="21"/>
                      <w:lang w:val="en-US" w:eastAsia="zh-CN"/>
                    </w:rPr>
                    <w:t>业</w:t>
                  </w:r>
                  <w:r>
                    <w:rPr>
                      <w:rFonts w:hint="eastAsia"/>
                      <w:color w:val="auto"/>
                      <w:kern w:val="0"/>
                      <w:szCs w:val="21"/>
                    </w:rPr>
                    <w:t>，不属于“两高”项目；</w:t>
                  </w:r>
                </w:p>
                <w:p w14:paraId="53B24AD1">
                  <w:pPr>
                    <w:autoSpaceDE w:val="0"/>
                    <w:autoSpaceDN w:val="0"/>
                    <w:adjustRightInd w:val="0"/>
                    <w:snapToGrid w:val="0"/>
                    <w:rPr>
                      <w:color w:val="auto"/>
                      <w:kern w:val="0"/>
                      <w:szCs w:val="21"/>
                    </w:rPr>
                  </w:pPr>
                  <w:r>
                    <w:rPr>
                      <w:rFonts w:hint="eastAsia"/>
                      <w:color w:val="auto"/>
                      <w:kern w:val="0"/>
                      <w:szCs w:val="21"/>
                    </w:rPr>
                    <w:t>2.运行过程中</w:t>
                  </w:r>
                  <w:r>
                    <w:rPr>
                      <w:rFonts w:hint="eastAsia"/>
                      <w:color w:val="auto"/>
                      <w:kern w:val="0"/>
                      <w:szCs w:val="21"/>
                      <w:lang w:val="en-US" w:eastAsia="zh-CN"/>
                    </w:rPr>
                    <w:t>有机废气（挤出和发泡废气）经</w:t>
                  </w:r>
                  <w:r>
                    <w:rPr>
                      <w:rFonts w:hint="eastAsia"/>
                      <w:bCs/>
                      <w:color w:val="auto"/>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Cs w:val="21"/>
                      <w:lang w:val="en-US" w:eastAsia="zh-CN"/>
                    </w:rPr>
                    <w:t>排气筒排放</w:t>
                  </w:r>
                  <w:r>
                    <w:rPr>
                      <w:rFonts w:hint="eastAsia"/>
                      <w:color w:val="auto"/>
                      <w:kern w:val="0"/>
                      <w:szCs w:val="21"/>
                      <w:lang w:val="en-US" w:eastAsia="zh-CN"/>
                    </w:rPr>
                    <w:t>；除锈废气</w:t>
                  </w:r>
                  <w:r>
                    <w:rPr>
                      <w:rFonts w:hint="eastAsia"/>
                      <w:color w:val="auto"/>
                      <w:kern w:val="0"/>
                      <w:szCs w:val="21"/>
                    </w:rPr>
                    <w:t>采用</w:t>
                  </w:r>
                  <w:r>
                    <w:rPr>
                      <w:rFonts w:hint="eastAsia"/>
                      <w:bCs/>
                      <w:color w:val="auto"/>
                      <w:szCs w:val="21"/>
                      <w:lang w:val="en-US" w:eastAsia="zh-CN"/>
                    </w:rPr>
                    <w:t>布袋除尘器</w:t>
                  </w:r>
                  <w:r>
                    <w:rPr>
                      <w:rFonts w:hint="default" w:ascii="Times New Roman" w:hAnsi="Times New Roman" w:eastAsia="宋体" w:cs="Times New Roman"/>
                      <w:color w:val="auto"/>
                      <w:sz w:val="21"/>
                      <w:szCs w:val="21"/>
                      <w:highlight w:val="none"/>
                    </w:rPr>
                    <w:t>处理后</w:t>
                  </w:r>
                  <w:r>
                    <w:rPr>
                      <w:rFonts w:hint="eastAsia" w:eastAsia="宋体" w:cs="Times New Roman"/>
                      <w:color w:val="auto"/>
                      <w:sz w:val="21"/>
                      <w:szCs w:val="21"/>
                      <w:highlight w:val="none"/>
                      <w:lang w:val="en-US" w:eastAsia="zh-CN"/>
                    </w:rPr>
                    <w:t>由1</w:t>
                  </w:r>
                  <w:r>
                    <w:rPr>
                      <w:rFonts w:hint="eastAsia" w:cs="Times New Roman"/>
                      <w:color w:val="auto"/>
                      <w:sz w:val="21"/>
                      <w:szCs w:val="21"/>
                      <w:highlight w:val="none"/>
                      <w:lang w:val="en-US" w:eastAsia="zh-CN"/>
                    </w:rPr>
                    <w:t>5</w:t>
                  </w:r>
                  <w:r>
                    <w:rPr>
                      <w:rFonts w:hint="eastAsia" w:eastAsia="宋体" w:cs="Times New Roman"/>
                      <w:color w:val="auto"/>
                      <w:sz w:val="21"/>
                      <w:szCs w:val="21"/>
                      <w:highlight w:val="none"/>
                      <w:lang w:val="en-US" w:eastAsia="zh-CN"/>
                    </w:rPr>
                    <w:t>m高</w:t>
                  </w:r>
                  <w:r>
                    <w:rPr>
                      <w:rFonts w:hint="eastAsia"/>
                      <w:color w:val="auto"/>
                      <w:kern w:val="0"/>
                      <w:szCs w:val="21"/>
                    </w:rPr>
                    <w:t>排气筒排放</w:t>
                  </w:r>
                  <w:r>
                    <w:rPr>
                      <w:rFonts w:hint="eastAsia"/>
                      <w:color w:val="auto"/>
                      <w:kern w:val="0"/>
                      <w:szCs w:val="21"/>
                      <w:lang w:eastAsia="zh-CN"/>
                    </w:rPr>
                    <w:t>；</w:t>
                  </w:r>
                  <w:r>
                    <w:rPr>
                      <w:rFonts w:hint="eastAsia"/>
                      <w:color w:val="auto"/>
                      <w:kern w:val="0"/>
                      <w:szCs w:val="21"/>
                      <w:lang w:val="en-US" w:eastAsia="zh-CN"/>
                    </w:rPr>
                    <w:t>污染物</w:t>
                  </w:r>
                  <w:r>
                    <w:rPr>
                      <w:rFonts w:hint="eastAsia"/>
                      <w:color w:val="auto"/>
                      <w:kern w:val="0"/>
                      <w:szCs w:val="21"/>
                    </w:rPr>
                    <w:t>能够达到排放要求</w:t>
                  </w:r>
                  <w:r>
                    <w:rPr>
                      <w:rFonts w:hint="eastAsia"/>
                      <w:bCs/>
                      <w:color w:val="auto"/>
                      <w:szCs w:val="21"/>
                    </w:rPr>
                    <w:t>，</w:t>
                  </w:r>
                  <w:r>
                    <w:rPr>
                      <w:rFonts w:hint="eastAsia"/>
                      <w:color w:val="auto"/>
                      <w:kern w:val="0"/>
                      <w:szCs w:val="21"/>
                    </w:rPr>
                    <w:t>不属于重污染项目。</w:t>
                  </w:r>
                </w:p>
              </w:tc>
              <w:tc>
                <w:tcPr>
                  <w:tcW w:w="221" w:type="pct"/>
                  <w:noWrap w:val="0"/>
                  <w:vAlign w:val="center"/>
                </w:tcPr>
                <w:p w14:paraId="7272A4FC">
                  <w:pPr>
                    <w:autoSpaceDE w:val="0"/>
                    <w:autoSpaceDN w:val="0"/>
                    <w:adjustRightInd w:val="0"/>
                    <w:snapToGrid w:val="0"/>
                    <w:jc w:val="center"/>
                    <w:rPr>
                      <w:color w:val="auto"/>
                      <w:kern w:val="0"/>
                      <w:szCs w:val="21"/>
                    </w:rPr>
                  </w:pPr>
                  <w:r>
                    <w:rPr>
                      <w:color w:val="auto"/>
                      <w:kern w:val="0"/>
                      <w:szCs w:val="21"/>
                    </w:rPr>
                    <w:t>符合</w:t>
                  </w:r>
                </w:p>
              </w:tc>
            </w:tr>
            <w:tr w14:paraId="2097B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noWrap w:val="0"/>
                  <w:vAlign w:val="center"/>
                </w:tcPr>
                <w:p w14:paraId="47062CF2">
                  <w:pPr>
                    <w:autoSpaceDE w:val="0"/>
                    <w:autoSpaceDN w:val="0"/>
                    <w:adjustRightInd w:val="0"/>
                    <w:snapToGrid w:val="0"/>
                    <w:jc w:val="center"/>
                    <w:rPr>
                      <w:color w:val="auto"/>
                      <w:kern w:val="0"/>
                      <w:szCs w:val="21"/>
                    </w:rPr>
                  </w:pPr>
                </w:p>
              </w:tc>
              <w:tc>
                <w:tcPr>
                  <w:tcW w:w="367" w:type="pct"/>
                  <w:vMerge w:val="continue"/>
                  <w:noWrap w:val="0"/>
                  <w:vAlign w:val="center"/>
                </w:tcPr>
                <w:p w14:paraId="698D63F2">
                  <w:pPr>
                    <w:autoSpaceDE w:val="0"/>
                    <w:autoSpaceDN w:val="0"/>
                    <w:adjustRightInd w:val="0"/>
                    <w:snapToGrid w:val="0"/>
                    <w:jc w:val="center"/>
                    <w:rPr>
                      <w:color w:val="auto"/>
                      <w:kern w:val="0"/>
                      <w:szCs w:val="21"/>
                    </w:rPr>
                  </w:pPr>
                </w:p>
              </w:tc>
              <w:tc>
                <w:tcPr>
                  <w:tcW w:w="230" w:type="pct"/>
                  <w:vMerge w:val="continue"/>
                  <w:noWrap w:val="0"/>
                  <w:vAlign w:val="center"/>
                </w:tcPr>
                <w:p w14:paraId="78447410">
                  <w:pPr>
                    <w:autoSpaceDE w:val="0"/>
                    <w:autoSpaceDN w:val="0"/>
                    <w:adjustRightInd w:val="0"/>
                    <w:snapToGrid w:val="0"/>
                    <w:jc w:val="center"/>
                    <w:rPr>
                      <w:color w:val="auto"/>
                      <w:kern w:val="0"/>
                      <w:szCs w:val="21"/>
                    </w:rPr>
                  </w:pPr>
                </w:p>
              </w:tc>
              <w:tc>
                <w:tcPr>
                  <w:tcW w:w="162" w:type="pct"/>
                  <w:vMerge w:val="continue"/>
                  <w:noWrap w:val="0"/>
                  <w:vAlign w:val="center"/>
                </w:tcPr>
                <w:p w14:paraId="45C1A98D">
                  <w:pPr>
                    <w:autoSpaceDE w:val="0"/>
                    <w:autoSpaceDN w:val="0"/>
                    <w:adjustRightInd w:val="0"/>
                    <w:snapToGrid w:val="0"/>
                    <w:jc w:val="center"/>
                    <w:rPr>
                      <w:color w:val="auto"/>
                      <w:kern w:val="0"/>
                      <w:szCs w:val="21"/>
                    </w:rPr>
                  </w:pPr>
                </w:p>
              </w:tc>
              <w:tc>
                <w:tcPr>
                  <w:tcW w:w="270" w:type="pct"/>
                  <w:vMerge w:val="continue"/>
                  <w:noWrap w:val="0"/>
                  <w:vAlign w:val="center"/>
                </w:tcPr>
                <w:p w14:paraId="106543D0">
                  <w:pPr>
                    <w:autoSpaceDE w:val="0"/>
                    <w:autoSpaceDN w:val="0"/>
                    <w:adjustRightInd w:val="0"/>
                    <w:snapToGrid w:val="0"/>
                    <w:jc w:val="center"/>
                    <w:rPr>
                      <w:color w:val="auto"/>
                      <w:kern w:val="0"/>
                      <w:szCs w:val="21"/>
                    </w:rPr>
                  </w:pPr>
                </w:p>
              </w:tc>
              <w:tc>
                <w:tcPr>
                  <w:tcW w:w="270" w:type="pct"/>
                  <w:noWrap w:val="0"/>
                  <w:vAlign w:val="center"/>
                </w:tcPr>
                <w:p w14:paraId="57E1123E">
                  <w:pPr>
                    <w:autoSpaceDE w:val="0"/>
                    <w:autoSpaceDN w:val="0"/>
                    <w:adjustRightInd w:val="0"/>
                    <w:snapToGrid w:val="0"/>
                    <w:rPr>
                      <w:color w:val="auto"/>
                      <w:kern w:val="0"/>
                      <w:szCs w:val="21"/>
                    </w:rPr>
                  </w:pPr>
                  <w:r>
                    <w:rPr>
                      <w:color w:val="auto"/>
                      <w:kern w:val="0"/>
                      <w:szCs w:val="21"/>
                    </w:rPr>
                    <w:t>污染物排放管控</w:t>
                  </w:r>
                </w:p>
              </w:tc>
              <w:tc>
                <w:tcPr>
                  <w:tcW w:w="1589" w:type="pct"/>
                  <w:noWrap w:val="0"/>
                  <w:vAlign w:val="center"/>
                </w:tcPr>
                <w:p w14:paraId="3B3B720F">
                  <w:pPr>
                    <w:autoSpaceDE w:val="0"/>
                    <w:autoSpaceDN w:val="0"/>
                    <w:adjustRightInd w:val="0"/>
                    <w:snapToGrid w:val="0"/>
                    <w:rPr>
                      <w:rFonts w:hint="eastAsia"/>
                      <w:color w:val="auto"/>
                      <w:kern w:val="0"/>
                      <w:szCs w:val="21"/>
                    </w:rPr>
                  </w:pPr>
                  <w:r>
                    <w:rPr>
                      <w:rFonts w:hint="eastAsia"/>
                      <w:color w:val="auto"/>
                      <w:kern w:val="0"/>
                      <w:szCs w:val="21"/>
                    </w:rPr>
                    <w:t>大气环境受体敏感重点管控区：</w:t>
                  </w:r>
                </w:p>
                <w:p w14:paraId="77A6F559">
                  <w:pPr>
                    <w:autoSpaceDE w:val="0"/>
                    <w:autoSpaceDN w:val="0"/>
                    <w:adjustRightInd w:val="0"/>
                    <w:snapToGrid w:val="0"/>
                    <w:rPr>
                      <w:rFonts w:hint="eastAsia"/>
                      <w:color w:val="auto"/>
                      <w:kern w:val="0"/>
                      <w:szCs w:val="21"/>
                    </w:rPr>
                  </w:pPr>
                  <w:r>
                    <w:rPr>
                      <w:rFonts w:hint="eastAsia"/>
                      <w:color w:val="auto"/>
                      <w:kern w:val="0"/>
                      <w:szCs w:val="21"/>
                    </w:rPr>
                    <w:t>1.城市建成区产生油烟的餐饮服务单位全部安装油烟净化装置并保持正常运行和定期维护。</w:t>
                  </w:r>
                </w:p>
                <w:p w14:paraId="63BE5BA4">
                  <w:pPr>
                    <w:autoSpaceDE w:val="0"/>
                    <w:autoSpaceDN w:val="0"/>
                    <w:adjustRightInd w:val="0"/>
                    <w:snapToGrid w:val="0"/>
                    <w:rPr>
                      <w:rFonts w:hint="eastAsia"/>
                      <w:color w:val="auto"/>
                      <w:kern w:val="0"/>
                      <w:szCs w:val="21"/>
                    </w:rPr>
                  </w:pPr>
                  <w:r>
                    <w:rPr>
                      <w:rFonts w:hint="eastAsia"/>
                      <w:color w:val="auto"/>
                      <w:kern w:val="0"/>
                      <w:szCs w:val="21"/>
                    </w:rPr>
                    <w:t>2.持续因地制宜实施“煤改气”、“油改气”、电能、地热、生物质等清洁能源取暖措施。</w:t>
                  </w:r>
                </w:p>
                <w:p w14:paraId="726BD304">
                  <w:pPr>
                    <w:autoSpaceDE w:val="0"/>
                    <w:autoSpaceDN w:val="0"/>
                    <w:adjustRightInd w:val="0"/>
                    <w:snapToGrid w:val="0"/>
                    <w:rPr>
                      <w:rFonts w:hint="eastAsia"/>
                      <w:color w:val="auto"/>
                      <w:kern w:val="0"/>
                      <w:szCs w:val="21"/>
                    </w:rPr>
                  </w:pPr>
                  <w:r>
                    <w:rPr>
                      <w:rFonts w:hint="eastAsia"/>
                      <w:color w:val="auto"/>
                      <w:kern w:val="0"/>
                      <w:szCs w:val="21"/>
                    </w:rPr>
                    <w:t>3.鼓励将老旧车辆和非道路移动机械替换为清洁能源车辆。推进新能源或清洁能源汽车使用。</w:t>
                  </w:r>
                </w:p>
                <w:p w14:paraId="352334A7">
                  <w:pPr>
                    <w:autoSpaceDE w:val="0"/>
                    <w:autoSpaceDN w:val="0"/>
                    <w:adjustRightInd w:val="0"/>
                    <w:snapToGrid w:val="0"/>
                    <w:rPr>
                      <w:rFonts w:hint="default" w:eastAsia="宋体"/>
                      <w:color w:val="auto"/>
                      <w:kern w:val="0"/>
                      <w:szCs w:val="21"/>
                      <w:lang w:val="en-US" w:eastAsia="zh-CN"/>
                    </w:rPr>
                  </w:pPr>
                  <w:r>
                    <w:rPr>
                      <w:rFonts w:hint="eastAsia"/>
                      <w:color w:val="auto"/>
                      <w:kern w:val="0"/>
                      <w:szCs w:val="21"/>
                      <w:lang w:val="en-US" w:eastAsia="zh-CN"/>
                    </w:rPr>
                    <w:t>4.位于大气污染防治重点区域的汾渭平原，特别排放限值行业（钢铁、水泥、焦化、石化、化工、有色等行业）现有企业全面执行二氧化硫、氮氧化物、颗粒物、挥发性有机物（VOCs）特别排放限值。</w:t>
                  </w:r>
                </w:p>
              </w:tc>
              <w:tc>
                <w:tcPr>
                  <w:tcW w:w="391" w:type="pct"/>
                  <w:vMerge w:val="continue"/>
                  <w:noWrap w:val="0"/>
                  <w:vAlign w:val="center"/>
                </w:tcPr>
                <w:p w14:paraId="2AF8A624">
                  <w:pPr>
                    <w:autoSpaceDE w:val="0"/>
                    <w:autoSpaceDN w:val="0"/>
                    <w:adjustRightInd w:val="0"/>
                    <w:snapToGrid w:val="0"/>
                    <w:rPr>
                      <w:rFonts w:hint="eastAsia"/>
                      <w:color w:val="auto"/>
                      <w:kern w:val="0"/>
                      <w:szCs w:val="21"/>
                    </w:rPr>
                  </w:pPr>
                </w:p>
              </w:tc>
              <w:tc>
                <w:tcPr>
                  <w:tcW w:w="1260" w:type="pct"/>
                  <w:noWrap w:val="0"/>
                  <w:vAlign w:val="center"/>
                </w:tcPr>
                <w:p w14:paraId="5ACAD112">
                  <w:pPr>
                    <w:rPr>
                      <w:rFonts w:hint="eastAsia"/>
                      <w:color w:val="auto"/>
                      <w:kern w:val="0"/>
                      <w:szCs w:val="21"/>
                    </w:rPr>
                  </w:pPr>
                  <w:r>
                    <w:rPr>
                      <w:rFonts w:hint="eastAsia"/>
                      <w:color w:val="auto"/>
                      <w:kern w:val="0"/>
                      <w:szCs w:val="21"/>
                    </w:rPr>
                    <w:t>1.本项目不属于产生油烟的餐饮服务业；</w:t>
                  </w:r>
                </w:p>
                <w:p w14:paraId="76818E7B">
                  <w:pPr>
                    <w:rPr>
                      <w:rFonts w:hint="eastAsia"/>
                      <w:color w:val="auto"/>
                      <w:kern w:val="0"/>
                      <w:szCs w:val="21"/>
                    </w:rPr>
                  </w:pPr>
                  <w:r>
                    <w:rPr>
                      <w:rFonts w:hint="eastAsia"/>
                      <w:color w:val="auto"/>
                      <w:kern w:val="0"/>
                      <w:szCs w:val="21"/>
                    </w:rPr>
                    <w:t>2.本项目</w:t>
                  </w:r>
                  <w:r>
                    <w:rPr>
                      <w:rFonts w:hint="eastAsia"/>
                      <w:color w:val="auto"/>
                      <w:kern w:val="0"/>
                      <w:szCs w:val="21"/>
                      <w:lang w:val="en-US" w:eastAsia="zh-CN"/>
                    </w:rPr>
                    <w:t>运行过程中使用能源主要为电能，属于清洁能源</w:t>
                  </w:r>
                  <w:r>
                    <w:rPr>
                      <w:rFonts w:hint="eastAsia"/>
                      <w:color w:val="auto"/>
                      <w:kern w:val="0"/>
                      <w:szCs w:val="21"/>
                    </w:rPr>
                    <w:t>；</w:t>
                  </w:r>
                </w:p>
                <w:p w14:paraId="11DF0FF3">
                  <w:pPr>
                    <w:rPr>
                      <w:rFonts w:hint="eastAsia"/>
                      <w:color w:val="auto"/>
                      <w:kern w:val="0"/>
                      <w:szCs w:val="21"/>
                    </w:rPr>
                  </w:pPr>
                  <w:r>
                    <w:rPr>
                      <w:rFonts w:hint="eastAsia"/>
                      <w:color w:val="auto"/>
                      <w:kern w:val="0"/>
                      <w:szCs w:val="21"/>
                    </w:rPr>
                    <w:t>3.本项目不涉及老旧车辆和非道路移动机械。</w:t>
                  </w:r>
                </w:p>
                <w:p w14:paraId="17E1BD8E">
                  <w:pPr>
                    <w:rPr>
                      <w:rFonts w:hint="default" w:eastAsia="宋体"/>
                      <w:color w:val="auto"/>
                      <w:kern w:val="0"/>
                      <w:szCs w:val="21"/>
                      <w:lang w:val="en-US" w:eastAsia="zh-CN"/>
                    </w:rPr>
                  </w:pPr>
                  <w:r>
                    <w:rPr>
                      <w:rFonts w:hint="eastAsia"/>
                      <w:color w:val="auto"/>
                      <w:kern w:val="0"/>
                      <w:szCs w:val="21"/>
                      <w:lang w:val="en-US" w:eastAsia="zh-CN"/>
                    </w:rPr>
                    <w:t>4.本项目不属于特别排放限值行业（钢铁、水泥、焦化、石化、化工、有色等行业）。</w:t>
                  </w:r>
                </w:p>
              </w:tc>
              <w:tc>
                <w:tcPr>
                  <w:tcW w:w="221" w:type="pct"/>
                  <w:noWrap w:val="0"/>
                  <w:vAlign w:val="center"/>
                </w:tcPr>
                <w:p w14:paraId="4C48D725">
                  <w:pPr>
                    <w:autoSpaceDE w:val="0"/>
                    <w:autoSpaceDN w:val="0"/>
                    <w:adjustRightInd w:val="0"/>
                    <w:snapToGrid w:val="0"/>
                    <w:rPr>
                      <w:color w:val="auto"/>
                      <w:kern w:val="0"/>
                      <w:szCs w:val="21"/>
                    </w:rPr>
                  </w:pPr>
                  <w:r>
                    <w:rPr>
                      <w:color w:val="auto"/>
                      <w:kern w:val="0"/>
                      <w:szCs w:val="21"/>
                    </w:rPr>
                    <w:t>符合</w:t>
                  </w:r>
                </w:p>
              </w:tc>
            </w:tr>
            <w:tr w14:paraId="2FB9C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noWrap w:val="0"/>
                  <w:vAlign w:val="center"/>
                </w:tcPr>
                <w:p w14:paraId="15707687">
                  <w:pPr>
                    <w:autoSpaceDE w:val="0"/>
                    <w:autoSpaceDN w:val="0"/>
                    <w:adjustRightInd w:val="0"/>
                    <w:snapToGrid w:val="0"/>
                    <w:rPr>
                      <w:color w:val="auto"/>
                      <w:kern w:val="0"/>
                      <w:szCs w:val="21"/>
                    </w:rPr>
                  </w:pPr>
                </w:p>
              </w:tc>
              <w:tc>
                <w:tcPr>
                  <w:tcW w:w="367" w:type="pct"/>
                  <w:vMerge w:val="continue"/>
                  <w:noWrap w:val="0"/>
                  <w:vAlign w:val="center"/>
                </w:tcPr>
                <w:p w14:paraId="1D47D8C2">
                  <w:pPr>
                    <w:autoSpaceDE w:val="0"/>
                    <w:autoSpaceDN w:val="0"/>
                    <w:adjustRightInd w:val="0"/>
                    <w:snapToGrid w:val="0"/>
                    <w:rPr>
                      <w:color w:val="auto"/>
                      <w:kern w:val="0"/>
                      <w:szCs w:val="21"/>
                    </w:rPr>
                  </w:pPr>
                </w:p>
              </w:tc>
              <w:tc>
                <w:tcPr>
                  <w:tcW w:w="230" w:type="pct"/>
                  <w:vMerge w:val="continue"/>
                  <w:noWrap w:val="0"/>
                  <w:vAlign w:val="center"/>
                </w:tcPr>
                <w:p w14:paraId="27B5FD1B">
                  <w:pPr>
                    <w:autoSpaceDE w:val="0"/>
                    <w:autoSpaceDN w:val="0"/>
                    <w:adjustRightInd w:val="0"/>
                    <w:snapToGrid w:val="0"/>
                    <w:rPr>
                      <w:color w:val="auto"/>
                      <w:kern w:val="0"/>
                      <w:szCs w:val="21"/>
                    </w:rPr>
                  </w:pPr>
                </w:p>
              </w:tc>
              <w:tc>
                <w:tcPr>
                  <w:tcW w:w="162" w:type="pct"/>
                  <w:vMerge w:val="continue"/>
                  <w:noWrap w:val="0"/>
                  <w:vAlign w:val="center"/>
                </w:tcPr>
                <w:p w14:paraId="5BD80121">
                  <w:pPr>
                    <w:autoSpaceDE w:val="0"/>
                    <w:autoSpaceDN w:val="0"/>
                    <w:adjustRightInd w:val="0"/>
                    <w:snapToGrid w:val="0"/>
                    <w:rPr>
                      <w:color w:val="auto"/>
                      <w:kern w:val="0"/>
                      <w:szCs w:val="21"/>
                    </w:rPr>
                  </w:pPr>
                </w:p>
              </w:tc>
              <w:tc>
                <w:tcPr>
                  <w:tcW w:w="270" w:type="pct"/>
                  <w:noWrap w:val="0"/>
                  <w:vAlign w:val="center"/>
                </w:tcPr>
                <w:p w14:paraId="37AB156D">
                  <w:pPr>
                    <w:autoSpaceDE w:val="0"/>
                    <w:autoSpaceDN w:val="0"/>
                    <w:adjustRightInd w:val="0"/>
                    <w:snapToGrid w:val="0"/>
                    <w:rPr>
                      <w:color w:val="auto"/>
                      <w:kern w:val="0"/>
                      <w:szCs w:val="21"/>
                    </w:rPr>
                  </w:pPr>
                  <w:r>
                    <w:rPr>
                      <w:rFonts w:hint="eastAsia"/>
                      <w:color w:val="auto"/>
                      <w:kern w:val="0"/>
                      <w:szCs w:val="21"/>
                    </w:rPr>
                    <w:t>水环境城镇生活污染重点管控区</w:t>
                  </w:r>
                </w:p>
              </w:tc>
              <w:tc>
                <w:tcPr>
                  <w:tcW w:w="270" w:type="pct"/>
                  <w:shd w:val="clear" w:color="auto" w:fill="auto"/>
                  <w:noWrap w:val="0"/>
                  <w:vAlign w:val="center"/>
                </w:tcPr>
                <w:p w14:paraId="660FDE03">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污染物排放管控</w:t>
                  </w:r>
                </w:p>
              </w:tc>
              <w:tc>
                <w:tcPr>
                  <w:tcW w:w="1589" w:type="pct"/>
                  <w:shd w:val="clear" w:color="auto" w:fill="auto"/>
                  <w:noWrap w:val="0"/>
                  <w:vAlign w:val="center"/>
                </w:tcPr>
                <w:p w14:paraId="264C12C4">
                  <w:pPr>
                    <w:autoSpaceDE w:val="0"/>
                    <w:autoSpaceDN w:val="0"/>
                    <w:adjustRightInd w:val="0"/>
                    <w:snapToGrid w:val="0"/>
                    <w:rPr>
                      <w:rFonts w:hint="eastAsia"/>
                      <w:color w:val="auto"/>
                      <w:szCs w:val="21"/>
                    </w:rPr>
                  </w:pPr>
                  <w:r>
                    <w:rPr>
                      <w:rFonts w:hint="eastAsia"/>
                      <w:color w:val="auto"/>
                      <w:szCs w:val="21"/>
                    </w:rPr>
                    <w:t>水环境城镇生活污染重点管控区：</w:t>
                  </w:r>
                </w:p>
                <w:p w14:paraId="1FBC8016">
                  <w:pPr>
                    <w:autoSpaceDE w:val="0"/>
                    <w:autoSpaceDN w:val="0"/>
                    <w:adjustRightInd w:val="0"/>
                    <w:snapToGrid w:val="0"/>
                    <w:rPr>
                      <w:rFonts w:hint="eastAsia"/>
                      <w:color w:val="auto"/>
                      <w:szCs w:val="21"/>
                    </w:rPr>
                  </w:pPr>
                  <w:r>
                    <w:rPr>
                      <w:rFonts w:hint="eastAsia"/>
                      <w:color w:val="auto"/>
                      <w:szCs w:val="21"/>
                    </w:rPr>
                    <w:t>1.加强城镇污水收集处理设施建设与提标改造。城镇生活污水处理达到《陕西省黄河流域污水综合排放标准》（DB61/224-2018）排放限值要求。</w:t>
                  </w:r>
                </w:p>
                <w:p w14:paraId="226C6150">
                  <w:pPr>
                    <w:autoSpaceDE w:val="0"/>
                    <w:autoSpaceDN w:val="0"/>
                    <w:adjustRightInd w:val="0"/>
                    <w:snapToGrid w:val="0"/>
                    <w:rPr>
                      <w:rFonts w:hint="eastAsia"/>
                      <w:color w:val="auto"/>
                      <w:szCs w:val="21"/>
                    </w:rPr>
                  </w:pPr>
                  <w:r>
                    <w:rPr>
                      <w:rFonts w:hint="eastAsia"/>
                      <w:color w:val="auto"/>
                      <w:szCs w:val="21"/>
                    </w:rPr>
                    <w:t>2.城镇新区管网建设及老旧城区管网升级改造中实行雨污分流，鼓励推进初期雨水收集、处理和资源化利用，建设人工湿地水质净化工程，对处理达标后的尾水进一步净化。</w:t>
                  </w:r>
                </w:p>
                <w:p w14:paraId="7A5646E6">
                  <w:pPr>
                    <w:autoSpaceDE w:val="0"/>
                    <w:autoSpaceDN w:val="0"/>
                    <w:adjustRightInd w:val="0"/>
                    <w:snapToGrid w:val="0"/>
                    <w:rPr>
                      <w:rFonts w:hint="eastAsia"/>
                      <w:color w:val="auto"/>
                      <w:szCs w:val="21"/>
                    </w:rPr>
                  </w:pPr>
                  <w:r>
                    <w:rPr>
                      <w:rFonts w:hint="eastAsia"/>
                      <w:color w:val="auto"/>
                      <w:szCs w:val="21"/>
                      <w:lang w:val="en-US" w:eastAsia="zh-CN"/>
                    </w:rPr>
                    <w:t>3</w:t>
                  </w:r>
                  <w:r>
                    <w:rPr>
                      <w:rFonts w:hint="eastAsia"/>
                      <w:color w:val="auto"/>
                      <w:szCs w:val="21"/>
                    </w:rPr>
                    <w:t>.污水处理厂出水用于绿化、农灌等用途的，合理确定管控要求，确保达到相应污水再生利用标准。</w:t>
                  </w:r>
                </w:p>
                <w:p w14:paraId="1C7D14A9">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szCs w:val="21"/>
                    </w:rPr>
                    <w:t>4.加强城镇污水收集处理设施建设与提标改造，推进渭河南岸西部污水处理厂建设，提升污水处理能力，因地制宜在污水处理厂出水口处建设人工水质净化工程。推进新建污水处理设施与配套管网的同步设计、同步建设、同步投运，加快污水管网建设与雨污分流改造，完成市区老旧城区管网升级改造。</w:t>
                  </w:r>
                </w:p>
              </w:tc>
              <w:tc>
                <w:tcPr>
                  <w:tcW w:w="391" w:type="pct"/>
                  <w:vMerge w:val="continue"/>
                  <w:noWrap w:val="0"/>
                  <w:vAlign w:val="center"/>
                </w:tcPr>
                <w:p w14:paraId="0D022ABA">
                  <w:pPr>
                    <w:autoSpaceDE w:val="0"/>
                    <w:autoSpaceDN w:val="0"/>
                    <w:adjustRightInd w:val="0"/>
                    <w:snapToGrid w:val="0"/>
                    <w:rPr>
                      <w:rFonts w:hint="eastAsia"/>
                      <w:color w:val="auto"/>
                      <w:kern w:val="0"/>
                      <w:szCs w:val="21"/>
                    </w:rPr>
                  </w:pPr>
                </w:p>
              </w:tc>
              <w:tc>
                <w:tcPr>
                  <w:tcW w:w="1260" w:type="pct"/>
                  <w:noWrap w:val="0"/>
                  <w:vAlign w:val="center"/>
                </w:tcPr>
                <w:p w14:paraId="749FBCA9">
                  <w:pPr>
                    <w:rPr>
                      <w:rFonts w:hint="eastAsia"/>
                      <w:color w:val="auto"/>
                      <w:szCs w:val="21"/>
                    </w:rPr>
                  </w:pPr>
                  <w:r>
                    <w:rPr>
                      <w:rFonts w:hint="eastAsia"/>
                      <w:color w:val="auto"/>
                      <w:szCs w:val="21"/>
                    </w:rPr>
                    <w:t>本项目</w:t>
                  </w:r>
                  <w:r>
                    <w:rPr>
                      <w:rFonts w:hint="eastAsia"/>
                      <w:color w:val="auto"/>
                      <w:szCs w:val="21"/>
                      <w:lang w:val="en-US" w:eastAsia="zh-CN"/>
                    </w:rPr>
                    <w:t>租赁厂区</w:t>
                  </w:r>
                  <w:r>
                    <w:rPr>
                      <w:rFonts w:hint="eastAsia"/>
                      <w:bCs/>
                      <w:color w:val="auto"/>
                      <w:szCs w:val="21"/>
                    </w:rPr>
                    <w:t>生活污水管网系统建设完善；</w:t>
                  </w:r>
                </w:p>
                <w:p w14:paraId="2016A9DC">
                  <w:pPr>
                    <w:rPr>
                      <w:rFonts w:hint="eastAsia" w:eastAsia="宋体"/>
                      <w:color w:val="auto"/>
                      <w:kern w:val="0"/>
                      <w:szCs w:val="21"/>
                      <w:lang w:eastAsia="zh-CN"/>
                    </w:rPr>
                  </w:pPr>
                  <w:r>
                    <w:rPr>
                      <w:rFonts w:hint="eastAsia"/>
                      <w:color w:val="auto"/>
                      <w:szCs w:val="21"/>
                    </w:rPr>
                    <w:t>本项目不属于污水处理厂项目。</w:t>
                  </w:r>
                </w:p>
              </w:tc>
              <w:tc>
                <w:tcPr>
                  <w:tcW w:w="221" w:type="pct"/>
                  <w:noWrap w:val="0"/>
                  <w:vAlign w:val="center"/>
                </w:tcPr>
                <w:p w14:paraId="66EBD5CD">
                  <w:pPr>
                    <w:autoSpaceDE w:val="0"/>
                    <w:autoSpaceDN w:val="0"/>
                    <w:adjustRightInd w:val="0"/>
                    <w:snapToGrid w:val="0"/>
                    <w:rPr>
                      <w:color w:val="auto"/>
                      <w:kern w:val="0"/>
                      <w:szCs w:val="21"/>
                    </w:rPr>
                  </w:pPr>
                  <w:r>
                    <w:rPr>
                      <w:color w:val="auto"/>
                      <w:kern w:val="0"/>
                      <w:szCs w:val="21"/>
                    </w:rPr>
                    <w:t>符合</w:t>
                  </w:r>
                </w:p>
              </w:tc>
            </w:tr>
            <w:tr w14:paraId="6D335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noWrap w:val="0"/>
                  <w:vAlign w:val="center"/>
                </w:tcPr>
                <w:p w14:paraId="50B06B92">
                  <w:pPr>
                    <w:autoSpaceDE w:val="0"/>
                    <w:autoSpaceDN w:val="0"/>
                    <w:adjustRightInd w:val="0"/>
                    <w:snapToGrid w:val="0"/>
                    <w:jc w:val="center"/>
                    <w:rPr>
                      <w:color w:val="auto"/>
                      <w:kern w:val="0"/>
                      <w:szCs w:val="21"/>
                    </w:rPr>
                  </w:pPr>
                </w:p>
              </w:tc>
              <w:tc>
                <w:tcPr>
                  <w:tcW w:w="367" w:type="pct"/>
                  <w:vMerge w:val="continue"/>
                  <w:noWrap w:val="0"/>
                  <w:vAlign w:val="center"/>
                </w:tcPr>
                <w:p w14:paraId="5FFE6A6B">
                  <w:pPr>
                    <w:autoSpaceDE w:val="0"/>
                    <w:autoSpaceDN w:val="0"/>
                    <w:adjustRightInd w:val="0"/>
                    <w:snapToGrid w:val="0"/>
                    <w:jc w:val="center"/>
                    <w:rPr>
                      <w:color w:val="auto"/>
                      <w:kern w:val="0"/>
                      <w:szCs w:val="21"/>
                    </w:rPr>
                  </w:pPr>
                </w:p>
              </w:tc>
              <w:tc>
                <w:tcPr>
                  <w:tcW w:w="230" w:type="pct"/>
                  <w:vMerge w:val="continue"/>
                  <w:noWrap w:val="0"/>
                  <w:vAlign w:val="center"/>
                </w:tcPr>
                <w:p w14:paraId="4EFA2A98">
                  <w:pPr>
                    <w:autoSpaceDE w:val="0"/>
                    <w:autoSpaceDN w:val="0"/>
                    <w:adjustRightInd w:val="0"/>
                    <w:snapToGrid w:val="0"/>
                    <w:jc w:val="center"/>
                    <w:rPr>
                      <w:color w:val="auto"/>
                      <w:kern w:val="0"/>
                      <w:szCs w:val="21"/>
                    </w:rPr>
                  </w:pPr>
                </w:p>
              </w:tc>
              <w:tc>
                <w:tcPr>
                  <w:tcW w:w="162" w:type="pct"/>
                  <w:vMerge w:val="continue"/>
                  <w:noWrap w:val="0"/>
                  <w:vAlign w:val="center"/>
                </w:tcPr>
                <w:p w14:paraId="394FB822">
                  <w:pPr>
                    <w:autoSpaceDE w:val="0"/>
                    <w:autoSpaceDN w:val="0"/>
                    <w:adjustRightInd w:val="0"/>
                    <w:snapToGrid w:val="0"/>
                    <w:jc w:val="center"/>
                    <w:rPr>
                      <w:color w:val="auto"/>
                      <w:kern w:val="0"/>
                      <w:szCs w:val="21"/>
                    </w:rPr>
                  </w:pPr>
                </w:p>
              </w:tc>
              <w:tc>
                <w:tcPr>
                  <w:tcW w:w="270" w:type="pct"/>
                  <w:noWrap w:val="0"/>
                  <w:vAlign w:val="center"/>
                </w:tcPr>
                <w:p w14:paraId="23BD20BB">
                  <w:pPr>
                    <w:autoSpaceDE w:val="0"/>
                    <w:autoSpaceDN w:val="0"/>
                    <w:adjustRightInd w:val="0"/>
                    <w:snapToGrid w:val="0"/>
                    <w:jc w:val="center"/>
                    <w:rPr>
                      <w:color w:val="auto"/>
                      <w:kern w:val="0"/>
                      <w:szCs w:val="21"/>
                    </w:rPr>
                  </w:pPr>
                  <w:r>
                    <w:rPr>
                      <w:rFonts w:hint="eastAsia"/>
                      <w:color w:val="auto"/>
                      <w:kern w:val="0"/>
                      <w:szCs w:val="21"/>
                    </w:rPr>
                    <w:t>高污染燃料禁燃区</w:t>
                  </w:r>
                </w:p>
              </w:tc>
              <w:tc>
                <w:tcPr>
                  <w:tcW w:w="270" w:type="pct"/>
                  <w:noWrap w:val="0"/>
                  <w:vAlign w:val="center"/>
                </w:tcPr>
                <w:p w14:paraId="1B2CF389">
                  <w:pPr>
                    <w:autoSpaceDE w:val="0"/>
                    <w:autoSpaceDN w:val="0"/>
                    <w:adjustRightInd w:val="0"/>
                    <w:snapToGrid w:val="0"/>
                    <w:jc w:val="center"/>
                    <w:rPr>
                      <w:rFonts w:hint="eastAsia"/>
                      <w:color w:val="auto"/>
                      <w:kern w:val="0"/>
                      <w:szCs w:val="21"/>
                    </w:rPr>
                  </w:pPr>
                  <w:r>
                    <w:rPr>
                      <w:rFonts w:hint="eastAsia"/>
                      <w:color w:val="auto"/>
                      <w:kern w:val="0"/>
                      <w:szCs w:val="21"/>
                    </w:rPr>
                    <w:t>资源开发效率要求</w:t>
                  </w:r>
                </w:p>
              </w:tc>
              <w:tc>
                <w:tcPr>
                  <w:tcW w:w="1589" w:type="pct"/>
                  <w:noWrap w:val="0"/>
                  <w:vAlign w:val="center"/>
                </w:tcPr>
                <w:p w14:paraId="1789AFFA">
                  <w:pPr>
                    <w:autoSpaceDE w:val="0"/>
                    <w:autoSpaceDN w:val="0"/>
                    <w:adjustRightInd w:val="0"/>
                    <w:snapToGrid w:val="0"/>
                    <w:rPr>
                      <w:color w:val="auto"/>
                      <w:szCs w:val="21"/>
                    </w:rPr>
                  </w:pPr>
                  <w:r>
                    <w:rPr>
                      <w:rFonts w:hint="eastAsia"/>
                      <w:color w:val="auto"/>
                      <w:szCs w:val="21"/>
                    </w:rPr>
                    <w:t>高污染燃料禁燃区：严格禁燃区管控。市区和南六县市全域及北五县市城镇周边划定为高污染燃料禁燃区，禁止销售、使用煤炭及其制品等高污染燃料（35蒸吨及以上燃煤锅炉、火力发电企业、机组及水泥、砖瓦等原料煤使用企业除外）；各县市区全面退出禁燃区内洁净煤加工中心及配送网点，对配送网点及群众存量煤炭全部有偿回收。北五县市非禁燃区内可采用洁净煤或“生物质成型燃料+专用炉具”兜底。加强对直送、网络等方式销售散煤的监管，严厉打击违法销售行为，同时倒查上游企业责任，从源头杜绝散煤销售。</w:t>
                  </w:r>
                </w:p>
              </w:tc>
              <w:tc>
                <w:tcPr>
                  <w:tcW w:w="391" w:type="pct"/>
                  <w:vMerge w:val="continue"/>
                  <w:noWrap w:val="0"/>
                  <w:vAlign w:val="center"/>
                </w:tcPr>
                <w:p w14:paraId="2E9D7A9F">
                  <w:pPr>
                    <w:autoSpaceDE w:val="0"/>
                    <w:autoSpaceDN w:val="0"/>
                    <w:adjustRightInd w:val="0"/>
                    <w:snapToGrid w:val="0"/>
                    <w:rPr>
                      <w:rFonts w:hint="eastAsia"/>
                      <w:color w:val="auto"/>
                      <w:szCs w:val="21"/>
                    </w:rPr>
                  </w:pPr>
                </w:p>
              </w:tc>
              <w:tc>
                <w:tcPr>
                  <w:tcW w:w="1260" w:type="pct"/>
                  <w:noWrap w:val="0"/>
                  <w:vAlign w:val="center"/>
                </w:tcPr>
                <w:p w14:paraId="777E92F8">
                  <w:pPr>
                    <w:autoSpaceDE w:val="0"/>
                    <w:autoSpaceDN w:val="0"/>
                    <w:adjustRightInd w:val="0"/>
                    <w:snapToGrid w:val="0"/>
                    <w:rPr>
                      <w:rFonts w:hint="eastAsia"/>
                      <w:color w:val="auto"/>
                      <w:kern w:val="0"/>
                      <w:szCs w:val="21"/>
                    </w:rPr>
                  </w:pPr>
                  <w:r>
                    <w:rPr>
                      <w:rFonts w:hint="eastAsia"/>
                      <w:color w:val="auto"/>
                      <w:kern w:val="21"/>
                      <w:szCs w:val="21"/>
                    </w:rPr>
                    <w:t>本项目</w:t>
                  </w:r>
                  <w:r>
                    <w:rPr>
                      <w:rFonts w:hint="eastAsia"/>
                      <w:color w:val="auto"/>
                      <w:kern w:val="21"/>
                      <w:szCs w:val="21"/>
                      <w:lang w:val="en-US" w:eastAsia="zh-CN"/>
                    </w:rPr>
                    <w:t>不销售和</w:t>
                  </w:r>
                  <w:r>
                    <w:rPr>
                      <w:rFonts w:hint="eastAsia"/>
                      <w:color w:val="auto"/>
                      <w:szCs w:val="21"/>
                    </w:rPr>
                    <w:t>使用高污染燃料</w:t>
                  </w:r>
                  <w:r>
                    <w:rPr>
                      <w:rFonts w:hint="eastAsia"/>
                      <w:color w:val="auto"/>
                      <w:szCs w:val="21"/>
                      <w:lang w:eastAsia="zh-CN"/>
                    </w:rPr>
                    <w:t>，</w:t>
                  </w:r>
                  <w:r>
                    <w:rPr>
                      <w:rFonts w:hint="eastAsia"/>
                      <w:color w:val="auto"/>
                      <w:szCs w:val="21"/>
                      <w:lang w:val="en-US" w:eastAsia="zh-CN"/>
                    </w:rPr>
                    <w:t>无</w:t>
                  </w:r>
                  <w:r>
                    <w:rPr>
                      <w:rFonts w:hint="eastAsia"/>
                      <w:color w:val="auto"/>
                      <w:szCs w:val="21"/>
                    </w:rPr>
                    <w:t>高污染燃料的设施</w:t>
                  </w:r>
                  <w:r>
                    <w:rPr>
                      <w:rFonts w:hint="eastAsia"/>
                      <w:color w:val="auto"/>
                      <w:szCs w:val="21"/>
                      <w:lang w:eastAsia="zh-CN"/>
                    </w:rPr>
                    <w:t>。</w:t>
                  </w:r>
                </w:p>
              </w:tc>
              <w:tc>
                <w:tcPr>
                  <w:tcW w:w="221" w:type="pct"/>
                  <w:noWrap w:val="0"/>
                  <w:vAlign w:val="center"/>
                </w:tcPr>
                <w:p w14:paraId="1069E769">
                  <w:pPr>
                    <w:autoSpaceDE w:val="0"/>
                    <w:autoSpaceDN w:val="0"/>
                    <w:adjustRightInd w:val="0"/>
                    <w:snapToGrid w:val="0"/>
                    <w:rPr>
                      <w:color w:val="auto"/>
                      <w:kern w:val="0"/>
                      <w:szCs w:val="21"/>
                    </w:rPr>
                  </w:pPr>
                  <w:r>
                    <w:rPr>
                      <w:rFonts w:hint="eastAsia"/>
                      <w:color w:val="auto"/>
                      <w:kern w:val="0"/>
                      <w:szCs w:val="21"/>
                    </w:rPr>
                    <w:t>符合</w:t>
                  </w:r>
                </w:p>
              </w:tc>
            </w:tr>
          </w:tbl>
          <w:p w14:paraId="42D443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4"/>
              </w:rPr>
            </w:pPr>
          </w:p>
          <w:p w14:paraId="0B7FF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67CDA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39A25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5829E8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43CF2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rPr>
            </w:pPr>
          </w:p>
        </w:tc>
      </w:tr>
    </w:tbl>
    <w:p w14:paraId="691C1700">
      <w:pPr>
        <w:rPr>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7395"/>
      </w:tblGrid>
      <w:tr w14:paraId="4A277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5" w:type="dxa"/>
            <w:noWrap w:val="0"/>
            <w:vAlign w:val="center"/>
          </w:tcPr>
          <w:p w14:paraId="64848150">
            <w:pPr>
              <w:autoSpaceDE w:val="0"/>
              <w:autoSpaceDN w:val="0"/>
              <w:adjustRightInd w:val="0"/>
              <w:snapToGrid w:val="0"/>
              <w:jc w:val="center"/>
              <w:rPr>
                <w:color w:val="auto"/>
                <w:kern w:val="0"/>
                <w:sz w:val="24"/>
              </w:rPr>
            </w:pPr>
            <w:r>
              <w:rPr>
                <w:color w:val="auto"/>
                <w:kern w:val="0"/>
                <w:sz w:val="24"/>
              </w:rPr>
              <w:t>其他符合性分析</w:t>
            </w:r>
          </w:p>
        </w:tc>
        <w:tc>
          <w:tcPr>
            <w:tcW w:w="7395" w:type="dxa"/>
            <w:noWrap w:val="0"/>
            <w:vAlign w:val="center"/>
          </w:tcPr>
          <w:p w14:paraId="020633B6">
            <w:pPr>
              <w:adjustRightInd w:val="0"/>
              <w:snapToGrid w:val="0"/>
              <w:spacing w:before="120" w:beforeLines="50" w:line="360" w:lineRule="auto"/>
              <w:ind w:firstLine="488" w:firstLineChars="200"/>
              <w:rPr>
                <w:rFonts w:hint="eastAsia"/>
                <w:color w:val="auto"/>
                <w:sz w:val="24"/>
              </w:rPr>
            </w:pPr>
            <w:r>
              <w:rPr>
                <w:rFonts w:hint="eastAsia"/>
                <w:color w:val="auto"/>
                <w:spacing w:val="2"/>
                <w:sz w:val="24"/>
              </w:rPr>
              <w:t>（3）“</w:t>
            </w:r>
            <w:r>
              <w:rPr>
                <w:color w:val="auto"/>
                <w:spacing w:val="2"/>
                <w:sz w:val="24"/>
              </w:rPr>
              <w:t>一说明</w:t>
            </w:r>
            <w:r>
              <w:rPr>
                <w:rFonts w:hint="eastAsia"/>
                <w:color w:val="auto"/>
                <w:spacing w:val="2"/>
                <w:sz w:val="24"/>
              </w:rPr>
              <w:t>”</w:t>
            </w:r>
          </w:p>
          <w:p w14:paraId="1FB29710">
            <w:pPr>
              <w:adjustRightInd w:val="0"/>
              <w:snapToGrid w:val="0"/>
              <w:spacing w:line="360" w:lineRule="auto"/>
              <w:ind w:firstLine="480" w:firstLineChars="200"/>
              <w:rPr>
                <w:rFonts w:hint="eastAsia"/>
                <w:color w:val="auto"/>
                <w:sz w:val="24"/>
              </w:rPr>
            </w:pPr>
            <w:r>
              <w:rPr>
                <w:rFonts w:hint="eastAsia"/>
                <w:color w:val="auto"/>
                <w:sz w:val="24"/>
              </w:rPr>
              <w:t>本项目位于</w:t>
            </w:r>
            <w:r>
              <w:rPr>
                <w:rFonts w:hint="eastAsia"/>
                <w:color w:val="auto"/>
                <w:sz w:val="24"/>
                <w:lang w:val="en-US" w:eastAsia="zh-CN"/>
              </w:rPr>
              <w:t>陕西省西咸新区泾河新城美国科技产业园宝信园区</w:t>
            </w:r>
            <w:r>
              <w:rPr>
                <w:rFonts w:hint="eastAsia"/>
                <w:color w:val="auto"/>
                <w:sz w:val="24"/>
              </w:rPr>
              <w:t>，属于重点管控单元。</w:t>
            </w:r>
          </w:p>
          <w:p w14:paraId="7C4B8315">
            <w:pPr>
              <w:spacing w:before="120" w:beforeLines="50" w:line="360" w:lineRule="auto"/>
              <w:ind w:firstLine="480" w:firstLineChars="200"/>
              <w:contextualSpacing/>
              <w:rPr>
                <w:rFonts w:hint="eastAsia"/>
                <w:color w:val="auto"/>
                <w:sz w:val="24"/>
              </w:rPr>
            </w:pPr>
            <w:r>
              <w:rPr>
                <w:rFonts w:hint="eastAsia"/>
                <w:color w:val="auto"/>
                <w:sz w:val="24"/>
              </w:rPr>
              <w:t>本项目满足重点管控单元在空间布局约束、污染物排放管控、环境风险防控、资源利用效率等管控要求，因此，本项目的建设符合《2023年陕西省生态环境分区管控成果动态更新实施方案》中生态环境分区管控准入清单管控要求。</w:t>
            </w:r>
          </w:p>
          <w:p w14:paraId="66F6C88C">
            <w:pPr>
              <w:spacing w:before="120" w:beforeLines="50" w:line="360" w:lineRule="auto"/>
              <w:ind w:firstLine="482" w:firstLineChars="200"/>
              <w:contextualSpacing/>
              <w:rPr>
                <w:b/>
                <w:bCs/>
                <w:color w:val="auto"/>
                <w:kern w:val="0"/>
                <w:sz w:val="24"/>
              </w:rPr>
            </w:pPr>
            <w:r>
              <w:rPr>
                <w:rFonts w:hint="eastAsia"/>
                <w:b/>
                <w:bCs/>
                <w:color w:val="auto"/>
                <w:kern w:val="0"/>
                <w:sz w:val="24"/>
              </w:rPr>
              <w:t>4、项目与其他相关环保政策及标准符合性分析</w:t>
            </w:r>
          </w:p>
          <w:p w14:paraId="51D3F202">
            <w:pPr>
              <w:pStyle w:val="63"/>
              <w:adjustRightInd w:val="0"/>
              <w:spacing w:before="0" w:afterLines="0"/>
              <w:ind w:firstLine="0"/>
              <w:rPr>
                <w:rFonts w:hint="eastAsia"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1</w:t>
            </w:r>
            <w:r>
              <w:rPr>
                <w:rFonts w:ascii="Times New Roman" w:hAnsi="Times New Roman" w:eastAsia="宋体"/>
                <w:b/>
                <w:color w:val="auto"/>
                <w:sz w:val="24"/>
                <w:szCs w:val="24"/>
              </w:rPr>
              <w:t>-</w:t>
            </w:r>
            <w:r>
              <w:rPr>
                <w:rFonts w:hint="eastAsia" w:ascii="Times New Roman" w:hAnsi="Times New Roman" w:eastAsia="宋体"/>
                <w:b/>
                <w:color w:val="auto"/>
                <w:sz w:val="24"/>
                <w:szCs w:val="24"/>
                <w:lang w:val="en-US" w:eastAsia="zh-CN"/>
              </w:rPr>
              <w:t>3</w:t>
            </w:r>
            <w:r>
              <w:rPr>
                <w:rFonts w:hint="eastAsia" w:ascii="Times New Roman" w:hAnsi="Times New Roman" w:eastAsia="宋体"/>
                <w:b/>
                <w:color w:val="auto"/>
                <w:sz w:val="24"/>
                <w:szCs w:val="24"/>
              </w:rPr>
              <w:t xml:space="preserve">  项目</w:t>
            </w:r>
            <w:r>
              <w:rPr>
                <w:rFonts w:ascii="Times New Roman" w:hAnsi="Times New Roman" w:eastAsia="宋体"/>
                <w:b/>
                <w:color w:val="auto"/>
                <w:sz w:val="24"/>
                <w:szCs w:val="24"/>
              </w:rPr>
              <w:t>与</w:t>
            </w:r>
            <w:r>
              <w:rPr>
                <w:rFonts w:hint="eastAsia" w:ascii="Times New Roman" w:hAnsi="Times New Roman" w:eastAsia="宋体"/>
                <w:b/>
                <w:color w:val="auto"/>
                <w:sz w:val="24"/>
                <w:szCs w:val="24"/>
              </w:rPr>
              <w:t>其他相关环保政策及标准</w:t>
            </w:r>
            <w:r>
              <w:rPr>
                <w:rFonts w:ascii="Times New Roman" w:hAnsi="Times New Roman" w:eastAsia="宋体"/>
                <w:b/>
                <w:color w:val="auto"/>
                <w:sz w:val="24"/>
                <w:szCs w:val="24"/>
              </w:rPr>
              <w:t>相符性分析</w:t>
            </w:r>
          </w:p>
          <w:tbl>
            <w:tblPr>
              <w:tblStyle w:val="27"/>
              <w:tblW w:w="72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3411"/>
              <w:gridCol w:w="2202"/>
              <w:gridCol w:w="433"/>
            </w:tblGrid>
            <w:tr w14:paraId="64CF0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noWrap w:val="0"/>
                  <w:vAlign w:val="center"/>
                </w:tcPr>
                <w:p w14:paraId="20FC9E9F">
                  <w:pPr>
                    <w:autoSpaceDE w:val="0"/>
                    <w:autoSpaceDN w:val="0"/>
                    <w:adjustRightInd w:val="0"/>
                    <w:snapToGrid w:val="0"/>
                    <w:jc w:val="center"/>
                    <w:rPr>
                      <w:rFonts w:hint="eastAsia"/>
                      <w:b/>
                      <w:bCs/>
                      <w:color w:val="auto"/>
                      <w:szCs w:val="21"/>
                    </w:rPr>
                  </w:pPr>
                  <w:r>
                    <w:rPr>
                      <w:rFonts w:hint="eastAsia"/>
                      <w:b/>
                      <w:bCs/>
                      <w:color w:val="auto"/>
                      <w:szCs w:val="21"/>
                    </w:rPr>
                    <w:t>文件名称</w:t>
                  </w:r>
                </w:p>
              </w:tc>
              <w:tc>
                <w:tcPr>
                  <w:tcW w:w="3411" w:type="dxa"/>
                  <w:noWrap w:val="0"/>
                  <w:vAlign w:val="center"/>
                </w:tcPr>
                <w:p w14:paraId="3B583CD1">
                  <w:pPr>
                    <w:autoSpaceDE w:val="0"/>
                    <w:autoSpaceDN w:val="0"/>
                    <w:adjustRightInd w:val="0"/>
                    <w:snapToGrid w:val="0"/>
                    <w:jc w:val="center"/>
                    <w:rPr>
                      <w:b/>
                      <w:bCs/>
                      <w:color w:val="auto"/>
                      <w:szCs w:val="21"/>
                    </w:rPr>
                  </w:pPr>
                  <w:r>
                    <w:rPr>
                      <w:rFonts w:hint="eastAsia"/>
                      <w:b/>
                      <w:bCs/>
                      <w:color w:val="auto"/>
                      <w:szCs w:val="21"/>
                    </w:rPr>
                    <w:t>政策要求</w:t>
                  </w:r>
                </w:p>
              </w:tc>
              <w:tc>
                <w:tcPr>
                  <w:tcW w:w="2202" w:type="dxa"/>
                  <w:noWrap w:val="0"/>
                  <w:vAlign w:val="center"/>
                </w:tcPr>
                <w:p w14:paraId="248B4EC6">
                  <w:pPr>
                    <w:autoSpaceDE w:val="0"/>
                    <w:autoSpaceDN w:val="0"/>
                    <w:adjustRightInd w:val="0"/>
                    <w:snapToGrid w:val="0"/>
                    <w:jc w:val="center"/>
                    <w:rPr>
                      <w:b/>
                      <w:bCs/>
                      <w:color w:val="auto"/>
                      <w:szCs w:val="21"/>
                    </w:rPr>
                  </w:pPr>
                  <w:r>
                    <w:rPr>
                      <w:rFonts w:hint="eastAsia"/>
                      <w:b/>
                      <w:bCs/>
                      <w:color w:val="auto"/>
                      <w:szCs w:val="21"/>
                    </w:rPr>
                    <w:t>本项目情况</w:t>
                  </w:r>
                </w:p>
              </w:tc>
              <w:tc>
                <w:tcPr>
                  <w:tcW w:w="433" w:type="dxa"/>
                  <w:noWrap w:val="0"/>
                  <w:vAlign w:val="center"/>
                </w:tcPr>
                <w:p w14:paraId="5C0C8575">
                  <w:pPr>
                    <w:autoSpaceDE w:val="0"/>
                    <w:autoSpaceDN w:val="0"/>
                    <w:adjustRightInd w:val="0"/>
                    <w:snapToGrid w:val="0"/>
                    <w:jc w:val="center"/>
                    <w:rPr>
                      <w:b/>
                      <w:bCs/>
                      <w:color w:val="auto"/>
                      <w:szCs w:val="21"/>
                    </w:rPr>
                  </w:pPr>
                  <w:r>
                    <w:rPr>
                      <w:rFonts w:hint="eastAsia"/>
                      <w:b/>
                      <w:bCs/>
                      <w:color w:val="auto"/>
                      <w:szCs w:val="21"/>
                    </w:rPr>
                    <w:t>相符性</w:t>
                  </w:r>
                </w:p>
              </w:tc>
            </w:tr>
            <w:tr w14:paraId="2D4CD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restart"/>
                  <w:shd w:val="clear" w:color="auto" w:fill="auto"/>
                  <w:noWrap w:val="0"/>
                  <w:vAlign w:val="center"/>
                </w:tcPr>
                <w:p w14:paraId="0CC20C87">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《挥发性有机物无组织排放控制标准（GB 37822</w:t>
                  </w:r>
                  <w:r>
                    <w:rPr>
                      <w:rFonts w:hint="eastAsia"/>
                      <w:color w:val="auto"/>
                      <w:szCs w:val="21"/>
                    </w:rPr>
                    <w:t>-</w:t>
                  </w:r>
                  <w:r>
                    <w:rPr>
                      <w:color w:val="auto"/>
                      <w:szCs w:val="21"/>
                    </w:rPr>
                    <w:t>2019）》</w:t>
                  </w:r>
                </w:p>
              </w:tc>
              <w:tc>
                <w:tcPr>
                  <w:tcW w:w="3411" w:type="dxa"/>
                  <w:shd w:val="clear" w:color="auto" w:fill="auto"/>
                  <w:noWrap w:val="0"/>
                  <w:vAlign w:val="center"/>
                </w:tcPr>
                <w:p w14:paraId="7EE7FDD8">
                  <w:pPr>
                    <w:autoSpaceDE w:val="0"/>
                    <w:autoSpaceDN w:val="0"/>
                    <w:adjustRightInd w:val="0"/>
                    <w:snapToGrid w:val="0"/>
                    <w:ind w:firstLine="420" w:firstLineChars="200"/>
                    <w:jc w:val="both"/>
                    <w:rPr>
                      <w:rFonts w:ascii="Times New Roman" w:hAnsi="Times New Roman" w:eastAsia="宋体" w:cs="Times New Roman"/>
                      <w:color w:val="auto"/>
                      <w:kern w:val="2"/>
                      <w:sz w:val="21"/>
                      <w:szCs w:val="21"/>
                      <w:lang w:val="en-US" w:eastAsia="zh-CN" w:bidi="ar-SA"/>
                    </w:rPr>
                  </w:pPr>
                  <w:r>
                    <w:rPr>
                      <w:rFonts w:hint="eastAsia"/>
                      <w:color w:val="auto"/>
                      <w:szCs w:val="21"/>
                    </w:rPr>
                    <w:t>排气筒高度不低于15m（因安全考虑或有特殊工艺要求的除外），具体高度以及与周围建筑物的相对高度关系应根据环境影响评价文件确定。</w:t>
                  </w:r>
                </w:p>
              </w:tc>
              <w:tc>
                <w:tcPr>
                  <w:tcW w:w="2202" w:type="dxa"/>
                  <w:shd w:val="clear" w:color="auto" w:fill="auto"/>
                  <w:noWrap w:val="0"/>
                  <w:vAlign w:val="center"/>
                </w:tcPr>
                <w:p w14:paraId="5E03462B">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项目</w:t>
                  </w:r>
                  <w:r>
                    <w:rPr>
                      <w:rFonts w:hint="eastAsia"/>
                      <w:color w:val="auto"/>
                      <w:kern w:val="0"/>
                      <w:szCs w:val="21"/>
                    </w:rPr>
                    <w:t>运行过程中</w:t>
                  </w:r>
                  <w:r>
                    <w:rPr>
                      <w:rFonts w:hint="eastAsia"/>
                      <w:color w:val="auto"/>
                      <w:kern w:val="0"/>
                      <w:szCs w:val="21"/>
                      <w:lang w:val="en-US" w:eastAsia="zh-CN"/>
                    </w:rPr>
                    <w:t>产生的有机废气（挤出和发泡废气）经</w:t>
                  </w:r>
                  <w:r>
                    <w:rPr>
                      <w:rFonts w:hint="eastAsia"/>
                      <w:bCs/>
                      <w:color w:val="auto"/>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Cs w:val="21"/>
                      <w:lang w:val="en-US" w:eastAsia="zh-CN"/>
                    </w:rPr>
                    <w:t>排气筒排放</w:t>
                  </w:r>
                  <w:r>
                    <w:rPr>
                      <w:rFonts w:hint="eastAsia"/>
                      <w:color w:val="auto"/>
                      <w:szCs w:val="21"/>
                      <w:lang w:eastAsia="zh-CN"/>
                    </w:rPr>
                    <w:t>。</w:t>
                  </w:r>
                </w:p>
              </w:tc>
              <w:tc>
                <w:tcPr>
                  <w:tcW w:w="433" w:type="dxa"/>
                  <w:shd w:val="clear" w:color="auto" w:fill="auto"/>
                  <w:noWrap w:val="0"/>
                  <w:vAlign w:val="center"/>
                </w:tcPr>
                <w:p w14:paraId="36EF5C6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符合</w:t>
                  </w:r>
                </w:p>
              </w:tc>
            </w:tr>
            <w:tr w14:paraId="6C2A5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0158B6E2">
                  <w:pPr>
                    <w:autoSpaceDE w:val="0"/>
                    <w:autoSpaceDN w:val="0"/>
                    <w:adjustRightInd w:val="0"/>
                    <w:snapToGrid w:val="0"/>
                    <w:jc w:val="center"/>
                    <w:rPr>
                      <w:rFonts w:hint="eastAsia"/>
                      <w:color w:val="auto"/>
                      <w:szCs w:val="21"/>
                    </w:rPr>
                  </w:pPr>
                </w:p>
              </w:tc>
              <w:tc>
                <w:tcPr>
                  <w:tcW w:w="3411" w:type="dxa"/>
                  <w:shd w:val="clear" w:color="auto" w:fill="auto"/>
                  <w:noWrap w:val="0"/>
                  <w:vAlign w:val="center"/>
                </w:tcPr>
                <w:p w14:paraId="71B5EE4D">
                  <w:pPr>
                    <w:autoSpaceDE w:val="0"/>
                    <w:autoSpaceDN w:val="0"/>
                    <w:adjustRightInd w:val="0"/>
                    <w:snapToGrid w:val="0"/>
                    <w:ind w:firstLine="420" w:firstLineChars="200"/>
                    <w:jc w:val="both"/>
                    <w:rPr>
                      <w:rFonts w:ascii="Times New Roman" w:hAnsi="Times New Roman" w:eastAsia="宋体" w:cs="Times New Roman"/>
                      <w:color w:val="auto"/>
                      <w:kern w:val="2"/>
                      <w:sz w:val="21"/>
                      <w:szCs w:val="21"/>
                      <w:lang w:val="en-US" w:eastAsia="zh-CN" w:bidi="ar-SA"/>
                    </w:rPr>
                  </w:pPr>
                  <w:r>
                    <w:rPr>
                      <w:rFonts w:hint="eastAsia"/>
                      <w:color w:val="auto"/>
                      <w:szCs w:val="21"/>
                    </w:rPr>
                    <w:t>盛装VOCs物料的容器或包装袋应存放于室内，或存放于设置有雨棚、遮阳和防渗设施的专用场地。盛装VOCs物料的容器或包装袋在非取用状态时应加盖、封口，保持密闭。</w:t>
                  </w:r>
                </w:p>
              </w:tc>
              <w:tc>
                <w:tcPr>
                  <w:tcW w:w="2202" w:type="dxa"/>
                  <w:shd w:val="clear" w:color="auto" w:fill="auto"/>
                  <w:noWrap w:val="0"/>
                  <w:vAlign w:val="center"/>
                </w:tcPr>
                <w:p w14:paraId="3508DAFE">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color w:val="auto"/>
                      <w:szCs w:val="21"/>
                    </w:rPr>
                    <w:t>本项目</w:t>
                  </w:r>
                  <w:r>
                    <w:rPr>
                      <w:rFonts w:hint="eastAsia"/>
                      <w:color w:val="auto"/>
                      <w:szCs w:val="21"/>
                    </w:rPr>
                    <w:t>聚</w:t>
                  </w:r>
                  <w:r>
                    <w:rPr>
                      <w:rFonts w:hint="eastAsia"/>
                      <w:color w:val="auto"/>
                      <w:szCs w:val="21"/>
                      <w:lang w:val="en-US" w:eastAsia="zh-CN"/>
                    </w:rPr>
                    <w:t>乙</w:t>
                  </w:r>
                  <w:r>
                    <w:rPr>
                      <w:rFonts w:hint="eastAsia"/>
                      <w:color w:val="auto"/>
                      <w:szCs w:val="21"/>
                    </w:rPr>
                    <w:t>烯树脂采用袋装</w:t>
                  </w:r>
                  <w:r>
                    <w:rPr>
                      <w:rFonts w:hint="eastAsia"/>
                      <w:color w:val="auto"/>
                      <w:szCs w:val="21"/>
                      <w:lang w:eastAsia="zh-CN"/>
                    </w:rPr>
                    <w:t>；</w:t>
                  </w:r>
                  <w:r>
                    <w:rPr>
                      <w:rFonts w:hint="eastAsia" w:ascii="Times New Roman" w:hAnsi="Times New Roman" w:cs="Times New Roman"/>
                      <w:b w:val="0"/>
                      <w:bCs w:val="0"/>
                      <w:color w:val="auto"/>
                      <w:sz w:val="21"/>
                      <w:szCs w:val="21"/>
                      <w:highlight w:val="none"/>
                      <w:lang w:val="en-US" w:eastAsia="zh-CN"/>
                    </w:rPr>
                    <w:t>异氰酸酯和聚醚组合料采用</w:t>
                  </w:r>
                  <w:r>
                    <w:rPr>
                      <w:rFonts w:hint="eastAsia" w:cs="Times New Roman"/>
                      <w:b w:val="0"/>
                      <w:bCs w:val="0"/>
                      <w:color w:val="auto"/>
                      <w:sz w:val="21"/>
                      <w:szCs w:val="21"/>
                      <w:highlight w:val="none"/>
                      <w:lang w:val="en-US" w:eastAsia="zh-CN"/>
                    </w:rPr>
                    <w:t>桶装，</w:t>
                  </w:r>
                  <w:r>
                    <w:rPr>
                      <w:rFonts w:hint="eastAsia"/>
                      <w:color w:val="auto"/>
                      <w:szCs w:val="21"/>
                    </w:rPr>
                    <w:t>非取用状态时</w:t>
                  </w:r>
                  <w:r>
                    <w:rPr>
                      <w:rFonts w:hint="eastAsia"/>
                      <w:color w:val="auto"/>
                      <w:szCs w:val="21"/>
                      <w:lang w:val="en-US" w:eastAsia="zh-CN"/>
                    </w:rPr>
                    <w:t>均为</w:t>
                  </w:r>
                  <w:r>
                    <w:rPr>
                      <w:rFonts w:hint="eastAsia"/>
                      <w:color w:val="auto"/>
                      <w:szCs w:val="21"/>
                    </w:rPr>
                    <w:t>封口密闭保存</w:t>
                  </w:r>
                  <w:r>
                    <w:rPr>
                      <w:rFonts w:hint="eastAsia"/>
                      <w:color w:val="auto"/>
                      <w:szCs w:val="21"/>
                      <w:lang w:eastAsia="zh-CN"/>
                    </w:rPr>
                    <w:t>。</w:t>
                  </w:r>
                </w:p>
              </w:tc>
              <w:tc>
                <w:tcPr>
                  <w:tcW w:w="433" w:type="dxa"/>
                  <w:shd w:val="clear" w:color="auto" w:fill="auto"/>
                  <w:noWrap w:val="0"/>
                  <w:vAlign w:val="center"/>
                </w:tcPr>
                <w:p w14:paraId="6408048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符合</w:t>
                  </w:r>
                </w:p>
              </w:tc>
            </w:tr>
            <w:tr w14:paraId="29449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05" w:type="dxa"/>
                  <w:vMerge w:val="continue"/>
                  <w:noWrap w:val="0"/>
                  <w:vAlign w:val="center"/>
                </w:tcPr>
                <w:p w14:paraId="3190FDBA">
                  <w:pPr>
                    <w:autoSpaceDE w:val="0"/>
                    <w:autoSpaceDN w:val="0"/>
                    <w:adjustRightInd w:val="0"/>
                    <w:snapToGrid w:val="0"/>
                    <w:jc w:val="center"/>
                    <w:rPr>
                      <w:rFonts w:hint="eastAsia"/>
                      <w:color w:val="auto"/>
                      <w:szCs w:val="21"/>
                    </w:rPr>
                  </w:pPr>
                </w:p>
              </w:tc>
              <w:tc>
                <w:tcPr>
                  <w:tcW w:w="3411" w:type="dxa"/>
                  <w:shd w:val="clear" w:color="auto" w:fill="auto"/>
                  <w:noWrap w:val="0"/>
                  <w:vAlign w:val="center"/>
                </w:tcPr>
                <w:p w14:paraId="3505D844">
                  <w:pPr>
                    <w:autoSpaceDE w:val="0"/>
                    <w:autoSpaceDN w:val="0"/>
                    <w:adjustRightInd w:val="0"/>
                    <w:snapToGrid w:val="0"/>
                    <w:ind w:firstLine="420" w:firstLineChars="200"/>
                    <w:jc w:val="both"/>
                    <w:rPr>
                      <w:rFonts w:hint="eastAsia"/>
                      <w:color w:val="auto"/>
                      <w:szCs w:val="21"/>
                    </w:rPr>
                  </w:pPr>
                  <w:r>
                    <w:rPr>
                      <w:rFonts w:hint="eastAsia" w:ascii="Times New Roman" w:hAnsi="Times New Roman" w:eastAsia="宋体" w:cs="Times New Roman"/>
                      <w:b w:val="0"/>
                      <w:bCs w:val="0"/>
                      <w:color w:val="auto"/>
                      <w:kern w:val="2"/>
                      <w:sz w:val="21"/>
                      <w:szCs w:val="21"/>
                      <w:highlight w:val="none"/>
                      <w:lang w:val="en-US" w:eastAsia="zh-CN" w:bidi="ar-SA"/>
                    </w:rPr>
                    <w:t>液态VOCs物料应采用密闭管道输送</w:t>
                  </w:r>
                </w:p>
              </w:tc>
              <w:tc>
                <w:tcPr>
                  <w:tcW w:w="2202" w:type="dxa"/>
                  <w:shd w:val="clear" w:color="auto" w:fill="auto"/>
                  <w:noWrap w:val="0"/>
                  <w:vAlign w:val="center"/>
                </w:tcPr>
                <w:p w14:paraId="511F59D3">
                  <w:pPr>
                    <w:autoSpaceDE w:val="0"/>
                    <w:autoSpaceDN w:val="0"/>
                    <w:adjustRightInd w:val="0"/>
                    <w:snapToGrid w:val="0"/>
                    <w:rPr>
                      <w:color w:val="auto"/>
                      <w:szCs w:val="21"/>
                    </w:rPr>
                  </w:pPr>
                  <w:r>
                    <w:rPr>
                      <w:rFonts w:hint="eastAsia" w:ascii="Times New Roman" w:hAnsi="Times New Roman" w:cs="Times New Roman"/>
                      <w:b w:val="0"/>
                      <w:bCs w:val="0"/>
                      <w:color w:val="auto"/>
                      <w:sz w:val="21"/>
                      <w:szCs w:val="21"/>
                      <w:highlight w:val="none"/>
                      <w:lang w:val="en-US" w:eastAsia="zh-CN"/>
                    </w:rPr>
                    <w:t>异氰酸酯和聚醚组合料采用</w:t>
                  </w:r>
                  <w:r>
                    <w:rPr>
                      <w:rFonts w:hint="eastAsia" w:ascii="Times New Roman" w:hAnsi="Times New Roman" w:eastAsia="宋体" w:cs="Times New Roman"/>
                      <w:b w:val="0"/>
                      <w:bCs w:val="0"/>
                      <w:color w:val="auto"/>
                      <w:kern w:val="2"/>
                      <w:sz w:val="21"/>
                      <w:szCs w:val="21"/>
                      <w:highlight w:val="none"/>
                      <w:lang w:val="en-US" w:eastAsia="zh-CN" w:bidi="ar-SA"/>
                    </w:rPr>
                    <w:t>密闭管道输送</w:t>
                  </w:r>
                  <w:r>
                    <w:rPr>
                      <w:rFonts w:hint="eastAsia" w:eastAsia="宋体" w:cs="Times New Roman"/>
                      <w:b w:val="0"/>
                      <w:bCs w:val="0"/>
                      <w:color w:val="auto"/>
                      <w:kern w:val="2"/>
                      <w:sz w:val="21"/>
                      <w:szCs w:val="21"/>
                      <w:highlight w:val="none"/>
                      <w:lang w:val="en-US" w:eastAsia="zh-CN" w:bidi="ar-SA"/>
                    </w:rPr>
                    <w:t>。</w:t>
                  </w:r>
                </w:p>
              </w:tc>
              <w:tc>
                <w:tcPr>
                  <w:tcW w:w="433" w:type="dxa"/>
                  <w:shd w:val="clear" w:color="auto" w:fill="auto"/>
                  <w:noWrap w:val="0"/>
                  <w:vAlign w:val="center"/>
                </w:tcPr>
                <w:p w14:paraId="6EC5D4EB">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3F56D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3F1843CA">
                  <w:pPr>
                    <w:autoSpaceDE w:val="0"/>
                    <w:autoSpaceDN w:val="0"/>
                    <w:adjustRightInd w:val="0"/>
                    <w:snapToGrid w:val="0"/>
                    <w:jc w:val="center"/>
                    <w:rPr>
                      <w:rFonts w:hint="eastAsia"/>
                      <w:color w:val="auto"/>
                      <w:szCs w:val="21"/>
                    </w:rPr>
                  </w:pPr>
                </w:p>
              </w:tc>
              <w:tc>
                <w:tcPr>
                  <w:tcW w:w="3411" w:type="dxa"/>
                  <w:shd w:val="clear" w:color="auto" w:fill="auto"/>
                  <w:noWrap w:val="0"/>
                  <w:vAlign w:val="center"/>
                </w:tcPr>
                <w:p w14:paraId="2958D580">
                  <w:pPr>
                    <w:autoSpaceDE w:val="0"/>
                    <w:autoSpaceDN w:val="0"/>
                    <w:adjustRightInd w:val="0"/>
                    <w:snapToGrid w:val="0"/>
                    <w:ind w:firstLine="420" w:firstLineChars="200"/>
                    <w:jc w:val="both"/>
                    <w:rPr>
                      <w:rFonts w:hint="default" w:eastAsia="宋体"/>
                      <w:color w:val="auto"/>
                      <w:szCs w:val="21"/>
                      <w:lang w:val="en-US" w:eastAsia="zh-CN"/>
                    </w:rPr>
                  </w:pPr>
                  <w:r>
                    <w:rPr>
                      <w:rFonts w:hint="eastAsia"/>
                      <w:color w:val="auto"/>
                      <w:szCs w:val="21"/>
                      <w:lang w:val="en-US" w:eastAsia="zh-CN"/>
                    </w:rPr>
                    <w:t>对于重点地区，</w:t>
                  </w:r>
                  <w:r>
                    <w:rPr>
                      <w:rFonts w:hint="eastAsia" w:ascii="Times New Roman" w:hAnsi="Times New Roman"/>
                      <w:color w:val="auto"/>
                      <w:kern w:val="2"/>
                      <w:sz w:val="21"/>
                      <w:szCs w:val="21"/>
                      <w:highlight w:val="none"/>
                    </w:rPr>
                    <w:t>收集的废气中NMHC初始排放速率≥</w:t>
                  </w:r>
                  <w:r>
                    <w:rPr>
                      <w:rFonts w:hint="eastAsia"/>
                      <w:color w:val="auto"/>
                      <w:kern w:val="2"/>
                      <w:sz w:val="21"/>
                      <w:szCs w:val="21"/>
                      <w:highlight w:val="none"/>
                      <w:lang w:val="en-US" w:eastAsia="zh-CN"/>
                    </w:rPr>
                    <w:t>2</w:t>
                  </w:r>
                  <w:r>
                    <w:rPr>
                      <w:rFonts w:hint="eastAsia" w:ascii="Times New Roman" w:hAnsi="Times New Roman"/>
                      <w:color w:val="auto"/>
                      <w:kern w:val="2"/>
                      <w:sz w:val="21"/>
                      <w:szCs w:val="21"/>
                      <w:highlight w:val="none"/>
                    </w:rPr>
                    <w:t>kg/h时，应配置VOCs处理设施....</w:t>
                  </w:r>
                </w:p>
              </w:tc>
              <w:tc>
                <w:tcPr>
                  <w:tcW w:w="2202" w:type="dxa"/>
                  <w:shd w:val="clear" w:color="auto" w:fill="auto"/>
                  <w:noWrap w:val="0"/>
                  <w:vAlign w:val="center"/>
                </w:tcPr>
                <w:p w14:paraId="60CB4E2E">
                  <w:pPr>
                    <w:keepNext w:val="0"/>
                    <w:keepLines w:val="0"/>
                    <w:pageBreakBefore w:val="0"/>
                    <w:widowControl w:val="0"/>
                    <w:kinsoku/>
                    <w:wordWrap w:val="0"/>
                    <w:overflowPunct/>
                    <w:topLinePunct w:val="0"/>
                    <w:autoSpaceDE w:val="0"/>
                    <w:autoSpaceDN w:val="0"/>
                    <w:bidi w:val="0"/>
                    <w:adjustRightInd w:val="0"/>
                    <w:snapToGrid w:val="0"/>
                    <w:textAlignment w:val="auto"/>
                    <w:rPr>
                      <w:rFonts w:hint="default" w:eastAsia="宋体"/>
                      <w:color w:val="auto"/>
                      <w:szCs w:val="21"/>
                      <w:lang w:val="en-US" w:eastAsia="zh-CN"/>
                    </w:rPr>
                  </w:pPr>
                  <w:r>
                    <w:rPr>
                      <w:rFonts w:hint="eastAsia"/>
                      <w:color w:val="auto"/>
                      <w:szCs w:val="21"/>
                      <w:lang w:val="en-US" w:eastAsia="zh-CN"/>
                    </w:rPr>
                    <w:t>本项目有机废气产生速率小于2kg/h，</w:t>
                  </w:r>
                  <w:r>
                    <w:rPr>
                      <w:rFonts w:hint="eastAsia"/>
                      <w:color w:val="auto"/>
                      <w:szCs w:val="21"/>
                      <w:highlight w:val="none"/>
                    </w:rPr>
                    <w:t>为进一步降低项目有机废气排放的影响，</w:t>
                  </w:r>
                  <w:r>
                    <w:rPr>
                      <w:rFonts w:hint="eastAsia"/>
                      <w:color w:val="auto"/>
                      <w:kern w:val="0"/>
                      <w:szCs w:val="21"/>
                      <w:lang w:val="en-US" w:eastAsia="zh-CN"/>
                    </w:rPr>
                    <w:t>有机废气（挤出和发泡废气）经</w:t>
                  </w:r>
                  <w:r>
                    <w:rPr>
                      <w:rFonts w:hint="eastAsia"/>
                      <w:bCs/>
                      <w:color w:val="auto"/>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Cs w:val="21"/>
                      <w:lang w:val="en-US" w:eastAsia="zh-CN"/>
                    </w:rPr>
                    <w:t>排气筒排放</w:t>
                  </w:r>
                  <w:r>
                    <w:rPr>
                      <w:rFonts w:hint="eastAsia"/>
                      <w:color w:val="auto"/>
                      <w:szCs w:val="21"/>
                      <w:lang w:eastAsia="zh-CN"/>
                    </w:rPr>
                    <w:t>。</w:t>
                  </w:r>
                </w:p>
              </w:tc>
              <w:tc>
                <w:tcPr>
                  <w:tcW w:w="433" w:type="dxa"/>
                  <w:shd w:val="clear" w:color="auto" w:fill="auto"/>
                  <w:noWrap w:val="0"/>
                  <w:vAlign w:val="center"/>
                </w:tcPr>
                <w:p w14:paraId="35FF13CB">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5B172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shd w:val="clear" w:color="auto" w:fill="auto"/>
                  <w:noWrap w:val="0"/>
                  <w:vAlign w:val="center"/>
                </w:tcPr>
                <w:p w14:paraId="179BF61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《挥发性有机物（VOCs）污染防治技术政策》（环保部公告2013第31号）</w:t>
                  </w:r>
                </w:p>
              </w:tc>
              <w:tc>
                <w:tcPr>
                  <w:tcW w:w="3411" w:type="dxa"/>
                  <w:shd w:val="clear" w:color="auto" w:fill="auto"/>
                  <w:noWrap w:val="0"/>
                  <w:vAlign w:val="center"/>
                </w:tcPr>
                <w:p w14:paraId="4BD4A88A">
                  <w:pPr>
                    <w:autoSpaceDE w:val="0"/>
                    <w:autoSpaceDN w:val="0"/>
                    <w:adjustRightInd w:val="0"/>
                    <w:snapToGrid w:val="0"/>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含VOCs产品的使用过程中，应采取废气收集措施，提高废气收集效率，减少废气的无组织排放与逸散，并对收集后的废气进行回收或处理后达标排放。</w:t>
                  </w:r>
                </w:p>
              </w:tc>
              <w:tc>
                <w:tcPr>
                  <w:tcW w:w="2202" w:type="dxa"/>
                  <w:shd w:val="clear" w:color="auto" w:fill="auto"/>
                  <w:noWrap w:val="0"/>
                  <w:vAlign w:val="center"/>
                </w:tcPr>
                <w:p w14:paraId="2DD606B2">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项目产生非甲烷总烃收集效率为80%，无组织排放污染物影响较小</w:t>
                  </w:r>
                  <w:r>
                    <w:rPr>
                      <w:rFonts w:hint="eastAsia" w:cs="Times New Roman"/>
                      <w:color w:val="auto"/>
                      <w:szCs w:val="21"/>
                      <w:lang w:eastAsia="zh-CN"/>
                    </w:rPr>
                    <w:t>。</w:t>
                  </w:r>
                </w:p>
              </w:tc>
              <w:tc>
                <w:tcPr>
                  <w:tcW w:w="433" w:type="dxa"/>
                  <w:shd w:val="clear" w:color="auto" w:fill="auto"/>
                  <w:noWrap w:val="0"/>
                  <w:vAlign w:val="center"/>
                </w:tcPr>
                <w:p w14:paraId="5D0E8CEC">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4EDA7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438FD60A">
                  <w:pPr>
                    <w:autoSpaceDE w:val="0"/>
                    <w:autoSpaceDN w:val="0"/>
                    <w:adjustRightInd w:val="0"/>
                    <w:snapToGrid w:val="0"/>
                    <w:jc w:val="center"/>
                    <w:rPr>
                      <w:rFonts w:hint="eastAsia"/>
                      <w:color w:val="auto"/>
                      <w:szCs w:val="21"/>
                    </w:rPr>
                  </w:pPr>
                </w:p>
              </w:tc>
              <w:tc>
                <w:tcPr>
                  <w:tcW w:w="3411" w:type="dxa"/>
                  <w:shd w:val="clear" w:color="auto" w:fill="auto"/>
                  <w:noWrap w:val="0"/>
                  <w:vAlign w:val="center"/>
                </w:tcPr>
                <w:p w14:paraId="46415C3F">
                  <w:pPr>
                    <w:autoSpaceDE w:val="0"/>
                    <w:autoSpaceDN w:val="0"/>
                    <w:adjustRightInd w:val="0"/>
                    <w:snapToGrid w:val="0"/>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202" w:type="dxa"/>
                  <w:shd w:val="clear" w:color="auto" w:fill="auto"/>
                  <w:noWrap w:val="0"/>
                  <w:vAlign w:val="center"/>
                </w:tcPr>
                <w:p w14:paraId="1114D5AC">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有机废气（挤出和发泡废气）</w:t>
                  </w:r>
                  <w:r>
                    <w:rPr>
                      <w:rFonts w:hint="eastAsia"/>
                      <w:color w:val="auto"/>
                      <w:szCs w:val="21"/>
                    </w:rPr>
                    <w:t>采用“集气罩</w:t>
                  </w:r>
                  <w:r>
                    <w:rPr>
                      <w:rFonts w:hint="eastAsia"/>
                      <w:bCs/>
                      <w:color w:val="auto"/>
                      <w:szCs w:val="21"/>
                    </w:rPr>
                    <w:t>+软帘</w:t>
                  </w:r>
                  <w:r>
                    <w:rPr>
                      <w:rFonts w:hint="eastAsia"/>
                      <w:color w:val="auto"/>
                      <w:szCs w:val="21"/>
                    </w:rPr>
                    <w:t>+</w:t>
                  </w:r>
                  <w:r>
                    <w:rPr>
                      <w:rFonts w:hint="eastAsia"/>
                      <w:color w:val="auto"/>
                      <w:szCs w:val="21"/>
                      <w:lang w:val="en-US" w:eastAsia="zh-CN"/>
                    </w:rPr>
                    <w:t>二级活性炭</w:t>
                  </w:r>
                  <w:r>
                    <w:rPr>
                      <w:rFonts w:hint="eastAsia"/>
                      <w:color w:val="auto"/>
                      <w:szCs w:val="21"/>
                    </w:rPr>
                    <w:t>吸附+15m排气筒</w:t>
                  </w:r>
                  <w:r>
                    <w:rPr>
                      <w:rFonts w:hint="eastAsia"/>
                      <w:color w:val="auto"/>
                      <w:szCs w:val="21"/>
                      <w:lang w:eastAsia="zh-CN"/>
                    </w:rPr>
                    <w:t>（</w:t>
                  </w:r>
                  <w:r>
                    <w:rPr>
                      <w:rFonts w:hint="eastAsia"/>
                      <w:color w:val="auto"/>
                      <w:szCs w:val="21"/>
                      <w:lang w:val="en-US" w:eastAsia="zh-CN"/>
                    </w:rPr>
                    <w:t>DA001、DA002</w:t>
                  </w:r>
                  <w:r>
                    <w:rPr>
                      <w:rFonts w:hint="eastAsia"/>
                      <w:color w:val="auto"/>
                      <w:szCs w:val="21"/>
                      <w:lang w:eastAsia="zh-CN"/>
                    </w:rPr>
                    <w:t>）</w:t>
                  </w:r>
                  <w:r>
                    <w:rPr>
                      <w:rFonts w:hint="eastAsia"/>
                      <w:color w:val="auto"/>
                      <w:szCs w:val="21"/>
                    </w:rPr>
                    <w:t>”处理达标排放</w:t>
                  </w:r>
                  <w:r>
                    <w:rPr>
                      <w:rFonts w:hint="eastAsia"/>
                      <w:color w:val="auto"/>
                      <w:szCs w:val="21"/>
                      <w:lang w:eastAsia="zh-CN"/>
                    </w:rPr>
                    <w:t>。</w:t>
                  </w:r>
                </w:p>
              </w:tc>
              <w:tc>
                <w:tcPr>
                  <w:tcW w:w="433" w:type="dxa"/>
                  <w:shd w:val="clear" w:color="auto" w:fill="auto"/>
                  <w:noWrap w:val="0"/>
                  <w:vAlign w:val="center"/>
                </w:tcPr>
                <w:p w14:paraId="2023DE9A">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2A3A0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noWrap w:val="0"/>
                  <w:vAlign w:val="center"/>
                </w:tcPr>
                <w:p w14:paraId="64A37AA8">
                  <w:pPr>
                    <w:autoSpaceDE w:val="0"/>
                    <w:autoSpaceDN w:val="0"/>
                    <w:adjustRightInd w:val="0"/>
                    <w:snapToGrid w:val="0"/>
                    <w:jc w:val="center"/>
                    <w:rPr>
                      <w:color w:val="auto"/>
                      <w:szCs w:val="21"/>
                    </w:rPr>
                  </w:pPr>
                  <w:r>
                    <w:rPr>
                      <w:rFonts w:hint="eastAsia"/>
                      <w:color w:val="auto"/>
                      <w:szCs w:val="21"/>
                      <w:lang w:val="en-US" w:eastAsia="zh-CN"/>
                    </w:rPr>
                    <w:t>关于印发</w:t>
                  </w:r>
                  <w:r>
                    <w:rPr>
                      <w:rFonts w:hint="eastAsia"/>
                      <w:color w:val="auto"/>
                      <w:szCs w:val="21"/>
                    </w:rPr>
                    <w:t>《陕西省“十四五”生态环境保护规划》（陕政办发〔2021〕25号）</w:t>
                  </w:r>
                </w:p>
              </w:tc>
              <w:tc>
                <w:tcPr>
                  <w:tcW w:w="3411" w:type="dxa"/>
                  <w:noWrap w:val="0"/>
                  <w:vAlign w:val="center"/>
                </w:tcPr>
                <w:p w14:paraId="2899B177">
                  <w:pPr>
                    <w:autoSpaceDE w:val="0"/>
                    <w:adjustRightInd w:val="0"/>
                    <w:snapToGrid w:val="0"/>
                    <w:ind w:firstLine="420" w:firstLineChars="200"/>
                    <w:rPr>
                      <w:rFonts w:hint="eastAsia"/>
                      <w:color w:val="auto"/>
                      <w:kern w:val="2"/>
                      <w:sz w:val="21"/>
                      <w:szCs w:val="21"/>
                      <w:lang w:val="en-US" w:eastAsia="zh-CN" w:bidi="ar-SA"/>
                    </w:rPr>
                  </w:pPr>
                  <w:r>
                    <w:rPr>
                      <w:color w:val="auto"/>
                      <w:szCs w:val="21"/>
                    </w:rPr>
                    <w:t>促进产业结构转型升级。严格能耗、环保、质量、安全、技术等综合标准，以钢铁、煤炭、水泥、电解铝、平板玻璃等行业为重点，依法依规淘汰落后产能。以钢铁、煤炭、煤电等行业和</w:t>
                  </w:r>
                  <w:r>
                    <w:rPr>
                      <w:rFonts w:hint="eastAsia"/>
                      <w:color w:val="auto"/>
                      <w:szCs w:val="21"/>
                    </w:rPr>
                    <w:t>领域为重点</w:t>
                  </w:r>
                  <w:r>
                    <w:rPr>
                      <w:rFonts w:hint="eastAsia"/>
                      <w:color w:val="auto"/>
                      <w:szCs w:val="21"/>
                      <w:lang w:eastAsia="zh-CN"/>
                    </w:rPr>
                    <w:t>，</w:t>
                  </w:r>
                  <w:r>
                    <w:rPr>
                      <w:rFonts w:hint="eastAsia"/>
                      <w:color w:val="auto"/>
                      <w:szCs w:val="21"/>
                      <w:lang w:val="en-US" w:eastAsia="zh-CN"/>
                    </w:rPr>
                    <w:t>加大过剩产能压减力度</w:t>
                  </w:r>
                  <w:r>
                    <w:rPr>
                      <w:rFonts w:hint="eastAsia"/>
                      <w:color w:val="auto"/>
                      <w:szCs w:val="21"/>
                    </w:rPr>
                    <w:t>。</w:t>
                  </w:r>
                </w:p>
              </w:tc>
              <w:tc>
                <w:tcPr>
                  <w:tcW w:w="2202" w:type="dxa"/>
                  <w:noWrap w:val="0"/>
                  <w:vAlign w:val="center"/>
                </w:tcPr>
                <w:p w14:paraId="06401CD7">
                  <w:pPr>
                    <w:autoSpaceDE w:val="0"/>
                    <w:adjustRightInd w:val="0"/>
                    <w:snapToGrid w:val="0"/>
                    <w:rPr>
                      <w:rFonts w:hint="eastAsia" w:eastAsia="宋体"/>
                      <w:color w:val="auto"/>
                      <w:kern w:val="2"/>
                      <w:sz w:val="21"/>
                      <w:szCs w:val="21"/>
                      <w:lang w:val="en-US" w:eastAsia="zh-CN" w:bidi="ar-SA"/>
                    </w:rPr>
                  </w:pPr>
                  <w:r>
                    <w:rPr>
                      <w:rFonts w:hint="eastAsia"/>
                      <w:color w:val="auto"/>
                      <w:szCs w:val="21"/>
                    </w:rPr>
                    <w:t>本项目主要为</w:t>
                  </w:r>
                  <w:r>
                    <w:rPr>
                      <w:rFonts w:hint="eastAsia"/>
                      <w:color w:val="auto"/>
                      <w:szCs w:val="21"/>
                      <w:lang w:eastAsia="zh-CN"/>
                    </w:rPr>
                    <w:t>塑料板、管、型材制造和泡沫塑料制造</w:t>
                  </w:r>
                  <w:r>
                    <w:rPr>
                      <w:rFonts w:hint="eastAsia"/>
                      <w:color w:val="auto"/>
                      <w:szCs w:val="21"/>
                    </w:rPr>
                    <w:t>，不属于</w:t>
                  </w:r>
                  <w:r>
                    <w:rPr>
                      <w:color w:val="auto"/>
                      <w:szCs w:val="21"/>
                    </w:rPr>
                    <w:t>钢铁、煤炭、水泥、电解铝、平板玻璃等行业</w:t>
                  </w:r>
                  <w:r>
                    <w:rPr>
                      <w:rFonts w:hint="eastAsia"/>
                      <w:color w:val="auto"/>
                      <w:szCs w:val="21"/>
                      <w:lang w:eastAsia="zh-CN"/>
                    </w:rPr>
                    <w:t>，</w:t>
                  </w:r>
                  <w:r>
                    <w:rPr>
                      <w:rFonts w:hint="eastAsia"/>
                      <w:color w:val="auto"/>
                      <w:szCs w:val="21"/>
                      <w:lang w:val="en-US" w:eastAsia="zh-CN"/>
                    </w:rPr>
                    <w:t>不涉及</w:t>
                  </w:r>
                  <w:r>
                    <w:rPr>
                      <w:color w:val="auto"/>
                      <w:szCs w:val="21"/>
                    </w:rPr>
                    <w:t>淘汰落后产能</w:t>
                  </w:r>
                  <w:r>
                    <w:rPr>
                      <w:rFonts w:hint="eastAsia"/>
                      <w:color w:val="auto"/>
                      <w:szCs w:val="21"/>
                      <w:lang w:eastAsia="zh-CN"/>
                    </w:rPr>
                    <w:t>。</w:t>
                  </w:r>
                </w:p>
              </w:tc>
              <w:tc>
                <w:tcPr>
                  <w:tcW w:w="433" w:type="dxa"/>
                  <w:noWrap w:val="0"/>
                  <w:vAlign w:val="center"/>
                </w:tcPr>
                <w:p w14:paraId="5DAB44FA">
                  <w:pPr>
                    <w:autoSpaceDE w:val="0"/>
                    <w:autoSpaceDN w:val="0"/>
                    <w:adjustRightInd w:val="0"/>
                    <w:snapToGrid w:val="0"/>
                    <w:jc w:val="center"/>
                    <w:rPr>
                      <w:color w:val="auto"/>
                      <w:szCs w:val="21"/>
                    </w:rPr>
                  </w:pPr>
                  <w:r>
                    <w:rPr>
                      <w:rFonts w:hint="eastAsia"/>
                      <w:color w:val="auto"/>
                      <w:szCs w:val="21"/>
                    </w:rPr>
                    <w:t>符合</w:t>
                  </w:r>
                </w:p>
              </w:tc>
            </w:tr>
            <w:tr w14:paraId="6B771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597FC352">
                  <w:pPr>
                    <w:autoSpaceDE w:val="0"/>
                    <w:autoSpaceDN w:val="0"/>
                    <w:adjustRightInd w:val="0"/>
                    <w:snapToGrid w:val="0"/>
                    <w:jc w:val="center"/>
                    <w:rPr>
                      <w:rFonts w:hint="eastAsia"/>
                      <w:color w:val="auto"/>
                      <w:szCs w:val="21"/>
                    </w:rPr>
                  </w:pPr>
                </w:p>
              </w:tc>
              <w:tc>
                <w:tcPr>
                  <w:tcW w:w="3411" w:type="dxa"/>
                  <w:noWrap w:val="0"/>
                  <w:vAlign w:val="center"/>
                </w:tcPr>
                <w:p w14:paraId="12DFE23D">
                  <w:pPr>
                    <w:autoSpaceDE w:val="0"/>
                    <w:adjustRightInd w:val="0"/>
                    <w:snapToGrid w:val="0"/>
                    <w:ind w:firstLine="420" w:firstLineChars="200"/>
                    <w:rPr>
                      <w:rFonts w:hint="eastAsia"/>
                      <w:color w:val="auto"/>
                      <w:kern w:val="2"/>
                      <w:sz w:val="21"/>
                      <w:szCs w:val="21"/>
                      <w:lang w:val="en-US" w:eastAsia="zh-CN" w:bidi="ar-SA"/>
                    </w:rPr>
                  </w:pPr>
                  <w:r>
                    <w:rPr>
                      <w:rFonts w:hint="eastAsia"/>
                      <w:color w:val="auto"/>
                      <w:szCs w:val="21"/>
                    </w:rPr>
                    <w:t>提升能源结构清洁低碳水平。加快电源结构调整和布局优化，新增用电需求主要通过新能源电力保障，减少煤电占比。</w:t>
                  </w:r>
                </w:p>
              </w:tc>
              <w:tc>
                <w:tcPr>
                  <w:tcW w:w="2202" w:type="dxa"/>
                  <w:noWrap w:val="0"/>
                  <w:vAlign w:val="center"/>
                </w:tcPr>
                <w:p w14:paraId="515964BB">
                  <w:pPr>
                    <w:autoSpaceDE w:val="0"/>
                    <w:adjustRightInd w:val="0"/>
                    <w:snapToGrid w:val="0"/>
                    <w:rPr>
                      <w:rFonts w:hint="eastAsia" w:eastAsia="宋体"/>
                      <w:color w:val="auto"/>
                      <w:kern w:val="2"/>
                      <w:sz w:val="21"/>
                      <w:szCs w:val="21"/>
                      <w:lang w:val="en-US" w:eastAsia="zh-CN" w:bidi="ar-SA"/>
                    </w:rPr>
                  </w:pPr>
                  <w:r>
                    <w:rPr>
                      <w:rFonts w:hint="eastAsia"/>
                      <w:color w:val="auto"/>
                      <w:szCs w:val="21"/>
                    </w:rPr>
                    <w:t>本项目运营期能耗主要使用电能，属于清洁能源</w:t>
                  </w:r>
                  <w:r>
                    <w:rPr>
                      <w:rFonts w:hint="eastAsia"/>
                      <w:color w:val="auto"/>
                      <w:szCs w:val="21"/>
                      <w:lang w:eastAsia="zh-CN"/>
                    </w:rPr>
                    <w:t>。</w:t>
                  </w:r>
                </w:p>
              </w:tc>
              <w:tc>
                <w:tcPr>
                  <w:tcW w:w="433" w:type="dxa"/>
                  <w:noWrap w:val="0"/>
                  <w:vAlign w:val="center"/>
                </w:tcPr>
                <w:p w14:paraId="498BF521">
                  <w:pPr>
                    <w:autoSpaceDE w:val="0"/>
                    <w:autoSpaceDN w:val="0"/>
                    <w:adjustRightInd w:val="0"/>
                    <w:snapToGrid w:val="0"/>
                    <w:jc w:val="center"/>
                    <w:rPr>
                      <w:rFonts w:hint="eastAsia"/>
                      <w:color w:val="auto"/>
                      <w:szCs w:val="21"/>
                    </w:rPr>
                  </w:pPr>
                  <w:r>
                    <w:rPr>
                      <w:rFonts w:hint="eastAsia"/>
                      <w:color w:val="auto"/>
                      <w:szCs w:val="21"/>
                    </w:rPr>
                    <w:t>符合</w:t>
                  </w:r>
                </w:p>
              </w:tc>
            </w:tr>
            <w:tr w14:paraId="1803E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noWrap w:val="0"/>
                  <w:vAlign w:val="center"/>
                </w:tcPr>
                <w:p w14:paraId="0FE5E9AA">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eastAsia="宋体"/>
                      <w:color w:val="auto"/>
                      <w:szCs w:val="21"/>
                      <w:lang w:eastAsia="zh-CN"/>
                    </w:rPr>
                  </w:pPr>
                  <w:r>
                    <w:rPr>
                      <w:rFonts w:hint="eastAsia"/>
                      <w:color w:val="auto"/>
                      <w:szCs w:val="21"/>
                      <w:lang w:eastAsia="zh-CN"/>
                    </w:rPr>
                    <w:t>《</w:t>
                  </w:r>
                  <w:r>
                    <w:rPr>
                      <w:rFonts w:hint="eastAsia"/>
                      <w:color w:val="auto"/>
                      <w:szCs w:val="21"/>
                    </w:rPr>
                    <w:t>西安市“十四五”生态环境保护规划</w:t>
                  </w:r>
                  <w:r>
                    <w:rPr>
                      <w:rFonts w:hint="eastAsia"/>
                      <w:color w:val="auto"/>
                      <w:szCs w:val="21"/>
                      <w:lang w:eastAsia="zh-CN"/>
                    </w:rPr>
                    <w:t>》（市政发〔2021〕21号）</w:t>
                  </w:r>
                </w:p>
              </w:tc>
              <w:tc>
                <w:tcPr>
                  <w:tcW w:w="3411" w:type="dxa"/>
                  <w:noWrap w:val="0"/>
                  <w:vAlign w:val="center"/>
                </w:tcPr>
                <w:p w14:paraId="4DECC94E">
                  <w:pPr>
                    <w:autoSpaceDE w:val="0"/>
                    <w:adjustRightInd w:val="0"/>
                    <w:snapToGrid w:val="0"/>
                    <w:ind w:firstLine="420" w:firstLineChars="200"/>
                    <w:rPr>
                      <w:rFonts w:hint="eastAsia"/>
                      <w:color w:val="auto"/>
                      <w:szCs w:val="21"/>
                    </w:rPr>
                  </w:pPr>
                  <w:r>
                    <w:rPr>
                      <w:rFonts w:hint="eastAsia"/>
                      <w:color w:val="auto"/>
                      <w:szCs w:val="21"/>
                    </w:rPr>
                    <w:t>优化产业结构，促进产业绿色升级。以建材、有色、石化、化工、包装印刷等行业为重点，开展全流程清洁化、循环化、低碳化改造，促进传统产业转型升级高质量发展。</w:t>
                  </w:r>
                </w:p>
              </w:tc>
              <w:tc>
                <w:tcPr>
                  <w:tcW w:w="2202" w:type="dxa"/>
                  <w:noWrap w:val="0"/>
                  <w:vAlign w:val="center"/>
                </w:tcPr>
                <w:p w14:paraId="077E5839">
                  <w:pPr>
                    <w:autoSpaceDE w:val="0"/>
                    <w:adjustRightInd w:val="0"/>
                    <w:snapToGrid w:val="0"/>
                    <w:rPr>
                      <w:rFonts w:hint="eastAsia" w:eastAsia="宋体"/>
                      <w:color w:val="auto"/>
                      <w:szCs w:val="21"/>
                      <w:lang w:val="en-US" w:eastAsia="zh-CN"/>
                    </w:rPr>
                  </w:pPr>
                  <w:r>
                    <w:rPr>
                      <w:rFonts w:hint="eastAsia"/>
                      <w:color w:val="auto"/>
                      <w:szCs w:val="21"/>
                      <w:lang w:val="en-US" w:eastAsia="zh-CN"/>
                    </w:rPr>
                    <w:t>本项目为</w:t>
                  </w:r>
                  <w:r>
                    <w:rPr>
                      <w:rFonts w:hint="eastAsia"/>
                      <w:color w:val="auto"/>
                      <w:szCs w:val="21"/>
                      <w:lang w:eastAsia="zh-CN"/>
                    </w:rPr>
                    <w:t>塑料板、管、型材制造和泡沫塑料制造</w:t>
                  </w:r>
                  <w:r>
                    <w:rPr>
                      <w:rFonts w:hint="eastAsia"/>
                      <w:color w:val="auto"/>
                      <w:szCs w:val="21"/>
                      <w:lang w:val="en-US" w:eastAsia="zh-CN"/>
                    </w:rPr>
                    <w:t>，不属于</w:t>
                  </w:r>
                  <w:r>
                    <w:rPr>
                      <w:rFonts w:hint="eastAsia"/>
                      <w:color w:val="auto"/>
                      <w:szCs w:val="21"/>
                    </w:rPr>
                    <w:t>建材、石化、化工、工业涂装</w:t>
                  </w:r>
                  <w:r>
                    <w:rPr>
                      <w:rFonts w:hint="eastAsia"/>
                      <w:color w:val="auto"/>
                      <w:szCs w:val="21"/>
                      <w:lang w:eastAsia="zh-CN"/>
                    </w:rPr>
                    <w:t>、</w:t>
                  </w:r>
                  <w:r>
                    <w:rPr>
                      <w:rFonts w:hint="eastAsia"/>
                      <w:color w:val="auto"/>
                      <w:szCs w:val="21"/>
                    </w:rPr>
                    <w:t>包装印刷、农副产品加工等</w:t>
                  </w:r>
                  <w:r>
                    <w:rPr>
                      <w:rFonts w:hint="eastAsia"/>
                      <w:color w:val="auto"/>
                      <w:szCs w:val="21"/>
                      <w:lang w:val="en-US" w:eastAsia="zh-CN"/>
                    </w:rPr>
                    <w:t>重点</w:t>
                  </w:r>
                  <w:r>
                    <w:rPr>
                      <w:rFonts w:hint="eastAsia"/>
                      <w:color w:val="auto"/>
                      <w:szCs w:val="21"/>
                    </w:rPr>
                    <w:t>行业</w:t>
                  </w:r>
                  <w:r>
                    <w:rPr>
                      <w:rFonts w:hint="eastAsia"/>
                      <w:color w:val="auto"/>
                      <w:szCs w:val="21"/>
                      <w:lang w:eastAsia="zh-CN"/>
                    </w:rPr>
                    <w:t>。</w:t>
                  </w:r>
                </w:p>
              </w:tc>
              <w:tc>
                <w:tcPr>
                  <w:tcW w:w="433" w:type="dxa"/>
                  <w:noWrap w:val="0"/>
                  <w:vAlign w:val="center"/>
                </w:tcPr>
                <w:p w14:paraId="192DA095">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523F2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noWrap w:val="0"/>
                  <w:vAlign w:val="center"/>
                </w:tcPr>
                <w:p w14:paraId="24C0FD5E">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Cs w:val="21"/>
                      <w:lang w:eastAsia="zh-CN"/>
                    </w:rPr>
                  </w:pPr>
                  <w:r>
                    <w:rPr>
                      <w:rFonts w:hint="eastAsia"/>
                      <w:color w:val="auto"/>
                      <w:szCs w:val="21"/>
                      <w:lang w:eastAsia="zh-CN"/>
                    </w:rPr>
                    <w:t>《西咸新区“十四五”生态环境保护规划》（</w:t>
                  </w:r>
                  <w:r>
                    <w:rPr>
                      <w:rFonts w:hint="eastAsia"/>
                      <w:color w:val="auto"/>
                      <w:szCs w:val="21"/>
                      <w:lang w:val="en-US" w:eastAsia="zh-CN"/>
                    </w:rPr>
                    <w:t>陕西咸</w:t>
                  </w:r>
                  <w:r>
                    <w:rPr>
                      <w:rFonts w:hint="eastAsia"/>
                      <w:color w:val="auto"/>
                      <w:szCs w:val="21"/>
                      <w:lang w:eastAsia="zh-CN"/>
                    </w:rPr>
                    <w:t>发〔2021〕</w:t>
                  </w:r>
                  <w:r>
                    <w:rPr>
                      <w:rFonts w:hint="eastAsia"/>
                      <w:color w:val="auto"/>
                      <w:szCs w:val="21"/>
                      <w:lang w:val="en-US" w:eastAsia="zh-CN"/>
                    </w:rPr>
                    <w:t>4</w:t>
                  </w:r>
                  <w:r>
                    <w:rPr>
                      <w:rFonts w:hint="eastAsia"/>
                      <w:color w:val="auto"/>
                      <w:szCs w:val="21"/>
                      <w:lang w:eastAsia="zh-CN"/>
                    </w:rPr>
                    <w:t>号）</w:t>
                  </w:r>
                </w:p>
              </w:tc>
              <w:tc>
                <w:tcPr>
                  <w:tcW w:w="3411" w:type="dxa"/>
                  <w:shd w:val="clear" w:color="auto" w:fill="auto"/>
                  <w:noWrap w:val="0"/>
                  <w:vAlign w:val="center"/>
                </w:tcPr>
                <w:p w14:paraId="38CB4CB5">
                  <w:pPr>
                    <w:autoSpaceDE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促进产业结构转型升级。严格执行能耗、环保、质量、安全等法律法规标准，依法依规加大落后产能和高污染配套设施淘汰，推进建设一批工业园区和中小企业园区。以建材、石化、化工、工业涂装</w:t>
                  </w:r>
                  <w:r>
                    <w:rPr>
                      <w:rFonts w:hint="eastAsia"/>
                      <w:color w:val="auto"/>
                      <w:szCs w:val="21"/>
                      <w:lang w:eastAsia="zh-CN"/>
                    </w:rPr>
                    <w:t>、</w:t>
                  </w:r>
                  <w:r>
                    <w:rPr>
                      <w:rFonts w:hint="eastAsia"/>
                      <w:color w:val="auto"/>
                      <w:szCs w:val="21"/>
                    </w:rPr>
                    <w:t>包装印刷、农副产品加工等行业为重点，开展全流程清洁化、循环化、低碳化改造。</w:t>
                  </w:r>
                </w:p>
              </w:tc>
              <w:tc>
                <w:tcPr>
                  <w:tcW w:w="2202" w:type="dxa"/>
                  <w:shd w:val="clear" w:color="auto" w:fill="auto"/>
                  <w:noWrap w:val="0"/>
                  <w:vAlign w:val="center"/>
                </w:tcPr>
                <w:p w14:paraId="09298ABA">
                  <w:pPr>
                    <w:autoSpaceDE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本项目为</w:t>
                  </w:r>
                  <w:r>
                    <w:rPr>
                      <w:rFonts w:hint="eastAsia"/>
                      <w:color w:val="auto"/>
                      <w:szCs w:val="21"/>
                      <w:lang w:eastAsia="zh-CN"/>
                    </w:rPr>
                    <w:t>塑料板、管、型材制造和泡沫塑料制造</w:t>
                  </w:r>
                  <w:r>
                    <w:rPr>
                      <w:rFonts w:hint="eastAsia"/>
                      <w:color w:val="auto"/>
                      <w:szCs w:val="21"/>
                      <w:lang w:val="en-US" w:eastAsia="zh-CN"/>
                    </w:rPr>
                    <w:t>，不属于</w:t>
                  </w:r>
                  <w:r>
                    <w:rPr>
                      <w:rFonts w:hint="eastAsia"/>
                      <w:color w:val="auto"/>
                      <w:szCs w:val="21"/>
                    </w:rPr>
                    <w:t>产能和高污染</w:t>
                  </w:r>
                  <w:r>
                    <w:rPr>
                      <w:rFonts w:hint="eastAsia"/>
                      <w:color w:val="auto"/>
                      <w:szCs w:val="21"/>
                      <w:lang w:val="en-US" w:eastAsia="zh-CN"/>
                    </w:rPr>
                    <w:t>设施；不属于</w:t>
                  </w:r>
                  <w:r>
                    <w:rPr>
                      <w:rFonts w:hint="eastAsia"/>
                      <w:color w:val="auto"/>
                      <w:szCs w:val="21"/>
                    </w:rPr>
                    <w:t>建材、石化、化工、工业涂装</w:t>
                  </w:r>
                  <w:r>
                    <w:rPr>
                      <w:rFonts w:hint="eastAsia"/>
                      <w:color w:val="auto"/>
                      <w:szCs w:val="21"/>
                      <w:lang w:eastAsia="zh-CN"/>
                    </w:rPr>
                    <w:t>、</w:t>
                  </w:r>
                  <w:r>
                    <w:rPr>
                      <w:rFonts w:hint="eastAsia"/>
                      <w:color w:val="auto"/>
                      <w:szCs w:val="21"/>
                    </w:rPr>
                    <w:t>包装印刷、农副产品加工等</w:t>
                  </w:r>
                  <w:r>
                    <w:rPr>
                      <w:rFonts w:hint="eastAsia"/>
                      <w:color w:val="auto"/>
                      <w:szCs w:val="21"/>
                      <w:lang w:val="en-US" w:eastAsia="zh-CN"/>
                    </w:rPr>
                    <w:t>重点</w:t>
                  </w:r>
                  <w:r>
                    <w:rPr>
                      <w:rFonts w:hint="eastAsia"/>
                      <w:color w:val="auto"/>
                      <w:szCs w:val="21"/>
                    </w:rPr>
                    <w:t>行业</w:t>
                  </w:r>
                  <w:r>
                    <w:rPr>
                      <w:rFonts w:hint="eastAsia"/>
                      <w:color w:val="auto"/>
                      <w:szCs w:val="21"/>
                      <w:lang w:eastAsia="zh-CN"/>
                    </w:rPr>
                    <w:t>。</w:t>
                  </w:r>
                </w:p>
              </w:tc>
              <w:tc>
                <w:tcPr>
                  <w:tcW w:w="433" w:type="dxa"/>
                  <w:noWrap w:val="0"/>
                  <w:vAlign w:val="center"/>
                </w:tcPr>
                <w:p w14:paraId="3594F447">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7387E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noWrap w:val="0"/>
                  <w:vAlign w:val="center"/>
                </w:tcPr>
                <w:p w14:paraId="191AC6D1">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Cs w:val="21"/>
                      <w:lang w:eastAsia="zh-CN"/>
                    </w:rPr>
                  </w:pPr>
                  <w:r>
                    <w:rPr>
                      <w:rFonts w:hint="eastAsia"/>
                      <w:color w:val="auto"/>
                      <w:szCs w:val="21"/>
                      <w:lang w:eastAsia="zh-CN"/>
                    </w:rPr>
                    <w:t>《西安市空气质量达标规划（2023—2030年）》（</w:t>
                  </w:r>
                  <w:r>
                    <w:rPr>
                      <w:rFonts w:hint="eastAsia"/>
                      <w:color w:val="auto"/>
                      <w:szCs w:val="21"/>
                      <w:lang w:val="en-US" w:eastAsia="zh-CN"/>
                    </w:rPr>
                    <w:t>市政</w:t>
                  </w:r>
                  <w:r>
                    <w:rPr>
                      <w:rFonts w:hint="eastAsia"/>
                      <w:color w:val="auto"/>
                      <w:szCs w:val="21"/>
                      <w:lang w:eastAsia="zh-CN"/>
                    </w:rPr>
                    <w:t>发〔202</w:t>
                  </w:r>
                  <w:r>
                    <w:rPr>
                      <w:rFonts w:hint="eastAsia"/>
                      <w:color w:val="auto"/>
                      <w:szCs w:val="21"/>
                      <w:lang w:val="en-US" w:eastAsia="zh-CN"/>
                    </w:rPr>
                    <w:t>3</w:t>
                  </w:r>
                  <w:r>
                    <w:rPr>
                      <w:rFonts w:hint="eastAsia"/>
                      <w:color w:val="auto"/>
                      <w:szCs w:val="21"/>
                      <w:lang w:eastAsia="zh-CN"/>
                    </w:rPr>
                    <w:t>〕</w:t>
                  </w:r>
                  <w:r>
                    <w:rPr>
                      <w:rFonts w:hint="eastAsia"/>
                      <w:color w:val="auto"/>
                      <w:szCs w:val="21"/>
                      <w:lang w:val="en-US" w:eastAsia="zh-CN"/>
                    </w:rPr>
                    <w:t>10</w:t>
                  </w:r>
                  <w:r>
                    <w:rPr>
                      <w:rFonts w:hint="eastAsia"/>
                      <w:color w:val="auto"/>
                      <w:szCs w:val="21"/>
                      <w:lang w:eastAsia="zh-CN"/>
                    </w:rPr>
                    <w:t>号）</w:t>
                  </w:r>
                </w:p>
              </w:tc>
              <w:tc>
                <w:tcPr>
                  <w:tcW w:w="3411" w:type="dxa"/>
                  <w:noWrap w:val="0"/>
                  <w:vAlign w:val="center"/>
                </w:tcPr>
                <w:p w14:paraId="28800788">
                  <w:pPr>
                    <w:autoSpaceDE w:val="0"/>
                    <w:adjustRightInd w:val="0"/>
                    <w:snapToGrid w:val="0"/>
                    <w:ind w:firstLine="420" w:firstLineChars="200"/>
                    <w:rPr>
                      <w:rFonts w:hint="eastAsia" w:eastAsia="宋体"/>
                      <w:color w:val="auto"/>
                      <w:szCs w:val="21"/>
                      <w:lang w:eastAsia="zh-CN"/>
                    </w:rPr>
                  </w:pPr>
                  <w:r>
                    <w:rPr>
                      <w:rFonts w:hint="eastAsia"/>
                      <w:color w:val="auto"/>
                      <w:szCs w:val="21"/>
                    </w:rPr>
                    <w:t>加快推进产业结构调整。新建项目不再采用单一低温等离子、光氧化、光催化等治理技术，非水溶性VOCs废气不再采用单一喷淋吸收方式处理。严格新改扩建涉气重点行业绩效评级限制条件</w:t>
                  </w:r>
                  <w:r>
                    <w:rPr>
                      <w:rFonts w:hint="eastAsia"/>
                      <w:color w:val="auto"/>
                      <w:szCs w:val="21"/>
                      <w:lang w:eastAsia="zh-CN"/>
                    </w:rPr>
                    <w:t>。</w:t>
                  </w:r>
                </w:p>
              </w:tc>
              <w:tc>
                <w:tcPr>
                  <w:tcW w:w="2202" w:type="dxa"/>
                  <w:noWrap w:val="0"/>
                  <w:vAlign w:val="center"/>
                </w:tcPr>
                <w:p w14:paraId="723524A0">
                  <w:pPr>
                    <w:autoSpaceDE w:val="0"/>
                    <w:adjustRightInd w:val="0"/>
                    <w:snapToGrid w:val="0"/>
                    <w:rPr>
                      <w:rFonts w:hint="default" w:eastAsia="宋体"/>
                      <w:color w:val="auto"/>
                      <w:szCs w:val="21"/>
                      <w:lang w:val="en-US" w:eastAsia="zh-CN"/>
                    </w:rPr>
                  </w:pPr>
                  <w:r>
                    <w:rPr>
                      <w:rFonts w:hint="eastAsia"/>
                      <w:color w:val="auto"/>
                      <w:szCs w:val="21"/>
                      <w:lang w:val="en-US" w:eastAsia="zh-CN"/>
                    </w:rPr>
                    <w:t>本项目为迁建项目，运行过程中产生的有机废气（挤出和发泡废气）</w:t>
                  </w:r>
                  <w:r>
                    <w:rPr>
                      <w:rFonts w:hint="eastAsia"/>
                      <w:color w:val="auto"/>
                      <w:szCs w:val="21"/>
                    </w:rPr>
                    <w:t>采用“集气罩</w:t>
                  </w:r>
                  <w:r>
                    <w:rPr>
                      <w:rFonts w:hint="eastAsia"/>
                      <w:bCs/>
                      <w:color w:val="auto"/>
                      <w:szCs w:val="21"/>
                    </w:rPr>
                    <w:t>+软帘</w:t>
                  </w:r>
                  <w:r>
                    <w:rPr>
                      <w:rFonts w:hint="eastAsia"/>
                      <w:color w:val="auto"/>
                      <w:szCs w:val="21"/>
                    </w:rPr>
                    <w:t>+</w:t>
                  </w:r>
                  <w:r>
                    <w:rPr>
                      <w:rFonts w:hint="eastAsia"/>
                      <w:color w:val="auto"/>
                      <w:szCs w:val="21"/>
                      <w:lang w:val="en-US" w:eastAsia="zh-CN"/>
                    </w:rPr>
                    <w:t>二级活性炭</w:t>
                  </w:r>
                  <w:r>
                    <w:rPr>
                      <w:rFonts w:hint="eastAsia"/>
                      <w:color w:val="auto"/>
                      <w:szCs w:val="21"/>
                    </w:rPr>
                    <w:t>吸附+15m排气筒</w:t>
                  </w:r>
                  <w:r>
                    <w:rPr>
                      <w:rFonts w:hint="eastAsia"/>
                      <w:color w:val="auto"/>
                      <w:szCs w:val="21"/>
                      <w:lang w:eastAsia="zh-CN"/>
                    </w:rPr>
                    <w:t>（</w:t>
                  </w:r>
                  <w:r>
                    <w:rPr>
                      <w:rFonts w:hint="eastAsia"/>
                      <w:color w:val="auto"/>
                      <w:szCs w:val="21"/>
                      <w:lang w:val="en-US" w:eastAsia="zh-CN"/>
                    </w:rPr>
                    <w:t>DA001、DA002</w:t>
                  </w:r>
                  <w:r>
                    <w:rPr>
                      <w:rFonts w:hint="eastAsia"/>
                      <w:color w:val="auto"/>
                      <w:szCs w:val="21"/>
                      <w:lang w:eastAsia="zh-CN"/>
                    </w:rPr>
                    <w:t>）</w:t>
                  </w:r>
                  <w:r>
                    <w:rPr>
                      <w:rFonts w:hint="eastAsia"/>
                      <w:color w:val="auto"/>
                      <w:szCs w:val="21"/>
                    </w:rPr>
                    <w:t>”处理达标排放</w:t>
                  </w:r>
                  <w:r>
                    <w:rPr>
                      <w:rFonts w:hint="eastAsia"/>
                      <w:color w:val="auto"/>
                      <w:szCs w:val="21"/>
                      <w:lang w:eastAsia="zh-CN"/>
                    </w:rPr>
                    <w:t>，</w:t>
                  </w:r>
                  <w:r>
                    <w:rPr>
                      <w:rFonts w:hint="eastAsia"/>
                      <w:color w:val="auto"/>
                      <w:szCs w:val="21"/>
                      <w:lang w:val="en-US" w:eastAsia="zh-CN"/>
                    </w:rPr>
                    <w:t>不属于不再采用的单一治理技术。</w:t>
                  </w:r>
                </w:p>
              </w:tc>
              <w:tc>
                <w:tcPr>
                  <w:tcW w:w="433" w:type="dxa"/>
                  <w:noWrap w:val="0"/>
                  <w:vAlign w:val="center"/>
                </w:tcPr>
                <w:p w14:paraId="533BC08B">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68793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noWrap w:val="0"/>
                  <w:vAlign w:val="center"/>
                </w:tcPr>
                <w:p w14:paraId="55BBE430">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Cs w:val="21"/>
                      <w:lang w:eastAsia="zh-CN"/>
                    </w:rPr>
                  </w:pPr>
                  <w:r>
                    <w:rPr>
                      <w:rFonts w:hint="eastAsia"/>
                      <w:color w:val="auto"/>
                      <w:szCs w:val="21"/>
                      <w:lang w:eastAsia="zh-CN"/>
                    </w:rPr>
                    <w:t>陕西省关于贯彻落实《空气质量持续改善行动计划》的实施意见（2024-2025年）</w:t>
                  </w:r>
                </w:p>
              </w:tc>
              <w:tc>
                <w:tcPr>
                  <w:tcW w:w="3411" w:type="dxa"/>
                  <w:noWrap w:val="0"/>
                  <w:vAlign w:val="center"/>
                </w:tcPr>
                <w:p w14:paraId="24CAF227">
                  <w:pPr>
                    <w:autoSpaceDE w:val="0"/>
                    <w:adjustRightInd w:val="0"/>
                    <w:snapToGrid w:val="0"/>
                    <w:ind w:firstLine="420" w:firstLineChars="200"/>
                    <w:rPr>
                      <w:rFonts w:hint="eastAsia" w:eastAsia="宋体"/>
                      <w:color w:val="auto"/>
                      <w:szCs w:val="21"/>
                      <w:lang w:val="en-US" w:eastAsia="zh-CN"/>
                    </w:rPr>
                  </w:pPr>
                  <w:r>
                    <w:rPr>
                      <w:rFonts w:hint="eastAsia"/>
                      <w:color w:val="auto"/>
                      <w:szCs w:val="21"/>
                    </w:rPr>
                    <w:t>（三）严格环境准入要求。关中地区严禁新增煤电、钢铁、焦化、水泥熟料、平板玻璃、电解铝、氧化铝、煤化工、烧结砖瓦、陶瓷等行业产能</w:t>
                  </w:r>
                  <w:r>
                    <w:rPr>
                      <w:rFonts w:hint="eastAsia"/>
                      <w:color w:val="auto"/>
                      <w:szCs w:val="21"/>
                      <w:lang w:eastAsia="zh-CN"/>
                    </w:rPr>
                    <w:t>。</w:t>
                  </w:r>
                </w:p>
              </w:tc>
              <w:tc>
                <w:tcPr>
                  <w:tcW w:w="2202" w:type="dxa"/>
                  <w:noWrap w:val="0"/>
                  <w:vAlign w:val="center"/>
                </w:tcPr>
                <w:p w14:paraId="7B23DE0D">
                  <w:pPr>
                    <w:autoSpaceDE w:val="0"/>
                    <w:adjustRightInd w:val="0"/>
                    <w:snapToGrid w:val="0"/>
                    <w:rPr>
                      <w:rFonts w:hint="eastAsia" w:eastAsia="宋体"/>
                      <w:color w:val="auto"/>
                      <w:szCs w:val="21"/>
                      <w:lang w:val="en-US" w:eastAsia="zh-CN"/>
                    </w:rPr>
                  </w:pPr>
                  <w:r>
                    <w:rPr>
                      <w:rFonts w:hint="eastAsia"/>
                      <w:color w:val="auto"/>
                      <w:szCs w:val="21"/>
                      <w:lang w:val="en-US" w:eastAsia="zh-CN"/>
                    </w:rPr>
                    <w:t>本项目为</w:t>
                  </w:r>
                  <w:r>
                    <w:rPr>
                      <w:rFonts w:hint="eastAsia"/>
                      <w:color w:val="auto"/>
                      <w:szCs w:val="21"/>
                      <w:lang w:eastAsia="zh-CN"/>
                    </w:rPr>
                    <w:t>塑料板、管、型材制造和泡沫塑料制造</w:t>
                  </w:r>
                  <w:r>
                    <w:rPr>
                      <w:rFonts w:hint="eastAsia"/>
                      <w:color w:val="auto"/>
                      <w:szCs w:val="21"/>
                      <w:lang w:val="en-US" w:eastAsia="zh-CN"/>
                    </w:rPr>
                    <w:t>，不属于</w:t>
                  </w:r>
                  <w:r>
                    <w:rPr>
                      <w:rFonts w:hint="eastAsia"/>
                      <w:color w:val="auto"/>
                      <w:szCs w:val="21"/>
                    </w:rPr>
                    <w:t>新增煤电、钢铁、焦化、水泥熟料、平板玻璃、电解铝、氧化铝、煤化工、烧结砖瓦、陶瓷等行业</w:t>
                  </w:r>
                  <w:r>
                    <w:rPr>
                      <w:rFonts w:hint="eastAsia"/>
                      <w:color w:val="auto"/>
                      <w:szCs w:val="21"/>
                      <w:lang w:eastAsia="zh-CN"/>
                    </w:rPr>
                    <w:t>。</w:t>
                  </w:r>
                </w:p>
              </w:tc>
              <w:tc>
                <w:tcPr>
                  <w:tcW w:w="433" w:type="dxa"/>
                  <w:noWrap w:val="0"/>
                  <w:vAlign w:val="center"/>
                </w:tcPr>
                <w:p w14:paraId="4800183E">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28EAF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30EF1D70">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Cs w:val="21"/>
                      <w:lang w:eastAsia="zh-CN"/>
                    </w:rPr>
                  </w:pPr>
                </w:p>
              </w:tc>
              <w:tc>
                <w:tcPr>
                  <w:tcW w:w="3411" w:type="dxa"/>
                  <w:noWrap w:val="0"/>
                  <w:vAlign w:val="center"/>
                </w:tcPr>
                <w:p w14:paraId="693ABA4E">
                  <w:pPr>
                    <w:autoSpaceDE w:val="0"/>
                    <w:adjustRightInd w:val="0"/>
                    <w:snapToGrid w:val="0"/>
                    <w:ind w:firstLine="420" w:firstLineChars="200"/>
                    <w:rPr>
                      <w:rFonts w:hint="eastAsia"/>
                      <w:color w:val="auto"/>
                      <w:szCs w:val="21"/>
                    </w:rPr>
                  </w:pPr>
                  <w:r>
                    <w:rPr>
                      <w:rFonts w:hint="eastAsia"/>
                      <w:color w:val="auto"/>
                      <w:szCs w:val="21"/>
                    </w:rPr>
                    <w:t>（七）积极推进含VOCs原辅材料和产品源头替代。严格控制生产和使用高VOCs含量涂料、油墨、胶粘剂、清洗剂等建设项目，提高低（无）VOCs含量产品比重。</w:t>
                  </w:r>
                </w:p>
              </w:tc>
              <w:tc>
                <w:tcPr>
                  <w:tcW w:w="2202" w:type="dxa"/>
                  <w:noWrap w:val="0"/>
                  <w:vAlign w:val="center"/>
                </w:tcPr>
                <w:p w14:paraId="0C4E60FE">
                  <w:pPr>
                    <w:autoSpaceDE w:val="0"/>
                    <w:adjustRightInd w:val="0"/>
                    <w:snapToGrid w:val="0"/>
                    <w:rPr>
                      <w:rFonts w:hint="eastAsia"/>
                      <w:color w:val="auto"/>
                      <w:szCs w:val="21"/>
                      <w:lang w:val="en-US" w:eastAsia="zh-CN"/>
                    </w:rPr>
                  </w:pPr>
                  <w:r>
                    <w:rPr>
                      <w:rFonts w:hint="eastAsia"/>
                      <w:color w:val="auto"/>
                      <w:szCs w:val="21"/>
                      <w:lang w:val="en-US" w:eastAsia="zh-CN"/>
                    </w:rPr>
                    <w:t>本项目不使用油墨、涂料、胶粘剂、清洗剂等原辅材料的使用，本项目所用液态物料均储存于密闭容器内，非取用状态时加盖、封口，保持密闭，不会挥发产生有机废气。</w:t>
                  </w:r>
                </w:p>
              </w:tc>
              <w:tc>
                <w:tcPr>
                  <w:tcW w:w="433" w:type="dxa"/>
                  <w:noWrap w:val="0"/>
                  <w:vAlign w:val="center"/>
                </w:tcPr>
                <w:p w14:paraId="638E5259">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50B93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shd w:val="clear" w:color="auto" w:fill="auto"/>
                  <w:noWrap w:val="0"/>
                  <w:vAlign w:val="center"/>
                </w:tcPr>
                <w:p w14:paraId="5CB8CE02">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关于印发《西安市挥发性有机物污染整治专项实施方案》的通知</w:t>
                  </w:r>
                </w:p>
              </w:tc>
              <w:tc>
                <w:tcPr>
                  <w:tcW w:w="3411" w:type="dxa"/>
                  <w:shd w:val="clear" w:color="auto" w:fill="auto"/>
                  <w:noWrap w:val="0"/>
                  <w:vAlign w:val="center"/>
                </w:tcPr>
                <w:p w14:paraId="7D4710F1">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低效治理</w:t>
                  </w:r>
                  <w:r>
                    <w:rPr>
                      <w:rFonts w:hint="eastAsia"/>
                      <w:color w:val="auto"/>
                      <w:szCs w:val="21"/>
                      <w:lang w:eastAsia="zh-CN"/>
                    </w:rPr>
                    <w:t>设施</w:t>
                  </w:r>
                  <w:r>
                    <w:rPr>
                      <w:rFonts w:hint="eastAsia"/>
                      <w:color w:val="auto"/>
                      <w:szCs w:val="21"/>
                    </w:rPr>
                    <w:t>升级改造行动。组织开展企业VOCs治理设施排</w:t>
                  </w:r>
                  <w:r>
                    <w:rPr>
                      <w:rFonts w:hint="eastAsia"/>
                      <w:color w:val="auto"/>
                      <w:szCs w:val="21"/>
                      <w:lang w:eastAsia="zh-CN"/>
                    </w:rPr>
                    <w:t>查</w:t>
                  </w:r>
                  <w:r>
                    <w:rPr>
                      <w:rFonts w:hint="eastAsia"/>
                      <w:color w:val="auto"/>
                      <w:szCs w:val="21"/>
                    </w:rPr>
                    <w:t>，对涉及使用低温等离子、光氧化、光催化技术的废气治理设施，</w:t>
                  </w:r>
                  <w:r>
                    <w:rPr>
                      <w:rFonts w:hint="eastAsia"/>
                      <w:color w:val="auto"/>
                      <w:szCs w:val="21"/>
                      <w:lang w:val="en-US" w:eastAsia="zh-CN"/>
                    </w:rPr>
                    <w:t>非水溶</w:t>
                  </w:r>
                  <w:r>
                    <w:rPr>
                      <w:rFonts w:hint="eastAsia"/>
                      <w:color w:val="auto"/>
                      <w:szCs w:val="21"/>
                    </w:rPr>
                    <w:t>性VOC</w:t>
                  </w:r>
                  <w:r>
                    <w:rPr>
                      <w:rFonts w:hint="eastAsia"/>
                      <w:color w:val="auto"/>
                      <w:szCs w:val="21"/>
                      <w:lang w:val="en-US" w:eastAsia="zh-CN"/>
                    </w:rPr>
                    <w:t>s</w:t>
                  </w:r>
                  <w:r>
                    <w:rPr>
                      <w:rFonts w:hint="eastAsia"/>
                      <w:color w:val="auto"/>
                      <w:szCs w:val="21"/>
                    </w:rPr>
                    <w:t>废气采用单一</w:t>
                  </w:r>
                  <w:r>
                    <w:rPr>
                      <w:rFonts w:hint="eastAsia"/>
                      <w:color w:val="auto"/>
                      <w:szCs w:val="21"/>
                      <w:lang w:val="en-US" w:eastAsia="zh-CN"/>
                    </w:rPr>
                    <w:t>喷</w:t>
                  </w:r>
                  <w:r>
                    <w:rPr>
                      <w:rFonts w:hint="eastAsia"/>
                      <w:color w:val="auto"/>
                      <w:szCs w:val="21"/>
                    </w:rPr>
                    <w:t>淋吸收等治理技术，以及有机化工生产企业使用简易低效污染治理设施的，逐一进行</w:t>
                  </w:r>
                  <w:r>
                    <w:rPr>
                      <w:rFonts w:hint="eastAsia"/>
                      <w:color w:val="auto"/>
                      <w:szCs w:val="21"/>
                      <w:lang w:val="en-US" w:eastAsia="zh-CN"/>
                    </w:rPr>
                    <w:t>排查</w:t>
                  </w:r>
                  <w:r>
                    <w:rPr>
                      <w:rFonts w:hint="eastAsia"/>
                      <w:color w:val="auto"/>
                      <w:szCs w:val="21"/>
                    </w:rPr>
                    <w:t>，2023年6月底前基本</w:t>
                  </w:r>
                  <w:r>
                    <w:rPr>
                      <w:rFonts w:hint="eastAsia"/>
                      <w:color w:val="auto"/>
                      <w:szCs w:val="21"/>
                      <w:lang w:val="en-US" w:eastAsia="zh-CN"/>
                    </w:rPr>
                    <w:t>完</w:t>
                  </w:r>
                  <w:r>
                    <w:rPr>
                      <w:rFonts w:hint="eastAsia"/>
                      <w:color w:val="auto"/>
                      <w:szCs w:val="21"/>
                    </w:rPr>
                    <w:t>成VOC</w:t>
                  </w:r>
                  <w:r>
                    <w:rPr>
                      <w:rFonts w:hint="eastAsia"/>
                      <w:color w:val="auto"/>
                      <w:szCs w:val="21"/>
                      <w:lang w:val="en-US" w:eastAsia="zh-CN"/>
                    </w:rPr>
                    <w:t>s</w:t>
                  </w:r>
                  <w:r>
                    <w:rPr>
                      <w:rFonts w:hint="eastAsia"/>
                      <w:color w:val="auto"/>
                      <w:szCs w:val="21"/>
                    </w:rPr>
                    <w:t>治理低效设施升级改造</w:t>
                  </w:r>
                  <w:r>
                    <w:rPr>
                      <w:rFonts w:hint="eastAsia"/>
                      <w:color w:val="auto"/>
                      <w:szCs w:val="21"/>
                      <w:lang w:eastAsia="zh-CN"/>
                    </w:rPr>
                    <w:t>。</w:t>
                  </w:r>
                </w:p>
              </w:tc>
              <w:tc>
                <w:tcPr>
                  <w:tcW w:w="2202" w:type="dxa"/>
                  <w:shd w:val="clear" w:color="auto" w:fill="auto"/>
                  <w:noWrap w:val="0"/>
                  <w:vAlign w:val="center"/>
                </w:tcPr>
                <w:p w14:paraId="3AC526E7">
                  <w:pPr>
                    <w:autoSpaceDE w:val="0"/>
                    <w:autoSpaceDN w:val="0"/>
                    <w:adjustRightInd w:val="0"/>
                    <w:snapToGrid w:val="0"/>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本项目有机废气采用“</w:t>
                  </w:r>
                  <w:r>
                    <w:rPr>
                      <w:rFonts w:hint="eastAsia" w:cs="Times New Roman"/>
                      <w:color w:val="auto"/>
                      <w:szCs w:val="21"/>
                      <w:lang w:eastAsia="zh-CN"/>
                    </w:rPr>
                    <w:t>二级活性炭吸附</w:t>
                  </w:r>
                  <w:r>
                    <w:rPr>
                      <w:rFonts w:hint="eastAsia"/>
                      <w:color w:val="auto"/>
                      <w:kern w:val="0"/>
                      <w:szCs w:val="21"/>
                      <w:lang w:val="en-US" w:eastAsia="zh-CN"/>
                    </w:rPr>
                    <w:t>”工艺，不属于低效处理工艺。</w:t>
                  </w:r>
                </w:p>
              </w:tc>
              <w:tc>
                <w:tcPr>
                  <w:tcW w:w="433" w:type="dxa"/>
                  <w:shd w:val="clear" w:color="auto" w:fill="auto"/>
                  <w:noWrap w:val="0"/>
                  <w:vAlign w:val="center"/>
                </w:tcPr>
                <w:p w14:paraId="3A4FD488">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47958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6AEEC1F4">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Cs w:val="21"/>
                      <w:lang w:eastAsia="zh-CN"/>
                    </w:rPr>
                  </w:pPr>
                </w:p>
              </w:tc>
              <w:tc>
                <w:tcPr>
                  <w:tcW w:w="3411" w:type="dxa"/>
                  <w:shd w:val="clear" w:color="auto" w:fill="auto"/>
                  <w:noWrap w:val="0"/>
                  <w:vAlign w:val="center"/>
                </w:tcPr>
                <w:p w14:paraId="1B7B87BC">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强化涉活性炭VOC</w:t>
                  </w:r>
                  <w:r>
                    <w:rPr>
                      <w:rFonts w:hint="eastAsia"/>
                      <w:color w:val="auto"/>
                      <w:szCs w:val="21"/>
                      <w:lang w:val="en-US" w:eastAsia="zh-CN"/>
                    </w:rPr>
                    <w:t>s</w:t>
                  </w:r>
                  <w:r>
                    <w:rPr>
                      <w:rFonts w:hint="eastAsia"/>
                      <w:color w:val="auto"/>
                      <w:szCs w:val="21"/>
                    </w:rPr>
                    <w:t>处理工艺治理。采用活性</w:t>
                  </w:r>
                  <w:r>
                    <w:rPr>
                      <w:rFonts w:hint="eastAsia"/>
                      <w:color w:val="auto"/>
                      <w:szCs w:val="21"/>
                      <w:lang w:val="en-US" w:eastAsia="zh-CN"/>
                    </w:rPr>
                    <w:t>炭</w:t>
                  </w:r>
                  <w:r>
                    <w:rPr>
                      <w:rFonts w:hint="eastAsia"/>
                      <w:color w:val="auto"/>
                      <w:szCs w:val="21"/>
                    </w:rPr>
                    <w:t>吸附技术的，其中</w:t>
                  </w:r>
                  <w:r>
                    <w:rPr>
                      <w:rFonts w:hint="eastAsia"/>
                      <w:color w:val="auto"/>
                      <w:szCs w:val="21"/>
                      <w:lang w:val="en-US" w:eastAsia="zh-CN"/>
                    </w:rPr>
                    <w:t>颗粒碳</w:t>
                  </w:r>
                  <w:r>
                    <w:rPr>
                      <w:rFonts w:hint="eastAsia"/>
                      <w:color w:val="auto"/>
                      <w:szCs w:val="21"/>
                    </w:rPr>
                    <w:t>碘吸附值不低于800mg</w:t>
                  </w:r>
                  <w:r>
                    <w:rPr>
                      <w:rFonts w:hint="eastAsia"/>
                      <w:color w:val="auto"/>
                      <w:szCs w:val="21"/>
                      <w:lang w:val="en-US" w:eastAsia="zh-CN"/>
                    </w:rPr>
                    <w:t>/</w:t>
                  </w:r>
                  <w:r>
                    <w:rPr>
                      <w:rFonts w:hint="eastAsia"/>
                      <w:color w:val="auto"/>
                      <w:szCs w:val="21"/>
                    </w:rPr>
                    <w:t>g或</w:t>
                  </w:r>
                  <w:r>
                    <w:rPr>
                      <w:rFonts w:hint="eastAsia"/>
                      <w:color w:val="auto"/>
                      <w:szCs w:val="21"/>
                      <w:lang w:val="en-US" w:eastAsia="zh-CN"/>
                    </w:rPr>
                    <w:t>四氯化碳吸附</w:t>
                  </w:r>
                  <w:r>
                    <w:rPr>
                      <w:rFonts w:hint="eastAsia"/>
                      <w:color w:val="auto"/>
                      <w:szCs w:val="21"/>
                    </w:rPr>
                    <w:t>率不低于60%，</w:t>
                  </w:r>
                  <w:r>
                    <w:rPr>
                      <w:rFonts w:hint="eastAsia"/>
                      <w:color w:val="auto"/>
                      <w:szCs w:val="21"/>
                      <w:lang w:val="en-US" w:eastAsia="zh-CN"/>
                    </w:rPr>
                    <w:t>蜂窝</w:t>
                  </w:r>
                  <w:r>
                    <w:rPr>
                      <w:rFonts w:hint="eastAsia"/>
                      <w:color w:val="auto"/>
                      <w:szCs w:val="21"/>
                    </w:rPr>
                    <w:t>活性炭碘吸附值不低于600m</w:t>
                  </w:r>
                  <w:r>
                    <w:rPr>
                      <w:rFonts w:hint="eastAsia"/>
                      <w:color w:val="auto"/>
                      <w:szCs w:val="21"/>
                      <w:lang w:val="en-US" w:eastAsia="zh-CN"/>
                    </w:rPr>
                    <w:t>g/g</w:t>
                  </w:r>
                  <w:r>
                    <w:rPr>
                      <w:rFonts w:hint="eastAsia"/>
                      <w:color w:val="auto"/>
                      <w:szCs w:val="21"/>
                    </w:rPr>
                    <w:t>或</w:t>
                  </w:r>
                  <w:r>
                    <w:rPr>
                      <w:rFonts w:hint="eastAsia"/>
                      <w:color w:val="auto"/>
                      <w:szCs w:val="21"/>
                      <w:lang w:val="en-US" w:eastAsia="zh-CN"/>
                    </w:rPr>
                    <w:t>四氯化碳</w:t>
                  </w:r>
                  <w:r>
                    <w:rPr>
                      <w:rFonts w:hint="eastAsia"/>
                      <w:color w:val="auto"/>
                      <w:szCs w:val="21"/>
                    </w:rPr>
                    <w:t>吸附</w:t>
                  </w:r>
                  <w:r>
                    <w:rPr>
                      <w:rFonts w:hint="eastAsia"/>
                      <w:color w:val="auto"/>
                      <w:szCs w:val="21"/>
                      <w:lang w:val="en-US" w:eastAsia="zh-CN"/>
                    </w:rPr>
                    <w:t>率</w:t>
                  </w:r>
                  <w:r>
                    <w:rPr>
                      <w:rFonts w:hint="eastAsia"/>
                      <w:color w:val="auto"/>
                      <w:szCs w:val="21"/>
                    </w:rPr>
                    <w:t>不低于30%，按设计要求足量添加、定期更换，动态更新挥发性有机物治理设施</w:t>
                  </w:r>
                  <w:r>
                    <w:rPr>
                      <w:rFonts w:hint="eastAsia"/>
                      <w:color w:val="auto"/>
                      <w:szCs w:val="21"/>
                      <w:lang w:eastAsia="zh-CN"/>
                    </w:rPr>
                    <w:t>台账。</w:t>
                  </w:r>
                </w:p>
              </w:tc>
              <w:tc>
                <w:tcPr>
                  <w:tcW w:w="2202" w:type="dxa"/>
                  <w:shd w:val="clear" w:color="auto" w:fill="auto"/>
                  <w:noWrap w:val="0"/>
                  <w:vAlign w:val="center"/>
                </w:tcPr>
                <w:p w14:paraId="12A097BE">
                  <w:pPr>
                    <w:keepNext w:val="0"/>
                    <w:keepLines w:val="0"/>
                    <w:pageBreakBefore w:val="0"/>
                    <w:widowControl w:val="0"/>
                    <w:kinsoku/>
                    <w:wordWrap w:val="0"/>
                    <w:overflowPunct/>
                    <w:topLinePunct w:val="0"/>
                    <w:autoSpaceDE w:val="0"/>
                    <w:autoSpaceDN w:val="0"/>
                    <w:bidi w:val="0"/>
                    <w:adjustRightInd w:val="0"/>
                    <w:snapToGrid w:val="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环评要求：建设单位采用的</w:t>
                  </w:r>
                  <w:r>
                    <w:rPr>
                      <w:rFonts w:hint="eastAsia"/>
                      <w:color w:val="auto"/>
                      <w:szCs w:val="21"/>
                      <w:lang w:val="en-US" w:eastAsia="zh-CN"/>
                    </w:rPr>
                    <w:t>蜂窝</w:t>
                  </w:r>
                  <w:r>
                    <w:rPr>
                      <w:rFonts w:hint="eastAsia"/>
                      <w:color w:val="auto"/>
                      <w:szCs w:val="21"/>
                    </w:rPr>
                    <w:t>活性炭</w:t>
                  </w:r>
                  <w:r>
                    <w:rPr>
                      <w:rFonts w:hint="eastAsia"/>
                      <w:color w:val="auto"/>
                      <w:kern w:val="0"/>
                      <w:szCs w:val="21"/>
                      <w:lang w:val="en-US" w:eastAsia="zh-CN"/>
                    </w:rPr>
                    <w:t>碘吸附值不低于600mg/g，并按要求足量添加、定期更换，动态更新挥发性有机物治理设施台账。</w:t>
                  </w:r>
                </w:p>
              </w:tc>
              <w:tc>
                <w:tcPr>
                  <w:tcW w:w="433" w:type="dxa"/>
                  <w:shd w:val="clear" w:color="auto" w:fill="auto"/>
                  <w:noWrap w:val="0"/>
                  <w:vAlign w:val="center"/>
                </w:tcPr>
                <w:p w14:paraId="0CC8F0ED">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6470D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noWrap w:val="0"/>
                  <w:vAlign w:val="center"/>
                </w:tcPr>
                <w:p w14:paraId="136530A1">
                  <w:pPr>
                    <w:autoSpaceDE w:val="0"/>
                    <w:autoSpaceDN w:val="0"/>
                    <w:adjustRightInd w:val="0"/>
                    <w:snapToGrid w:val="0"/>
                    <w:jc w:val="center"/>
                    <w:rPr>
                      <w:rFonts w:hint="eastAsia" w:eastAsia="宋体"/>
                      <w:color w:val="auto"/>
                      <w:szCs w:val="21"/>
                      <w:lang w:eastAsia="zh-CN"/>
                    </w:rPr>
                  </w:pPr>
                  <w:r>
                    <w:rPr>
                      <w:rFonts w:hint="eastAsia"/>
                      <w:color w:val="auto"/>
                      <w:szCs w:val="21"/>
                    </w:rPr>
                    <w:t>西安市人民政府办公厅</w:t>
                  </w:r>
                  <w:r>
                    <w:rPr>
                      <w:rFonts w:hint="eastAsia"/>
                      <w:color w:val="auto"/>
                      <w:szCs w:val="21"/>
                      <w:lang w:eastAsia="zh-CN"/>
                    </w:rPr>
                    <w:t>《</w:t>
                  </w:r>
                  <w:r>
                    <w:rPr>
                      <w:rFonts w:hint="eastAsia"/>
                      <w:color w:val="auto"/>
                      <w:szCs w:val="21"/>
                    </w:rPr>
                    <w:t>关于印发推进实现“十四五”空气质量目标暨大气污染治理专项行动2025年工作方案的通知</w:t>
                  </w:r>
                  <w:r>
                    <w:rPr>
                      <w:rFonts w:hint="eastAsia"/>
                      <w:color w:val="auto"/>
                      <w:szCs w:val="21"/>
                      <w:lang w:eastAsia="zh-CN"/>
                    </w:rPr>
                    <w:t>》</w:t>
                  </w:r>
                  <w:r>
                    <w:rPr>
                      <w:rFonts w:hint="eastAsia"/>
                      <w:color w:val="auto"/>
                    </w:rPr>
                    <w:t>（市政办函</w:t>
                  </w:r>
                  <w:r>
                    <w:rPr>
                      <w:rFonts w:hint="eastAsia"/>
                      <w:color w:val="auto"/>
                      <w:szCs w:val="21"/>
                    </w:rPr>
                    <w:t>〔</w:t>
                  </w:r>
                  <w:r>
                    <w:rPr>
                      <w:rFonts w:hint="eastAsia"/>
                      <w:color w:val="auto"/>
                    </w:rPr>
                    <w:t>2025</w:t>
                  </w:r>
                  <w:r>
                    <w:rPr>
                      <w:rFonts w:hint="eastAsia"/>
                      <w:color w:val="auto"/>
                      <w:szCs w:val="21"/>
                    </w:rPr>
                    <w:t>〕</w:t>
                  </w:r>
                  <w:r>
                    <w:rPr>
                      <w:rFonts w:hint="eastAsia"/>
                      <w:color w:val="auto"/>
                    </w:rPr>
                    <w:t>12号）</w:t>
                  </w:r>
                </w:p>
              </w:tc>
              <w:tc>
                <w:tcPr>
                  <w:tcW w:w="3411" w:type="dxa"/>
                  <w:noWrap w:val="0"/>
                  <w:vAlign w:val="center"/>
                </w:tcPr>
                <w:p w14:paraId="2A1C1790">
                  <w:pPr>
                    <w:autoSpaceDE w:val="0"/>
                    <w:autoSpaceDN w:val="0"/>
                    <w:adjustRightInd w:val="0"/>
                    <w:snapToGrid w:val="0"/>
                    <w:ind w:firstLine="420" w:firstLineChars="200"/>
                    <w:rPr>
                      <w:rFonts w:hint="eastAsia"/>
                      <w:color w:val="auto"/>
                      <w:szCs w:val="21"/>
                    </w:rPr>
                  </w:pPr>
                  <w:r>
                    <w:rPr>
                      <w:rFonts w:hint="eastAsia"/>
                      <w:color w:val="auto"/>
                      <w:szCs w:val="21"/>
                    </w:rPr>
                    <w:t>强化源头管控。积极推行区域、规划环境影响评价，新建改建扩建化工、石化、建材、有色等项目的环境影响评价应满足区域和规划环评要求。</w:t>
                  </w:r>
                </w:p>
              </w:tc>
              <w:tc>
                <w:tcPr>
                  <w:tcW w:w="2202" w:type="dxa"/>
                  <w:noWrap w:val="0"/>
                  <w:vAlign w:val="center"/>
                </w:tcPr>
                <w:p w14:paraId="2966D6DD">
                  <w:pPr>
                    <w:autoSpaceDE w:val="0"/>
                    <w:autoSpaceDN w:val="0"/>
                    <w:adjustRightInd w:val="0"/>
                    <w:snapToGrid w:val="0"/>
                    <w:rPr>
                      <w:rFonts w:hint="eastAsia" w:eastAsia="宋体"/>
                      <w:color w:val="auto"/>
                      <w:szCs w:val="21"/>
                      <w:lang w:val="en-US" w:eastAsia="zh-CN"/>
                    </w:rPr>
                  </w:pPr>
                  <w:r>
                    <w:rPr>
                      <w:rFonts w:hint="eastAsia"/>
                      <w:color w:val="auto"/>
                      <w:szCs w:val="21"/>
                      <w:lang w:val="en-US" w:eastAsia="zh-CN"/>
                    </w:rPr>
                    <w:t>本项目为</w:t>
                  </w:r>
                  <w:r>
                    <w:rPr>
                      <w:rFonts w:hint="eastAsia"/>
                      <w:color w:val="auto"/>
                      <w:szCs w:val="21"/>
                      <w:lang w:eastAsia="zh-CN"/>
                    </w:rPr>
                    <w:t>塑料板、管、型材制造和泡沫塑料制造</w:t>
                  </w:r>
                  <w:r>
                    <w:rPr>
                      <w:rFonts w:hint="eastAsia"/>
                      <w:color w:val="auto"/>
                      <w:szCs w:val="21"/>
                      <w:lang w:val="en-US" w:eastAsia="zh-CN"/>
                    </w:rPr>
                    <w:t>业</w:t>
                  </w:r>
                  <w:r>
                    <w:rPr>
                      <w:rFonts w:hint="eastAsia"/>
                      <w:color w:val="auto"/>
                      <w:szCs w:val="21"/>
                      <w:lang w:eastAsia="zh-CN"/>
                    </w:rPr>
                    <w:t>，</w:t>
                  </w:r>
                  <w:r>
                    <w:rPr>
                      <w:rFonts w:hint="eastAsia"/>
                      <w:color w:val="auto"/>
                      <w:szCs w:val="21"/>
                      <w:lang w:val="en-US" w:eastAsia="zh-CN"/>
                    </w:rPr>
                    <w:t>不属于</w:t>
                  </w:r>
                  <w:r>
                    <w:rPr>
                      <w:rFonts w:hint="eastAsia"/>
                      <w:color w:val="auto"/>
                      <w:szCs w:val="21"/>
                    </w:rPr>
                    <w:t>新建改建扩建化工、石化、建材、有色等项目</w:t>
                  </w:r>
                  <w:r>
                    <w:rPr>
                      <w:rFonts w:hint="eastAsia"/>
                      <w:color w:val="auto"/>
                      <w:szCs w:val="21"/>
                      <w:lang w:eastAsia="zh-CN"/>
                    </w:rPr>
                    <w:t>。</w:t>
                  </w:r>
                </w:p>
              </w:tc>
              <w:tc>
                <w:tcPr>
                  <w:tcW w:w="433" w:type="dxa"/>
                  <w:noWrap w:val="0"/>
                  <w:vAlign w:val="center"/>
                </w:tcPr>
                <w:p w14:paraId="28D49A15">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14CAB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3D193410">
                  <w:pPr>
                    <w:autoSpaceDE w:val="0"/>
                    <w:autoSpaceDN w:val="0"/>
                    <w:adjustRightInd w:val="0"/>
                    <w:snapToGrid w:val="0"/>
                    <w:jc w:val="center"/>
                    <w:rPr>
                      <w:rFonts w:hint="eastAsia"/>
                      <w:color w:val="auto"/>
                      <w:szCs w:val="21"/>
                      <w:lang w:eastAsia="zh-CN"/>
                    </w:rPr>
                  </w:pPr>
                </w:p>
              </w:tc>
              <w:tc>
                <w:tcPr>
                  <w:tcW w:w="3411" w:type="dxa"/>
                  <w:shd w:val="clear" w:color="auto" w:fill="auto"/>
                  <w:noWrap w:val="0"/>
                  <w:vAlign w:val="center"/>
                </w:tcPr>
                <w:p w14:paraId="1C4368A4">
                  <w:pPr>
                    <w:autoSpaceDE w:val="0"/>
                    <w:autoSpaceDN w:val="0"/>
                    <w:adjustRightInd w:val="0"/>
                    <w:snapToGrid w:val="0"/>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严格控制生产和使用高VOCs含量的涂料、油墨、胶黏剂、清洗剂等建设项目。坚持应替尽替原则，在工业企业、汽修、市政工程等方面集中开展低挥发性原辅材料源头替代工作，强化源头治理，减少挥发性有机物排放。</w:t>
                  </w:r>
                </w:p>
              </w:tc>
              <w:tc>
                <w:tcPr>
                  <w:tcW w:w="2202" w:type="dxa"/>
                  <w:shd w:val="clear" w:color="auto" w:fill="auto"/>
                  <w:noWrap w:val="0"/>
                  <w:vAlign w:val="center"/>
                </w:tcPr>
                <w:p w14:paraId="19F36E14">
                  <w:pPr>
                    <w:autoSpaceDE w:val="0"/>
                    <w:autoSpaceDN w:val="0"/>
                    <w:adjustRightInd w:val="0"/>
                    <w:snapToGrid w:val="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项目不使用油墨、涂料、胶粘剂、清洗剂等原辅材料的使用，本项目所用液态物料均储存于密闭容器内，非取用状态时加盖、封口，保持密闭，不会挥发产生有机废气</w:t>
                  </w:r>
                  <w:r>
                    <w:rPr>
                      <w:rFonts w:hint="eastAsia" w:cs="Times New Roman"/>
                      <w:color w:val="auto"/>
                      <w:szCs w:val="21"/>
                      <w:lang w:val="en-US" w:eastAsia="zh-CN"/>
                    </w:rPr>
                    <w:t>。</w:t>
                  </w:r>
                </w:p>
              </w:tc>
              <w:tc>
                <w:tcPr>
                  <w:tcW w:w="433" w:type="dxa"/>
                  <w:noWrap w:val="0"/>
                  <w:vAlign w:val="center"/>
                </w:tcPr>
                <w:p w14:paraId="23F390B7">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169D6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noWrap w:val="0"/>
                  <w:vAlign w:val="center"/>
                </w:tcPr>
                <w:p w14:paraId="7F964483">
                  <w:pPr>
                    <w:autoSpaceDE w:val="0"/>
                    <w:autoSpaceDN w:val="0"/>
                    <w:adjustRightInd w:val="0"/>
                    <w:snapToGrid w:val="0"/>
                    <w:jc w:val="center"/>
                    <w:rPr>
                      <w:rFonts w:hint="eastAsia"/>
                      <w:color w:val="auto"/>
                      <w:kern w:val="2"/>
                      <w:sz w:val="21"/>
                      <w:szCs w:val="21"/>
                      <w:lang w:val="en-US" w:eastAsia="zh-CN" w:bidi="ar-SA"/>
                    </w:rPr>
                  </w:pPr>
                  <w:r>
                    <w:rPr>
                      <w:rFonts w:hint="eastAsia"/>
                      <w:color w:val="auto"/>
                      <w:szCs w:val="21"/>
                    </w:rPr>
                    <w:t>《陕西省大气污染防治条例》（20</w:t>
                  </w:r>
                  <w:r>
                    <w:rPr>
                      <w:rFonts w:hint="eastAsia"/>
                      <w:color w:val="auto"/>
                      <w:szCs w:val="21"/>
                      <w:lang w:val="en-US" w:eastAsia="zh-CN"/>
                    </w:rPr>
                    <w:t>23</w:t>
                  </w:r>
                  <w:r>
                    <w:rPr>
                      <w:rFonts w:hint="eastAsia"/>
                      <w:color w:val="auto"/>
                      <w:szCs w:val="21"/>
                    </w:rPr>
                    <w:t>修订）</w:t>
                  </w:r>
                </w:p>
              </w:tc>
              <w:tc>
                <w:tcPr>
                  <w:tcW w:w="3411" w:type="dxa"/>
                  <w:noWrap w:val="0"/>
                  <w:vAlign w:val="center"/>
                </w:tcPr>
                <w:p w14:paraId="13C42682">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Cs w:val="21"/>
                    </w:rPr>
                    <w:t>新建、扩建、改建的建设项目，应当依法进行环境影响评价。</w:t>
                  </w:r>
                </w:p>
              </w:tc>
              <w:tc>
                <w:tcPr>
                  <w:tcW w:w="2202" w:type="dxa"/>
                  <w:noWrap w:val="0"/>
                  <w:vAlign w:val="center"/>
                </w:tcPr>
                <w:p w14:paraId="040C7E0C">
                  <w:pPr>
                    <w:autoSpaceDE w:val="0"/>
                    <w:autoSpaceDN w:val="0"/>
                    <w:adjustRightInd w:val="0"/>
                    <w:snapToGrid w:val="0"/>
                    <w:rPr>
                      <w:rFonts w:hint="eastAsia" w:eastAsia="宋体"/>
                      <w:color w:val="auto"/>
                      <w:kern w:val="2"/>
                      <w:sz w:val="21"/>
                      <w:szCs w:val="21"/>
                      <w:lang w:val="en-US" w:eastAsia="zh-CN" w:bidi="ar-SA"/>
                    </w:rPr>
                  </w:pPr>
                  <w:r>
                    <w:rPr>
                      <w:rFonts w:hint="eastAsia"/>
                      <w:color w:val="auto"/>
                      <w:szCs w:val="21"/>
                    </w:rPr>
                    <w:t>本项目为</w:t>
                  </w:r>
                  <w:r>
                    <w:rPr>
                      <w:rFonts w:hint="eastAsia"/>
                      <w:color w:val="auto"/>
                      <w:szCs w:val="21"/>
                      <w:lang w:val="en-US" w:eastAsia="zh-CN"/>
                    </w:rPr>
                    <w:t>迁建</w:t>
                  </w:r>
                  <w:r>
                    <w:rPr>
                      <w:rFonts w:hint="eastAsia"/>
                      <w:color w:val="auto"/>
                      <w:szCs w:val="21"/>
                    </w:rPr>
                    <w:t>项目，环境影响评价工作正在进行</w:t>
                  </w:r>
                  <w:r>
                    <w:rPr>
                      <w:rFonts w:hint="eastAsia"/>
                      <w:color w:val="auto"/>
                      <w:szCs w:val="21"/>
                      <w:lang w:eastAsia="zh-CN"/>
                    </w:rPr>
                    <w:t>。</w:t>
                  </w:r>
                </w:p>
              </w:tc>
              <w:tc>
                <w:tcPr>
                  <w:tcW w:w="433" w:type="dxa"/>
                  <w:noWrap w:val="0"/>
                  <w:vAlign w:val="center"/>
                </w:tcPr>
                <w:p w14:paraId="60965E8A">
                  <w:pPr>
                    <w:autoSpaceDE w:val="0"/>
                    <w:autoSpaceDN w:val="0"/>
                    <w:adjustRightInd w:val="0"/>
                    <w:snapToGrid w:val="0"/>
                    <w:jc w:val="center"/>
                    <w:rPr>
                      <w:rFonts w:hint="eastAsia"/>
                      <w:color w:val="auto"/>
                      <w:szCs w:val="21"/>
                    </w:rPr>
                  </w:pPr>
                  <w:r>
                    <w:rPr>
                      <w:rFonts w:hint="eastAsia"/>
                      <w:color w:val="auto"/>
                      <w:szCs w:val="21"/>
                    </w:rPr>
                    <w:t>符合</w:t>
                  </w:r>
                </w:p>
              </w:tc>
            </w:tr>
            <w:tr w14:paraId="224DD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5C64D257">
                  <w:pPr>
                    <w:autoSpaceDE w:val="0"/>
                    <w:autoSpaceDN w:val="0"/>
                    <w:adjustRightInd w:val="0"/>
                    <w:snapToGrid w:val="0"/>
                    <w:jc w:val="center"/>
                    <w:rPr>
                      <w:rFonts w:hint="eastAsia"/>
                      <w:color w:val="auto"/>
                      <w:szCs w:val="21"/>
                    </w:rPr>
                  </w:pPr>
                </w:p>
              </w:tc>
              <w:tc>
                <w:tcPr>
                  <w:tcW w:w="3411" w:type="dxa"/>
                  <w:noWrap w:val="0"/>
                  <w:vAlign w:val="center"/>
                </w:tcPr>
                <w:p w14:paraId="53C70095">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Cs w:val="21"/>
                    </w:rPr>
                    <w:t>向大气排放工业废气、含有毒有害物质的大气污染物的企业事业单位，集中供热设施的运营单位，以及其他按照规定应当取得排污许可证方可排放大气污染物的企业事业单位，应当依法向县级以上生态环境行政主管部门申请排污许可证。</w:t>
                  </w:r>
                </w:p>
              </w:tc>
              <w:tc>
                <w:tcPr>
                  <w:tcW w:w="2202" w:type="dxa"/>
                  <w:noWrap w:val="0"/>
                  <w:vAlign w:val="center"/>
                </w:tcPr>
                <w:p w14:paraId="1A6FAE61">
                  <w:pPr>
                    <w:autoSpaceDE w:val="0"/>
                    <w:autoSpaceDN w:val="0"/>
                    <w:adjustRightInd w:val="0"/>
                    <w:snapToGrid w:val="0"/>
                    <w:rPr>
                      <w:rFonts w:hint="eastAsia" w:eastAsia="宋体"/>
                      <w:color w:val="auto"/>
                      <w:kern w:val="2"/>
                      <w:sz w:val="21"/>
                      <w:szCs w:val="21"/>
                      <w:lang w:val="en-US" w:eastAsia="zh-CN" w:bidi="ar-SA"/>
                    </w:rPr>
                  </w:pPr>
                  <w:r>
                    <w:rPr>
                      <w:rFonts w:hint="eastAsia"/>
                      <w:color w:val="auto"/>
                      <w:szCs w:val="21"/>
                    </w:rPr>
                    <w:t>项目建成后依法进行排污许可手续申请，并按申请许可的污染物排放类别进行排放</w:t>
                  </w:r>
                  <w:r>
                    <w:rPr>
                      <w:rFonts w:hint="eastAsia"/>
                      <w:color w:val="auto"/>
                      <w:szCs w:val="21"/>
                      <w:lang w:eastAsia="zh-CN"/>
                    </w:rPr>
                    <w:t>。</w:t>
                  </w:r>
                </w:p>
              </w:tc>
              <w:tc>
                <w:tcPr>
                  <w:tcW w:w="433" w:type="dxa"/>
                  <w:noWrap w:val="0"/>
                  <w:vAlign w:val="center"/>
                </w:tcPr>
                <w:p w14:paraId="1EE0B674">
                  <w:pPr>
                    <w:autoSpaceDE w:val="0"/>
                    <w:autoSpaceDN w:val="0"/>
                    <w:adjustRightInd w:val="0"/>
                    <w:snapToGrid w:val="0"/>
                    <w:jc w:val="center"/>
                    <w:rPr>
                      <w:rFonts w:hint="eastAsia"/>
                      <w:color w:val="auto"/>
                      <w:szCs w:val="21"/>
                    </w:rPr>
                  </w:pPr>
                  <w:r>
                    <w:rPr>
                      <w:rFonts w:hint="eastAsia"/>
                      <w:color w:val="auto"/>
                      <w:szCs w:val="21"/>
                    </w:rPr>
                    <w:t>符合</w:t>
                  </w:r>
                </w:p>
              </w:tc>
            </w:tr>
            <w:tr w14:paraId="71772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noWrap w:val="0"/>
                  <w:vAlign w:val="center"/>
                </w:tcPr>
                <w:p w14:paraId="1AD5562B">
                  <w:pPr>
                    <w:autoSpaceDE w:val="0"/>
                    <w:autoSpaceDN w:val="0"/>
                    <w:adjustRightInd w:val="0"/>
                    <w:snapToGrid w:val="0"/>
                    <w:jc w:val="center"/>
                    <w:rPr>
                      <w:rFonts w:hint="eastAsia"/>
                      <w:color w:val="auto"/>
                      <w:szCs w:val="21"/>
                    </w:rPr>
                  </w:pPr>
                  <w:r>
                    <w:rPr>
                      <w:rFonts w:hint="eastAsia"/>
                      <w:color w:val="auto"/>
                      <w:szCs w:val="21"/>
                    </w:rPr>
                    <w:t>《陕西省大气污染治理专项行动方案（2023-2027年）》（陕发〔2023〕4号）</w:t>
                  </w:r>
                </w:p>
              </w:tc>
              <w:tc>
                <w:tcPr>
                  <w:tcW w:w="3411" w:type="dxa"/>
                  <w:noWrap w:val="0"/>
                  <w:vAlign w:val="center"/>
                </w:tcPr>
                <w:p w14:paraId="3887986F">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Cs w:val="21"/>
                      <w:lang w:val="en-US" w:eastAsia="zh-CN"/>
                    </w:rPr>
                    <w:t>3.</w:t>
                  </w:r>
                  <w:r>
                    <w:rPr>
                      <w:rFonts w:hint="eastAsia"/>
                      <w:color w:val="auto"/>
                      <w:szCs w:val="21"/>
                    </w:rPr>
                    <w:t>产业发展结构调整。关中地区严禁新增钢铁、焦化、水泥熟料、平板玻璃、电解铝、氧化铝、煤化工产能，合理控制煤制油气产能规模，严控新增炼油产能。</w:t>
                  </w:r>
                </w:p>
              </w:tc>
              <w:tc>
                <w:tcPr>
                  <w:tcW w:w="2202" w:type="dxa"/>
                  <w:noWrap w:val="0"/>
                  <w:vAlign w:val="center"/>
                </w:tcPr>
                <w:p w14:paraId="2DF7A344">
                  <w:pPr>
                    <w:autoSpaceDE w:val="0"/>
                    <w:autoSpaceDN w:val="0"/>
                    <w:adjustRightInd w:val="0"/>
                    <w:snapToGrid w:val="0"/>
                    <w:rPr>
                      <w:rFonts w:hint="eastAsia" w:eastAsia="宋体"/>
                      <w:color w:val="auto"/>
                      <w:szCs w:val="21"/>
                      <w:lang w:val="en-US" w:eastAsia="zh-CN"/>
                    </w:rPr>
                  </w:pPr>
                  <w:r>
                    <w:rPr>
                      <w:rFonts w:hint="eastAsia"/>
                      <w:color w:val="auto"/>
                      <w:szCs w:val="21"/>
                      <w:lang w:val="en-US" w:eastAsia="zh-CN"/>
                    </w:rPr>
                    <w:t>本项目属于</w:t>
                  </w:r>
                  <w:r>
                    <w:rPr>
                      <w:rFonts w:hint="eastAsia"/>
                      <w:color w:val="auto"/>
                      <w:szCs w:val="21"/>
                      <w:lang w:eastAsia="zh-CN"/>
                    </w:rPr>
                    <w:t>塑料板、管、型材制造和泡沫塑料制造</w:t>
                  </w:r>
                  <w:r>
                    <w:rPr>
                      <w:rFonts w:hint="eastAsia"/>
                      <w:color w:val="auto"/>
                      <w:szCs w:val="21"/>
                      <w:lang w:val="en-US" w:eastAsia="zh-CN"/>
                    </w:rPr>
                    <w:t>业，</w:t>
                  </w:r>
                  <w:r>
                    <w:rPr>
                      <w:rFonts w:hint="eastAsia"/>
                      <w:color w:val="auto"/>
                      <w:szCs w:val="21"/>
                    </w:rPr>
                    <w:t>不属于上述严禁新增产业范围</w:t>
                  </w:r>
                  <w:r>
                    <w:rPr>
                      <w:rFonts w:hint="eastAsia"/>
                      <w:color w:val="auto"/>
                      <w:szCs w:val="21"/>
                      <w:lang w:eastAsia="zh-CN"/>
                    </w:rPr>
                    <w:t>。</w:t>
                  </w:r>
                </w:p>
              </w:tc>
              <w:tc>
                <w:tcPr>
                  <w:tcW w:w="433" w:type="dxa"/>
                  <w:noWrap w:val="0"/>
                  <w:vAlign w:val="center"/>
                </w:tcPr>
                <w:p w14:paraId="260F64CA">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0A145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3A42BFAD">
                  <w:pPr>
                    <w:autoSpaceDE w:val="0"/>
                    <w:autoSpaceDN w:val="0"/>
                    <w:adjustRightInd w:val="0"/>
                    <w:snapToGrid w:val="0"/>
                    <w:jc w:val="center"/>
                    <w:rPr>
                      <w:rFonts w:hint="eastAsia"/>
                      <w:color w:val="auto"/>
                      <w:szCs w:val="21"/>
                    </w:rPr>
                  </w:pPr>
                </w:p>
              </w:tc>
              <w:tc>
                <w:tcPr>
                  <w:tcW w:w="3411" w:type="dxa"/>
                  <w:noWrap w:val="0"/>
                  <w:vAlign w:val="center"/>
                </w:tcPr>
                <w:p w14:paraId="1D620D64">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Cs w:val="21"/>
                    </w:rPr>
                    <w:t>关中地区市辖区及开发区范围内新、改、扩建涉气重点行业企业应达到环保绩效A级、绩效引领性水平，西安市、咸阳市、渭南市的其他区域应达到环保绩效B级及以上水平。</w:t>
                  </w:r>
                </w:p>
              </w:tc>
              <w:tc>
                <w:tcPr>
                  <w:tcW w:w="2202" w:type="dxa"/>
                  <w:noWrap w:val="0"/>
                  <w:vAlign w:val="center"/>
                </w:tcPr>
                <w:p w14:paraId="7FA95F70">
                  <w:pPr>
                    <w:autoSpaceDE w:val="0"/>
                    <w:autoSpaceDN w:val="0"/>
                    <w:adjustRightInd w:val="0"/>
                    <w:snapToGrid w:val="0"/>
                    <w:rPr>
                      <w:rFonts w:hint="eastAsia" w:eastAsia="宋体"/>
                      <w:color w:val="auto"/>
                      <w:szCs w:val="21"/>
                      <w:lang w:eastAsia="zh-CN"/>
                    </w:rPr>
                  </w:pPr>
                  <w:r>
                    <w:rPr>
                      <w:rFonts w:hint="eastAsia"/>
                      <w:color w:val="auto"/>
                      <w:szCs w:val="21"/>
                    </w:rPr>
                    <w:t>对照《重污染天气重点行业应急减排措施制定技术指南》，本项目不属于重点行业</w:t>
                  </w:r>
                  <w:r>
                    <w:rPr>
                      <w:rFonts w:hint="eastAsia"/>
                      <w:color w:val="auto"/>
                      <w:szCs w:val="21"/>
                      <w:lang w:eastAsia="zh-CN"/>
                    </w:rPr>
                    <w:t>。</w:t>
                  </w:r>
                </w:p>
              </w:tc>
              <w:tc>
                <w:tcPr>
                  <w:tcW w:w="433" w:type="dxa"/>
                  <w:noWrap w:val="0"/>
                  <w:vAlign w:val="center"/>
                </w:tcPr>
                <w:p w14:paraId="1E849AC4">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6E6BC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70A66060">
                  <w:pPr>
                    <w:autoSpaceDE w:val="0"/>
                    <w:autoSpaceDN w:val="0"/>
                    <w:adjustRightInd w:val="0"/>
                    <w:snapToGrid w:val="0"/>
                    <w:jc w:val="center"/>
                    <w:rPr>
                      <w:rFonts w:hint="eastAsia"/>
                      <w:color w:val="auto"/>
                      <w:szCs w:val="21"/>
                    </w:rPr>
                  </w:pPr>
                </w:p>
              </w:tc>
              <w:tc>
                <w:tcPr>
                  <w:tcW w:w="3411" w:type="dxa"/>
                  <w:noWrap w:val="0"/>
                  <w:vAlign w:val="center"/>
                </w:tcPr>
                <w:p w14:paraId="7EFC8348">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Cs w:val="21"/>
                    </w:rPr>
                    <w:t>新建挥发性有机物治理设施不再采用单一低温等离子、光氧化、光催化等治理技术，非水溶性挥发性有机物废气不再采用单一喷淋吸收方式处理。</w:t>
                  </w:r>
                </w:p>
              </w:tc>
              <w:tc>
                <w:tcPr>
                  <w:tcW w:w="2202" w:type="dxa"/>
                  <w:noWrap w:val="0"/>
                  <w:vAlign w:val="center"/>
                </w:tcPr>
                <w:p w14:paraId="335F2E41">
                  <w:pPr>
                    <w:autoSpaceDE w:val="0"/>
                    <w:autoSpaceDN w:val="0"/>
                    <w:adjustRightInd w:val="0"/>
                    <w:snapToGrid w:val="0"/>
                    <w:rPr>
                      <w:rFonts w:hint="eastAsia" w:eastAsia="宋体"/>
                      <w:color w:val="auto"/>
                      <w:szCs w:val="21"/>
                      <w:lang w:val="en-US" w:eastAsia="zh-CN"/>
                    </w:rPr>
                  </w:pPr>
                  <w:r>
                    <w:rPr>
                      <w:rFonts w:hint="eastAsia"/>
                      <w:color w:val="auto"/>
                      <w:szCs w:val="21"/>
                      <w:lang w:val="en-US" w:eastAsia="zh-CN"/>
                    </w:rPr>
                    <w:t>项目运行过程中产生的有机废气（挤出和发泡废气）</w:t>
                  </w:r>
                  <w:r>
                    <w:rPr>
                      <w:rFonts w:hint="eastAsia"/>
                      <w:color w:val="auto"/>
                      <w:szCs w:val="21"/>
                    </w:rPr>
                    <w:t>采用“集气罩</w:t>
                  </w:r>
                  <w:r>
                    <w:rPr>
                      <w:rFonts w:hint="eastAsia"/>
                      <w:bCs/>
                      <w:color w:val="auto"/>
                      <w:szCs w:val="21"/>
                    </w:rPr>
                    <w:t>+软帘</w:t>
                  </w:r>
                  <w:r>
                    <w:rPr>
                      <w:rFonts w:hint="eastAsia"/>
                      <w:color w:val="auto"/>
                      <w:szCs w:val="21"/>
                    </w:rPr>
                    <w:t>+</w:t>
                  </w:r>
                  <w:r>
                    <w:rPr>
                      <w:rFonts w:hint="eastAsia"/>
                      <w:color w:val="auto"/>
                      <w:szCs w:val="21"/>
                      <w:lang w:val="en-US" w:eastAsia="zh-CN"/>
                    </w:rPr>
                    <w:t>二级活性炭</w:t>
                  </w:r>
                  <w:r>
                    <w:rPr>
                      <w:rFonts w:hint="eastAsia"/>
                      <w:color w:val="auto"/>
                      <w:szCs w:val="21"/>
                    </w:rPr>
                    <w:t>吸附+15m排气筒</w:t>
                  </w:r>
                  <w:r>
                    <w:rPr>
                      <w:rFonts w:hint="eastAsia"/>
                      <w:color w:val="auto"/>
                      <w:szCs w:val="21"/>
                      <w:lang w:eastAsia="zh-CN"/>
                    </w:rPr>
                    <w:t>（</w:t>
                  </w:r>
                  <w:r>
                    <w:rPr>
                      <w:rFonts w:hint="eastAsia"/>
                      <w:color w:val="auto"/>
                      <w:szCs w:val="21"/>
                      <w:lang w:val="en-US" w:eastAsia="zh-CN"/>
                    </w:rPr>
                    <w:t>DA001、DA002</w:t>
                  </w:r>
                  <w:r>
                    <w:rPr>
                      <w:rFonts w:hint="eastAsia"/>
                      <w:color w:val="auto"/>
                      <w:szCs w:val="21"/>
                      <w:lang w:eastAsia="zh-CN"/>
                    </w:rPr>
                    <w:t>）</w:t>
                  </w:r>
                  <w:r>
                    <w:rPr>
                      <w:rFonts w:hint="eastAsia"/>
                      <w:color w:val="auto"/>
                      <w:szCs w:val="21"/>
                    </w:rPr>
                    <w:t>”处理达标排放</w:t>
                  </w:r>
                  <w:r>
                    <w:rPr>
                      <w:rFonts w:hint="eastAsia"/>
                      <w:color w:val="auto"/>
                      <w:szCs w:val="21"/>
                      <w:lang w:eastAsia="zh-CN"/>
                    </w:rPr>
                    <w:t>。</w:t>
                  </w:r>
                </w:p>
              </w:tc>
              <w:tc>
                <w:tcPr>
                  <w:tcW w:w="433" w:type="dxa"/>
                  <w:noWrap w:val="0"/>
                  <w:vAlign w:val="center"/>
                </w:tcPr>
                <w:p w14:paraId="28E992F2">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7762B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noWrap w:val="0"/>
                  <w:vAlign w:val="center"/>
                </w:tcPr>
                <w:p w14:paraId="7B1CE6C6">
                  <w:pPr>
                    <w:autoSpaceDE w:val="0"/>
                    <w:autoSpaceDN w:val="0"/>
                    <w:adjustRightInd w:val="0"/>
                    <w:snapToGrid w:val="0"/>
                    <w:jc w:val="center"/>
                    <w:rPr>
                      <w:rFonts w:hint="eastAsia"/>
                      <w:color w:val="auto"/>
                      <w:kern w:val="2"/>
                      <w:sz w:val="21"/>
                      <w:szCs w:val="21"/>
                      <w:lang w:val="en-US" w:eastAsia="zh-CN" w:bidi="ar-SA"/>
                    </w:rPr>
                  </w:pPr>
                  <w:r>
                    <w:rPr>
                      <w:rFonts w:hint="eastAsia"/>
                      <w:color w:val="auto"/>
                      <w:szCs w:val="21"/>
                    </w:rPr>
                    <w:t>《西安市大气污染治理专项行动方案（2023-2027年）》</w:t>
                  </w:r>
                </w:p>
              </w:tc>
              <w:tc>
                <w:tcPr>
                  <w:tcW w:w="3411" w:type="dxa"/>
                  <w:noWrap w:val="0"/>
                  <w:vAlign w:val="center"/>
                </w:tcPr>
                <w:p w14:paraId="76A22B40">
                  <w:pPr>
                    <w:autoSpaceDE w:val="0"/>
                    <w:autoSpaceDN w:val="0"/>
                    <w:adjustRightInd w:val="0"/>
                    <w:snapToGrid w:val="0"/>
                    <w:ind w:firstLine="420" w:firstLineChars="200"/>
                    <w:rPr>
                      <w:rFonts w:hint="eastAsia"/>
                      <w:color w:val="auto"/>
                      <w:szCs w:val="21"/>
                    </w:rPr>
                  </w:pPr>
                  <w:r>
                    <w:rPr>
                      <w:rFonts w:hint="eastAsia"/>
                      <w:color w:val="auto"/>
                      <w:szCs w:val="21"/>
                    </w:rPr>
                    <w:t>3．产业发展结构调整。</w:t>
                  </w:r>
                </w:p>
                <w:p w14:paraId="71CCBC40">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Cs w:val="21"/>
                    </w:rPr>
                    <w:t>严格落实国家和我省产业规划、产业政策、</w:t>
                  </w:r>
                  <w:r>
                    <w:rPr>
                      <w:rFonts w:hint="eastAsia"/>
                      <w:color w:val="auto"/>
                      <w:szCs w:val="21"/>
                      <w:lang w:eastAsia="zh-CN"/>
                    </w:rPr>
                    <w:t>“</w:t>
                  </w:r>
                  <w:r>
                    <w:rPr>
                      <w:rFonts w:hint="eastAsia"/>
                      <w:color w:val="auto"/>
                      <w:szCs w:val="21"/>
                    </w:rPr>
                    <w:t>三线一单</w:t>
                  </w:r>
                  <w:r>
                    <w:rPr>
                      <w:rFonts w:hint="eastAsia"/>
                      <w:color w:val="auto"/>
                      <w:szCs w:val="21"/>
                      <w:lang w:eastAsia="zh-CN"/>
                    </w:rPr>
                    <w:t>”</w:t>
                  </w:r>
                  <w:r>
                    <w:rPr>
                      <w:rFonts w:hint="eastAsia"/>
                      <w:color w:val="auto"/>
                      <w:szCs w:val="21"/>
                    </w:rPr>
                    <w:t>、规划环评等要求，深入开展我市区域空间生态环境评价工作，积极推行区域、规划</w:t>
                  </w:r>
                  <w:r>
                    <w:rPr>
                      <w:rFonts w:hint="eastAsia"/>
                      <w:color w:val="auto"/>
                      <w:szCs w:val="21"/>
                      <w:lang w:val="en-US" w:eastAsia="zh-CN"/>
                    </w:rPr>
                    <w:t>环境</w:t>
                  </w:r>
                  <w:r>
                    <w:rPr>
                      <w:rFonts w:hint="eastAsia"/>
                      <w:color w:val="auto"/>
                      <w:szCs w:val="21"/>
                    </w:rPr>
                    <w:t>影响评价，新改扩建化工、石化、建材、有色等项目的环境影响评价应满足区域和规划环评要求。</w:t>
                  </w:r>
                </w:p>
              </w:tc>
              <w:tc>
                <w:tcPr>
                  <w:tcW w:w="2202" w:type="dxa"/>
                  <w:noWrap w:val="0"/>
                  <w:vAlign w:val="center"/>
                </w:tcPr>
                <w:p w14:paraId="0D8F6E4A">
                  <w:pPr>
                    <w:autoSpaceDE w:val="0"/>
                    <w:autoSpaceDN w:val="0"/>
                    <w:adjustRightInd w:val="0"/>
                    <w:snapToGrid w:val="0"/>
                    <w:rPr>
                      <w:rFonts w:hint="eastAsia" w:eastAsia="宋体"/>
                      <w:color w:val="auto"/>
                      <w:szCs w:val="21"/>
                      <w:lang w:val="en-US" w:eastAsia="zh-CN"/>
                    </w:rPr>
                  </w:pPr>
                  <w:r>
                    <w:rPr>
                      <w:rFonts w:hint="eastAsia"/>
                      <w:color w:val="auto"/>
                      <w:szCs w:val="21"/>
                    </w:rPr>
                    <w:t>本项目符合国家</w:t>
                  </w:r>
                  <w:r>
                    <w:rPr>
                      <w:rFonts w:hint="eastAsia"/>
                      <w:color w:val="auto"/>
                      <w:szCs w:val="21"/>
                      <w:lang w:val="en-US" w:eastAsia="zh-CN"/>
                    </w:rPr>
                    <w:t>、</w:t>
                  </w:r>
                  <w:r>
                    <w:rPr>
                      <w:rFonts w:hint="eastAsia"/>
                      <w:color w:val="auto"/>
                      <w:szCs w:val="21"/>
                    </w:rPr>
                    <w:t>省</w:t>
                  </w:r>
                  <w:r>
                    <w:rPr>
                      <w:rFonts w:hint="eastAsia"/>
                      <w:color w:val="auto"/>
                      <w:szCs w:val="21"/>
                      <w:lang w:val="en-US" w:eastAsia="zh-CN"/>
                    </w:rPr>
                    <w:t>市</w:t>
                  </w:r>
                  <w:r>
                    <w:rPr>
                      <w:rFonts w:hint="eastAsia"/>
                      <w:color w:val="auto"/>
                      <w:szCs w:val="21"/>
                    </w:rPr>
                    <w:t>产业规划、产业政策、</w:t>
                  </w:r>
                  <w:r>
                    <w:rPr>
                      <w:rFonts w:hint="eastAsia"/>
                      <w:color w:val="auto"/>
                      <w:szCs w:val="21"/>
                      <w:lang w:eastAsia="zh-CN"/>
                    </w:rPr>
                    <w:t>“</w:t>
                  </w:r>
                  <w:r>
                    <w:rPr>
                      <w:rFonts w:hint="eastAsia"/>
                      <w:color w:val="auto"/>
                      <w:szCs w:val="21"/>
                    </w:rPr>
                    <w:t>三线一单</w:t>
                  </w:r>
                  <w:r>
                    <w:rPr>
                      <w:rFonts w:hint="eastAsia"/>
                      <w:color w:val="auto"/>
                      <w:szCs w:val="21"/>
                      <w:lang w:eastAsia="zh-CN"/>
                    </w:rPr>
                    <w:t>”</w:t>
                  </w:r>
                  <w:r>
                    <w:rPr>
                      <w:rFonts w:hint="eastAsia"/>
                      <w:color w:val="auto"/>
                      <w:szCs w:val="21"/>
                    </w:rPr>
                    <w:t>等相关要求</w:t>
                  </w:r>
                  <w:r>
                    <w:rPr>
                      <w:rFonts w:hint="eastAsia"/>
                      <w:color w:val="auto"/>
                      <w:szCs w:val="21"/>
                      <w:lang w:eastAsia="zh-CN"/>
                    </w:rPr>
                    <w:t>；</w:t>
                  </w:r>
                  <w:r>
                    <w:rPr>
                      <w:rFonts w:hint="eastAsia"/>
                      <w:color w:val="auto"/>
                      <w:szCs w:val="21"/>
                      <w:lang w:val="en-US" w:eastAsia="zh-CN"/>
                    </w:rPr>
                    <w:t>不属于</w:t>
                  </w:r>
                  <w:r>
                    <w:rPr>
                      <w:rFonts w:hint="eastAsia"/>
                      <w:color w:val="auto"/>
                      <w:szCs w:val="21"/>
                    </w:rPr>
                    <w:t>新改扩建化工、石化、建材、有色等项目</w:t>
                  </w:r>
                  <w:r>
                    <w:rPr>
                      <w:rFonts w:hint="eastAsia"/>
                      <w:color w:val="auto"/>
                      <w:szCs w:val="21"/>
                      <w:lang w:eastAsia="zh-CN"/>
                    </w:rPr>
                    <w:t>。</w:t>
                  </w:r>
                </w:p>
              </w:tc>
              <w:tc>
                <w:tcPr>
                  <w:tcW w:w="433" w:type="dxa"/>
                  <w:noWrap w:val="0"/>
                  <w:vAlign w:val="center"/>
                </w:tcPr>
                <w:p w14:paraId="2FBE0A4C">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0D38C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3173D672">
                  <w:pPr>
                    <w:autoSpaceDE w:val="0"/>
                    <w:autoSpaceDN w:val="0"/>
                    <w:adjustRightInd w:val="0"/>
                    <w:snapToGrid w:val="0"/>
                    <w:jc w:val="center"/>
                    <w:rPr>
                      <w:rFonts w:hint="eastAsia"/>
                      <w:color w:val="auto"/>
                      <w:szCs w:val="21"/>
                    </w:rPr>
                  </w:pPr>
                </w:p>
              </w:tc>
              <w:tc>
                <w:tcPr>
                  <w:tcW w:w="3411" w:type="dxa"/>
                  <w:noWrap w:val="0"/>
                  <w:vAlign w:val="center"/>
                </w:tcPr>
                <w:p w14:paraId="3239F387">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强化涉活性炭VOCs处理工艺治理。深入开展简易低效挥发性有机物治理设施清理整治，组织开展涉活性炭挥发性有机物处理工艺专项整治行动，推广先进VOCs治理工艺，全面提升VOCs治理水平。</w:t>
                  </w:r>
                </w:p>
              </w:tc>
              <w:tc>
                <w:tcPr>
                  <w:tcW w:w="2202" w:type="dxa"/>
                  <w:noWrap w:val="0"/>
                  <w:vAlign w:val="center"/>
                </w:tcPr>
                <w:p w14:paraId="0F9AC1FA">
                  <w:pPr>
                    <w:autoSpaceDE w:val="0"/>
                    <w:autoSpaceDN w:val="0"/>
                    <w:adjustRightInd w:val="0"/>
                    <w:snapToGrid w:val="0"/>
                    <w:rPr>
                      <w:rFonts w:hint="eastAsia" w:eastAsia="宋体"/>
                      <w:color w:val="auto"/>
                      <w:szCs w:val="21"/>
                      <w:lang w:val="en-US" w:eastAsia="zh-CN"/>
                    </w:rPr>
                  </w:pPr>
                  <w:r>
                    <w:rPr>
                      <w:rFonts w:hint="eastAsia"/>
                      <w:color w:val="auto"/>
                      <w:szCs w:val="21"/>
                      <w:lang w:val="en-US" w:eastAsia="zh-CN"/>
                    </w:rPr>
                    <w:t>项目运行过程中产生的有机废气（挤出和发泡废气）</w:t>
                  </w:r>
                  <w:r>
                    <w:rPr>
                      <w:rFonts w:hint="eastAsia"/>
                      <w:color w:val="auto"/>
                      <w:szCs w:val="21"/>
                    </w:rPr>
                    <w:t>采用“集气罩</w:t>
                  </w:r>
                  <w:r>
                    <w:rPr>
                      <w:rFonts w:hint="eastAsia"/>
                      <w:bCs/>
                      <w:color w:val="auto"/>
                      <w:szCs w:val="21"/>
                    </w:rPr>
                    <w:t>+软帘</w:t>
                  </w:r>
                  <w:r>
                    <w:rPr>
                      <w:rFonts w:hint="eastAsia"/>
                      <w:color w:val="auto"/>
                      <w:szCs w:val="21"/>
                    </w:rPr>
                    <w:t>+</w:t>
                  </w:r>
                  <w:r>
                    <w:rPr>
                      <w:rFonts w:hint="eastAsia"/>
                      <w:color w:val="auto"/>
                      <w:szCs w:val="21"/>
                      <w:lang w:val="en-US" w:eastAsia="zh-CN"/>
                    </w:rPr>
                    <w:t>二级活性炭</w:t>
                  </w:r>
                  <w:r>
                    <w:rPr>
                      <w:rFonts w:hint="eastAsia"/>
                      <w:color w:val="auto"/>
                      <w:szCs w:val="21"/>
                    </w:rPr>
                    <w:t>吸附+15m排气筒</w:t>
                  </w:r>
                  <w:r>
                    <w:rPr>
                      <w:rFonts w:hint="eastAsia"/>
                      <w:color w:val="auto"/>
                      <w:szCs w:val="21"/>
                      <w:lang w:eastAsia="zh-CN"/>
                    </w:rPr>
                    <w:t>（</w:t>
                  </w:r>
                  <w:r>
                    <w:rPr>
                      <w:rFonts w:hint="eastAsia"/>
                      <w:color w:val="auto"/>
                      <w:szCs w:val="21"/>
                      <w:lang w:val="en-US" w:eastAsia="zh-CN"/>
                    </w:rPr>
                    <w:t>DA001、DA002</w:t>
                  </w:r>
                  <w:r>
                    <w:rPr>
                      <w:rFonts w:hint="eastAsia"/>
                      <w:color w:val="auto"/>
                      <w:szCs w:val="21"/>
                      <w:lang w:eastAsia="zh-CN"/>
                    </w:rPr>
                    <w:t>）</w:t>
                  </w:r>
                  <w:r>
                    <w:rPr>
                      <w:rFonts w:hint="eastAsia"/>
                      <w:color w:val="auto"/>
                      <w:szCs w:val="21"/>
                    </w:rPr>
                    <w:t>”处理达标排放</w:t>
                  </w:r>
                  <w:r>
                    <w:rPr>
                      <w:rFonts w:hint="eastAsia"/>
                      <w:color w:val="auto"/>
                      <w:szCs w:val="21"/>
                      <w:lang w:eastAsia="zh-CN"/>
                    </w:rPr>
                    <w:t>。</w:t>
                  </w:r>
                </w:p>
              </w:tc>
              <w:tc>
                <w:tcPr>
                  <w:tcW w:w="433" w:type="dxa"/>
                  <w:noWrap w:val="0"/>
                  <w:vAlign w:val="center"/>
                </w:tcPr>
                <w:p w14:paraId="1686ADD8">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3C155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shd w:val="clear" w:color="auto" w:fill="auto"/>
                  <w:noWrap w:val="0"/>
                  <w:vAlign w:val="center"/>
                </w:tcPr>
                <w:p w14:paraId="37FB8103">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关于印发</w:t>
                  </w:r>
                  <w:r>
                    <w:rPr>
                      <w:rFonts w:hint="default" w:ascii="Times New Roman" w:hAnsi="Times New Roman"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西咸新区</w:t>
                  </w:r>
                  <w:r>
                    <w:rPr>
                      <w:rFonts w:hint="default" w:ascii="Times New Roman" w:hAnsi="Times New Roman" w:eastAsia="宋体" w:cs="Times New Roman"/>
                      <w:color w:val="auto"/>
                      <w:kern w:val="2"/>
                      <w:sz w:val="21"/>
                      <w:szCs w:val="24"/>
                      <w:lang w:val="en-US" w:eastAsia="zh-CN" w:bidi="ar-SA"/>
                    </w:rPr>
                    <w:t>大气污染治理专项行动方案（2023-2027年）</w:t>
                  </w:r>
                  <w:r>
                    <w:rPr>
                      <w:rFonts w:hint="eastAsia" w:ascii="Times New Roman" w:hAnsi="Times New Roman" w:eastAsia="宋体" w:cs="Times New Roman"/>
                      <w:color w:val="auto"/>
                      <w:kern w:val="2"/>
                      <w:sz w:val="21"/>
                      <w:szCs w:val="24"/>
                      <w:lang w:val="en-US" w:eastAsia="zh-CN" w:bidi="ar-SA"/>
                    </w:rPr>
                    <w:t>的通知（陕西咸党发</w:t>
                  </w:r>
                  <w:r>
                    <w:rPr>
                      <w:rFonts w:hint="eastAsia"/>
                      <w:color w:val="auto"/>
                      <w:szCs w:val="21"/>
                    </w:rPr>
                    <w:t>〔</w:t>
                  </w:r>
                  <w:r>
                    <w:rPr>
                      <w:rFonts w:hint="eastAsia" w:ascii="Times New Roman" w:hAnsi="Times New Roman" w:eastAsia="宋体" w:cs="Times New Roman"/>
                      <w:color w:val="auto"/>
                      <w:kern w:val="2"/>
                      <w:sz w:val="21"/>
                      <w:szCs w:val="24"/>
                      <w:lang w:val="en-US" w:eastAsia="zh-CN" w:bidi="ar-SA"/>
                    </w:rPr>
                    <w:t>2023</w:t>
                  </w:r>
                  <w:r>
                    <w:rPr>
                      <w:rFonts w:hint="eastAsia"/>
                      <w:color w:val="auto"/>
                      <w:szCs w:val="21"/>
                    </w:rPr>
                    <w:t>〕</w:t>
                  </w:r>
                  <w:r>
                    <w:rPr>
                      <w:rFonts w:hint="eastAsia" w:ascii="Times New Roman" w:hAnsi="Times New Roman" w:eastAsia="宋体" w:cs="Times New Roman"/>
                      <w:color w:val="auto"/>
                      <w:kern w:val="2"/>
                      <w:sz w:val="21"/>
                      <w:szCs w:val="24"/>
                      <w:lang w:val="en-US" w:eastAsia="zh-CN" w:bidi="ar-SA"/>
                    </w:rPr>
                    <w:t>4号）</w:t>
                  </w:r>
                </w:p>
              </w:tc>
              <w:tc>
                <w:tcPr>
                  <w:tcW w:w="3411" w:type="dxa"/>
                  <w:shd w:val="clear" w:color="auto" w:fill="auto"/>
                  <w:noWrap w:val="0"/>
                  <w:vAlign w:val="center"/>
                </w:tcPr>
                <w:p w14:paraId="09113502">
                  <w:pPr>
                    <w:autoSpaceDE w:val="0"/>
                    <w:autoSpaceDN w:val="0"/>
                    <w:adjustRightInd w:val="0"/>
                    <w:snapToGrid w:val="0"/>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（一）推动结构调整</w:t>
                  </w:r>
                </w:p>
                <w:p w14:paraId="034F4F4E">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3.产业发展结构调整。</w:t>
                  </w:r>
                </w:p>
                <w:p w14:paraId="6FDB82A1">
                  <w:pPr>
                    <w:autoSpaceDE w:val="0"/>
                    <w:autoSpaceDN w:val="0"/>
                    <w:adjustRightInd w:val="0"/>
                    <w:snapToGrid w:val="0"/>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严格新、改、扩建涉气重点行业绩效评级限制条件。新区范围内新、改、扩建涉气重点行业企业应达到环保绩效</w:t>
                  </w:r>
                  <w:r>
                    <w:rPr>
                      <w:rFonts w:hint="default" w:ascii="Times New Roman" w:hAnsi="Times New Roman" w:eastAsia="宋体" w:cs="Times New Roman"/>
                      <w:color w:val="auto"/>
                      <w:szCs w:val="21"/>
                      <w:lang w:val="en-US" w:eastAsia="zh-CN"/>
                    </w:rPr>
                    <w:t>A</w:t>
                  </w:r>
                  <w:r>
                    <w:rPr>
                      <w:rFonts w:hint="eastAsia" w:ascii="Times New Roman" w:hAnsi="Times New Roman" w:eastAsia="宋体" w:cs="Times New Roman"/>
                      <w:color w:val="auto"/>
                      <w:szCs w:val="21"/>
                      <w:lang w:val="en-US" w:eastAsia="zh-CN"/>
                    </w:rPr>
                    <w:t>级、绩效引领性水平。</w:t>
                  </w:r>
                </w:p>
              </w:tc>
              <w:tc>
                <w:tcPr>
                  <w:tcW w:w="2202" w:type="dxa"/>
                  <w:shd w:val="clear" w:color="auto" w:fill="auto"/>
                  <w:noWrap w:val="0"/>
                  <w:vAlign w:val="center"/>
                </w:tcPr>
                <w:p w14:paraId="5DF7BC4E">
                  <w:pPr>
                    <w:adjustRightInd w:val="0"/>
                    <w:snapToGrid w:val="0"/>
                    <w:jc w:val="both"/>
                    <w:outlineLvl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rPr>
                    <w:t>对照《重污染天气重点行业应急减排措施制定技术指南》，本项目不属于重点行业</w:t>
                  </w:r>
                  <w:r>
                    <w:rPr>
                      <w:rFonts w:hint="eastAsia"/>
                      <w:color w:val="auto"/>
                      <w:szCs w:val="21"/>
                      <w:lang w:eastAsia="zh-CN"/>
                    </w:rPr>
                    <w:t>。</w:t>
                  </w:r>
                </w:p>
              </w:tc>
              <w:tc>
                <w:tcPr>
                  <w:tcW w:w="433" w:type="dxa"/>
                  <w:noWrap w:val="0"/>
                  <w:vAlign w:val="center"/>
                </w:tcPr>
                <w:p w14:paraId="75034880">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67E91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683DAE33">
                  <w:pPr>
                    <w:autoSpaceDE w:val="0"/>
                    <w:autoSpaceDN w:val="0"/>
                    <w:adjustRightInd w:val="0"/>
                    <w:snapToGrid w:val="0"/>
                    <w:jc w:val="center"/>
                    <w:rPr>
                      <w:rFonts w:hint="eastAsia"/>
                      <w:color w:val="auto"/>
                      <w:szCs w:val="21"/>
                    </w:rPr>
                  </w:pPr>
                </w:p>
              </w:tc>
              <w:tc>
                <w:tcPr>
                  <w:tcW w:w="3411" w:type="dxa"/>
                  <w:shd w:val="clear" w:color="auto" w:fill="auto"/>
                  <w:noWrap w:val="0"/>
                  <w:vAlign w:val="center"/>
                </w:tcPr>
                <w:p w14:paraId="73B8FE4A">
                  <w:pPr>
                    <w:autoSpaceDE w:val="0"/>
                    <w:autoSpaceDN w:val="0"/>
                    <w:adjustRightInd w:val="0"/>
                    <w:snapToGrid w:val="0"/>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三</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开展</w:t>
                  </w:r>
                  <w:r>
                    <w:rPr>
                      <w:rFonts w:hint="eastAsia" w:ascii="Times New Roman" w:hAnsi="Times New Roman" w:eastAsia="宋体" w:cs="Times New Roman"/>
                      <w:color w:val="auto"/>
                      <w:szCs w:val="21"/>
                      <w:lang w:val="en-US" w:eastAsia="zh-CN"/>
                    </w:rPr>
                    <w:t>专项</w:t>
                  </w:r>
                  <w:r>
                    <w:rPr>
                      <w:rFonts w:hint="default" w:ascii="Times New Roman" w:hAnsi="Times New Roman" w:eastAsia="宋体" w:cs="Times New Roman"/>
                      <w:color w:val="auto"/>
                      <w:szCs w:val="21"/>
                      <w:lang w:val="en-US" w:eastAsia="zh-CN"/>
                    </w:rPr>
                    <w:t>行动</w:t>
                  </w:r>
                </w:p>
                <w:p w14:paraId="022C8A3C">
                  <w:pPr>
                    <w:autoSpaceDE w:val="0"/>
                    <w:autoSpaceDN w:val="0"/>
                    <w:adjustRightInd w:val="0"/>
                    <w:snapToGrid w:val="0"/>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强化</w:t>
                  </w:r>
                  <w:r>
                    <w:rPr>
                      <w:rFonts w:hint="default" w:ascii="Times New Roman" w:hAnsi="Times New Roman" w:eastAsia="宋体" w:cs="Times New Roman"/>
                      <w:color w:val="auto"/>
                      <w:szCs w:val="21"/>
                      <w:lang w:val="en-US" w:eastAsia="zh-CN"/>
                    </w:rPr>
                    <w:t>VOCs</w:t>
                  </w:r>
                  <w:r>
                    <w:rPr>
                      <w:rFonts w:hint="eastAsia" w:ascii="Times New Roman" w:hAnsi="Times New Roman" w:eastAsia="宋体" w:cs="Times New Roman"/>
                      <w:color w:val="auto"/>
                      <w:szCs w:val="21"/>
                      <w:lang w:val="en-US" w:eastAsia="zh-CN"/>
                    </w:rPr>
                    <w:t>末端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低温等离子、光氧化、光催化等处理方式，非水溶性</w:t>
                  </w:r>
                  <w:r>
                    <w:rPr>
                      <w:rFonts w:hint="default" w:ascii="Times New Roman" w:hAnsi="Times New Roman" w:eastAsia="宋体" w:cs="Times New Roman"/>
                      <w:color w:val="auto"/>
                      <w:szCs w:val="21"/>
                      <w:lang w:val="en-US" w:eastAsia="zh-CN"/>
                    </w:rPr>
                    <w:t>VOCs</w:t>
                  </w:r>
                  <w:r>
                    <w:rPr>
                      <w:rFonts w:hint="eastAsia" w:ascii="Times New Roman" w:hAnsi="Times New Roman" w:eastAsia="宋体" w:cs="Times New Roman"/>
                      <w:color w:val="auto"/>
                      <w:szCs w:val="21"/>
                      <w:lang w:val="en-US" w:eastAsia="zh-CN"/>
                    </w:rPr>
                    <w:t>废气不再采用喷淋吸收方式处理。</w:t>
                  </w:r>
                </w:p>
              </w:tc>
              <w:tc>
                <w:tcPr>
                  <w:tcW w:w="2202" w:type="dxa"/>
                  <w:shd w:val="clear" w:color="auto" w:fill="auto"/>
                  <w:noWrap w:val="0"/>
                  <w:vAlign w:val="center"/>
                </w:tcPr>
                <w:p w14:paraId="1F8048ED">
                  <w:pPr>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项目运行过程中产生的有机废气（挤出和发泡废气）</w:t>
                  </w:r>
                  <w:r>
                    <w:rPr>
                      <w:rFonts w:hint="eastAsia"/>
                      <w:color w:val="auto"/>
                      <w:szCs w:val="21"/>
                    </w:rPr>
                    <w:t>采用“集气罩</w:t>
                  </w:r>
                  <w:r>
                    <w:rPr>
                      <w:rFonts w:hint="eastAsia"/>
                      <w:bCs/>
                      <w:color w:val="auto"/>
                      <w:szCs w:val="21"/>
                    </w:rPr>
                    <w:t>+软帘</w:t>
                  </w:r>
                  <w:r>
                    <w:rPr>
                      <w:rFonts w:hint="eastAsia"/>
                      <w:color w:val="auto"/>
                      <w:szCs w:val="21"/>
                    </w:rPr>
                    <w:t>+</w:t>
                  </w:r>
                  <w:r>
                    <w:rPr>
                      <w:rFonts w:hint="eastAsia"/>
                      <w:color w:val="auto"/>
                      <w:szCs w:val="21"/>
                      <w:lang w:val="en-US" w:eastAsia="zh-CN"/>
                    </w:rPr>
                    <w:t>二级活性炭</w:t>
                  </w:r>
                  <w:r>
                    <w:rPr>
                      <w:rFonts w:hint="eastAsia"/>
                      <w:color w:val="auto"/>
                      <w:szCs w:val="21"/>
                    </w:rPr>
                    <w:t>吸附+15m排气筒</w:t>
                  </w:r>
                  <w:r>
                    <w:rPr>
                      <w:rFonts w:hint="eastAsia"/>
                      <w:color w:val="auto"/>
                      <w:szCs w:val="21"/>
                      <w:lang w:eastAsia="zh-CN"/>
                    </w:rPr>
                    <w:t>（</w:t>
                  </w:r>
                  <w:r>
                    <w:rPr>
                      <w:rFonts w:hint="eastAsia"/>
                      <w:color w:val="auto"/>
                      <w:szCs w:val="21"/>
                      <w:lang w:val="en-US" w:eastAsia="zh-CN"/>
                    </w:rPr>
                    <w:t>DA001、DA002</w:t>
                  </w:r>
                  <w:r>
                    <w:rPr>
                      <w:rFonts w:hint="eastAsia"/>
                      <w:color w:val="auto"/>
                      <w:szCs w:val="21"/>
                      <w:lang w:eastAsia="zh-CN"/>
                    </w:rPr>
                    <w:t>）</w:t>
                  </w:r>
                  <w:r>
                    <w:rPr>
                      <w:rFonts w:hint="eastAsia"/>
                      <w:color w:val="auto"/>
                      <w:szCs w:val="21"/>
                    </w:rPr>
                    <w:t>”处理达标排放</w:t>
                  </w:r>
                  <w:r>
                    <w:rPr>
                      <w:rFonts w:hint="eastAsia"/>
                      <w:color w:val="auto"/>
                      <w:szCs w:val="21"/>
                      <w:lang w:eastAsia="zh-CN"/>
                    </w:rPr>
                    <w:t>。</w:t>
                  </w:r>
                </w:p>
              </w:tc>
              <w:tc>
                <w:tcPr>
                  <w:tcW w:w="433" w:type="dxa"/>
                  <w:noWrap w:val="0"/>
                  <w:vAlign w:val="center"/>
                </w:tcPr>
                <w:p w14:paraId="435F1E5B">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4AB6F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restart"/>
                  <w:shd w:val="clear" w:color="auto" w:fill="auto"/>
                  <w:noWrap w:val="0"/>
                  <w:vAlign w:val="center"/>
                </w:tcPr>
                <w:p w14:paraId="58B1A4CF">
                  <w:pPr>
                    <w:autoSpaceDE w:val="0"/>
                    <w:autoSpaceDN w:val="0"/>
                    <w:adjustRightInd w:val="0"/>
                    <w:snapToGrid w:val="0"/>
                    <w:jc w:val="center"/>
                    <w:rPr>
                      <w:rFonts w:hint="eastAsia"/>
                      <w:color w:val="auto"/>
                      <w:kern w:val="2"/>
                      <w:sz w:val="21"/>
                      <w:szCs w:val="21"/>
                      <w:lang w:val="en-US" w:eastAsia="zh-CN" w:bidi="ar-SA"/>
                    </w:rPr>
                  </w:pPr>
                  <w:r>
                    <w:rPr>
                      <w:rFonts w:hint="eastAsia"/>
                      <w:color w:val="auto"/>
                      <w:szCs w:val="21"/>
                    </w:rPr>
                    <w:t>《泾河新城大气污染治理专项行动方案》（2023-2027年）的通知（陕泾河发〔2023〕22号）</w:t>
                  </w:r>
                </w:p>
              </w:tc>
              <w:tc>
                <w:tcPr>
                  <w:tcW w:w="3411" w:type="dxa"/>
                  <w:shd w:val="clear" w:color="auto" w:fill="auto"/>
                  <w:noWrap w:val="0"/>
                  <w:vAlign w:val="center"/>
                </w:tcPr>
                <w:p w14:paraId="068C3755">
                  <w:pPr>
                    <w:autoSpaceDE w:val="0"/>
                    <w:autoSpaceDN w:val="0"/>
                    <w:adjustRightInd w:val="0"/>
                    <w:snapToGrid w:val="0"/>
                    <w:ind w:firstLine="420" w:firstLineChars="200"/>
                    <w:rPr>
                      <w:rFonts w:hint="eastAsia"/>
                      <w:color w:val="auto"/>
                      <w:szCs w:val="21"/>
                    </w:rPr>
                  </w:pPr>
                  <w:r>
                    <w:rPr>
                      <w:rFonts w:hint="eastAsia"/>
                      <w:color w:val="auto"/>
                      <w:szCs w:val="21"/>
                    </w:rPr>
                    <w:t>3.产业发展结构调整</w:t>
                  </w:r>
                </w:p>
                <w:p w14:paraId="7512FEC6">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（1）强化源头管控。严格落实国家、省、市、新区及新城产业规划、产业政策、</w:t>
                  </w:r>
                  <w:r>
                    <w:rPr>
                      <w:rFonts w:hint="eastAsia"/>
                      <w:color w:val="auto"/>
                      <w:szCs w:val="21"/>
                      <w:lang w:eastAsia="zh-CN"/>
                    </w:rPr>
                    <w:t>“</w:t>
                  </w:r>
                  <w:r>
                    <w:rPr>
                      <w:rFonts w:hint="eastAsia"/>
                      <w:color w:val="auto"/>
                      <w:szCs w:val="21"/>
                    </w:rPr>
                    <w:t>三线一单</w:t>
                  </w:r>
                  <w:r>
                    <w:rPr>
                      <w:rFonts w:hint="eastAsia"/>
                      <w:color w:val="auto"/>
                      <w:szCs w:val="21"/>
                      <w:lang w:eastAsia="zh-CN"/>
                    </w:rPr>
                    <w:t>”</w:t>
                  </w:r>
                  <w:r>
                    <w:rPr>
                      <w:rFonts w:hint="eastAsia"/>
                      <w:color w:val="auto"/>
                      <w:szCs w:val="21"/>
                    </w:rPr>
                    <w:t>、规划环评等要求，配合新区开展区域空间生态环境评价工作，积极推行区域、规划环境影响评价，新、改、扩建化工、石化、建材、有色等项目的环境影响评价应满足区域、规划环评要求。</w:t>
                  </w:r>
                </w:p>
              </w:tc>
              <w:tc>
                <w:tcPr>
                  <w:tcW w:w="2202" w:type="dxa"/>
                  <w:shd w:val="clear" w:color="auto" w:fill="auto"/>
                  <w:noWrap w:val="0"/>
                  <w:vAlign w:val="center"/>
                </w:tcPr>
                <w:p w14:paraId="2F44BBAC">
                  <w:pPr>
                    <w:autoSpaceDE w:val="0"/>
                    <w:autoSpaceDN w:val="0"/>
                    <w:adjustRightInd w:val="0"/>
                    <w:snapToGrid w:val="0"/>
                    <w:rPr>
                      <w:rFonts w:hint="eastAsia" w:eastAsia="宋体"/>
                      <w:color w:val="auto"/>
                      <w:kern w:val="21"/>
                      <w:sz w:val="21"/>
                      <w:szCs w:val="21"/>
                      <w:lang w:val="en-US" w:eastAsia="zh-CN" w:bidi="ar-SA"/>
                    </w:rPr>
                  </w:pPr>
                  <w:r>
                    <w:rPr>
                      <w:rFonts w:hint="eastAsia"/>
                      <w:color w:val="auto"/>
                      <w:szCs w:val="21"/>
                    </w:rPr>
                    <w:t>本项目为</w:t>
                  </w:r>
                  <w:r>
                    <w:rPr>
                      <w:rFonts w:hint="eastAsia"/>
                      <w:color w:val="auto"/>
                      <w:szCs w:val="21"/>
                      <w:lang w:val="en-US" w:eastAsia="zh-CN"/>
                    </w:rPr>
                    <w:t>迁建</w:t>
                  </w:r>
                  <w:r>
                    <w:rPr>
                      <w:rFonts w:hint="eastAsia"/>
                      <w:color w:val="auto"/>
                      <w:szCs w:val="21"/>
                    </w:rPr>
                    <w:t>项目，属于</w:t>
                  </w:r>
                  <w:r>
                    <w:rPr>
                      <w:rFonts w:hint="eastAsia"/>
                      <w:color w:val="auto"/>
                      <w:szCs w:val="21"/>
                      <w:lang w:eastAsia="zh-CN"/>
                    </w:rPr>
                    <w:t>塑料板、管、型材制造和泡沫塑料制造</w:t>
                  </w:r>
                  <w:r>
                    <w:rPr>
                      <w:rFonts w:hint="eastAsia"/>
                      <w:color w:val="auto"/>
                      <w:szCs w:val="21"/>
                      <w:lang w:val="en-US" w:eastAsia="zh-CN"/>
                    </w:rPr>
                    <w:t>业</w:t>
                  </w:r>
                  <w:r>
                    <w:rPr>
                      <w:rFonts w:hint="eastAsia"/>
                      <w:color w:val="auto"/>
                      <w:szCs w:val="21"/>
                    </w:rPr>
                    <w:t>，不属于新改扩建化工、石化、建材、有色等项目</w:t>
                  </w:r>
                  <w:r>
                    <w:rPr>
                      <w:rFonts w:hint="eastAsia"/>
                      <w:color w:val="auto"/>
                      <w:szCs w:val="21"/>
                      <w:lang w:eastAsia="zh-CN"/>
                    </w:rPr>
                    <w:t>。</w:t>
                  </w:r>
                  <w:r>
                    <w:rPr>
                      <w:rFonts w:hint="eastAsia"/>
                      <w:color w:val="auto"/>
                      <w:szCs w:val="21"/>
                    </w:rPr>
                    <w:t>符合国家、省、市及新区产业规划、产业政策、</w:t>
                  </w:r>
                  <w:r>
                    <w:rPr>
                      <w:rFonts w:hint="eastAsia"/>
                      <w:color w:val="auto"/>
                      <w:szCs w:val="21"/>
                      <w:lang w:eastAsia="zh-CN"/>
                    </w:rPr>
                    <w:t>“</w:t>
                  </w:r>
                  <w:r>
                    <w:rPr>
                      <w:rFonts w:hint="eastAsia"/>
                      <w:color w:val="auto"/>
                      <w:szCs w:val="21"/>
                    </w:rPr>
                    <w:t>三线一单</w:t>
                  </w:r>
                  <w:r>
                    <w:rPr>
                      <w:rFonts w:hint="eastAsia"/>
                      <w:color w:val="auto"/>
                      <w:szCs w:val="21"/>
                      <w:lang w:eastAsia="zh-CN"/>
                    </w:rPr>
                    <w:t>”</w:t>
                  </w:r>
                  <w:r>
                    <w:rPr>
                      <w:rFonts w:hint="eastAsia"/>
                      <w:color w:val="auto"/>
                      <w:szCs w:val="21"/>
                    </w:rPr>
                    <w:t>等相关要求</w:t>
                  </w:r>
                  <w:r>
                    <w:rPr>
                      <w:rFonts w:hint="eastAsia"/>
                      <w:color w:val="auto"/>
                      <w:szCs w:val="21"/>
                      <w:lang w:eastAsia="zh-CN"/>
                    </w:rPr>
                    <w:t>。</w:t>
                  </w:r>
                </w:p>
              </w:tc>
              <w:tc>
                <w:tcPr>
                  <w:tcW w:w="433" w:type="dxa"/>
                  <w:shd w:val="clear" w:color="auto" w:fill="auto"/>
                  <w:noWrap w:val="0"/>
                  <w:vAlign w:val="center"/>
                </w:tcPr>
                <w:p w14:paraId="7692B046">
                  <w:pPr>
                    <w:autoSpaceDE w:val="0"/>
                    <w:autoSpaceDN w:val="0"/>
                    <w:adjustRightInd w:val="0"/>
                    <w:snapToGrid w:val="0"/>
                    <w:jc w:val="center"/>
                    <w:rPr>
                      <w:rFonts w:hint="eastAsia"/>
                      <w:color w:val="auto"/>
                      <w:kern w:val="2"/>
                      <w:sz w:val="21"/>
                      <w:szCs w:val="21"/>
                      <w:lang w:val="en-US" w:eastAsia="zh-CN" w:bidi="ar-SA"/>
                    </w:rPr>
                  </w:pPr>
                  <w:r>
                    <w:rPr>
                      <w:rFonts w:hint="eastAsia"/>
                      <w:color w:val="auto"/>
                      <w:szCs w:val="21"/>
                    </w:rPr>
                    <w:t>符合</w:t>
                  </w:r>
                </w:p>
              </w:tc>
            </w:tr>
            <w:tr w14:paraId="14CA7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5" w:type="dxa"/>
                  <w:vMerge w:val="continue"/>
                  <w:noWrap w:val="0"/>
                  <w:vAlign w:val="center"/>
                </w:tcPr>
                <w:p w14:paraId="5ED92519">
                  <w:pPr>
                    <w:autoSpaceDE w:val="0"/>
                    <w:autoSpaceDN w:val="0"/>
                    <w:adjustRightInd w:val="0"/>
                    <w:snapToGrid w:val="0"/>
                    <w:jc w:val="center"/>
                    <w:rPr>
                      <w:rFonts w:hint="eastAsia"/>
                      <w:color w:val="auto"/>
                      <w:kern w:val="2"/>
                      <w:sz w:val="21"/>
                      <w:szCs w:val="21"/>
                      <w:lang w:val="en-US" w:eastAsia="zh-CN" w:bidi="ar-SA"/>
                    </w:rPr>
                  </w:pPr>
                </w:p>
              </w:tc>
              <w:tc>
                <w:tcPr>
                  <w:tcW w:w="3411" w:type="dxa"/>
                  <w:shd w:val="clear" w:color="auto" w:fill="auto"/>
                  <w:noWrap w:val="0"/>
                  <w:vAlign w:val="center"/>
                </w:tcPr>
                <w:p w14:paraId="1A1DBACF">
                  <w:pPr>
                    <w:autoSpaceDE w:val="0"/>
                    <w:autoSpaceDN w:val="0"/>
                    <w:adjustRightInd w:val="0"/>
                    <w:snapToGrid w:val="0"/>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color w:val="auto"/>
                      <w:szCs w:val="21"/>
                    </w:rPr>
                    <w:t>强化VOCs末端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低温等离子、光氧化、光催化等处理方式，非水溶性VOCs废气不再采用喷淋吸收方式处理。</w:t>
                  </w:r>
                </w:p>
              </w:tc>
              <w:tc>
                <w:tcPr>
                  <w:tcW w:w="2202" w:type="dxa"/>
                  <w:noWrap w:val="0"/>
                  <w:vAlign w:val="center"/>
                </w:tcPr>
                <w:p w14:paraId="3ACB7EB9">
                  <w:pPr>
                    <w:autoSpaceDE w:val="0"/>
                    <w:autoSpaceDN w:val="0"/>
                    <w:adjustRightInd w:val="0"/>
                    <w:snapToGrid w:val="0"/>
                    <w:rPr>
                      <w:rFonts w:hint="eastAsia" w:eastAsia="宋体"/>
                      <w:color w:val="auto"/>
                      <w:kern w:val="21"/>
                      <w:sz w:val="21"/>
                      <w:szCs w:val="21"/>
                      <w:lang w:val="en-US" w:eastAsia="zh-CN" w:bidi="ar-SA"/>
                    </w:rPr>
                  </w:pPr>
                  <w:r>
                    <w:rPr>
                      <w:rFonts w:hint="eastAsia"/>
                      <w:color w:val="auto"/>
                      <w:szCs w:val="21"/>
                      <w:lang w:val="en-US" w:eastAsia="zh-CN"/>
                    </w:rPr>
                    <w:t>项目运行过程中产生的有机废气（挤出和发泡废气）</w:t>
                  </w:r>
                  <w:r>
                    <w:rPr>
                      <w:rFonts w:hint="eastAsia"/>
                      <w:color w:val="auto"/>
                      <w:szCs w:val="21"/>
                    </w:rPr>
                    <w:t>采用“集气罩</w:t>
                  </w:r>
                  <w:r>
                    <w:rPr>
                      <w:rFonts w:hint="eastAsia"/>
                      <w:bCs/>
                      <w:color w:val="auto"/>
                      <w:szCs w:val="21"/>
                    </w:rPr>
                    <w:t>+软帘</w:t>
                  </w:r>
                  <w:r>
                    <w:rPr>
                      <w:rFonts w:hint="eastAsia"/>
                      <w:color w:val="auto"/>
                      <w:szCs w:val="21"/>
                    </w:rPr>
                    <w:t>+</w:t>
                  </w:r>
                  <w:r>
                    <w:rPr>
                      <w:rFonts w:hint="eastAsia"/>
                      <w:color w:val="auto"/>
                      <w:szCs w:val="21"/>
                      <w:lang w:val="en-US" w:eastAsia="zh-CN"/>
                    </w:rPr>
                    <w:t>二级活性炭</w:t>
                  </w:r>
                  <w:r>
                    <w:rPr>
                      <w:rFonts w:hint="eastAsia"/>
                      <w:color w:val="auto"/>
                      <w:szCs w:val="21"/>
                    </w:rPr>
                    <w:t>吸附+15m排气筒</w:t>
                  </w:r>
                  <w:r>
                    <w:rPr>
                      <w:rFonts w:hint="eastAsia"/>
                      <w:color w:val="auto"/>
                      <w:szCs w:val="21"/>
                      <w:lang w:eastAsia="zh-CN"/>
                    </w:rPr>
                    <w:t>（</w:t>
                  </w:r>
                  <w:r>
                    <w:rPr>
                      <w:rFonts w:hint="eastAsia"/>
                      <w:color w:val="auto"/>
                      <w:szCs w:val="21"/>
                      <w:lang w:val="en-US" w:eastAsia="zh-CN"/>
                    </w:rPr>
                    <w:t>DA001、DA002</w:t>
                  </w:r>
                  <w:r>
                    <w:rPr>
                      <w:rFonts w:hint="eastAsia"/>
                      <w:color w:val="auto"/>
                      <w:szCs w:val="21"/>
                      <w:lang w:eastAsia="zh-CN"/>
                    </w:rPr>
                    <w:t>）</w:t>
                  </w:r>
                  <w:r>
                    <w:rPr>
                      <w:rFonts w:hint="eastAsia"/>
                      <w:color w:val="auto"/>
                      <w:szCs w:val="21"/>
                    </w:rPr>
                    <w:t>”处理达标排放</w:t>
                  </w:r>
                  <w:r>
                    <w:rPr>
                      <w:rFonts w:hint="eastAsia"/>
                      <w:color w:val="auto"/>
                      <w:szCs w:val="21"/>
                      <w:lang w:eastAsia="zh-CN"/>
                    </w:rPr>
                    <w:t>。</w:t>
                  </w:r>
                </w:p>
              </w:tc>
              <w:tc>
                <w:tcPr>
                  <w:tcW w:w="433" w:type="dxa"/>
                  <w:noWrap w:val="0"/>
                  <w:vAlign w:val="center"/>
                </w:tcPr>
                <w:p w14:paraId="7D1C1D5D">
                  <w:pPr>
                    <w:autoSpaceDE w:val="0"/>
                    <w:autoSpaceDN w:val="0"/>
                    <w:adjustRightInd w:val="0"/>
                    <w:snapToGrid w:val="0"/>
                    <w:jc w:val="center"/>
                    <w:rPr>
                      <w:rFonts w:hint="default"/>
                      <w:color w:val="auto"/>
                      <w:kern w:val="2"/>
                      <w:sz w:val="21"/>
                      <w:szCs w:val="21"/>
                      <w:lang w:val="en-US" w:eastAsia="zh-CN" w:bidi="ar-SA"/>
                    </w:rPr>
                  </w:pPr>
                  <w:r>
                    <w:rPr>
                      <w:rFonts w:hint="eastAsia"/>
                      <w:color w:val="auto"/>
                      <w:kern w:val="2"/>
                      <w:sz w:val="21"/>
                      <w:szCs w:val="21"/>
                      <w:lang w:val="en-US" w:eastAsia="zh-CN" w:bidi="ar-SA"/>
                    </w:rPr>
                    <w:t>符合</w:t>
                  </w:r>
                </w:p>
              </w:tc>
            </w:tr>
          </w:tbl>
          <w:p w14:paraId="10729770">
            <w:pPr>
              <w:spacing w:before="120" w:beforeLines="50" w:line="360" w:lineRule="auto"/>
              <w:ind w:firstLine="482" w:firstLineChars="200"/>
              <w:rPr>
                <w:b/>
                <w:bCs/>
                <w:color w:val="auto"/>
                <w:sz w:val="24"/>
              </w:rPr>
            </w:pPr>
            <w:r>
              <w:rPr>
                <w:rFonts w:hint="eastAsia"/>
                <w:b/>
                <w:bCs/>
                <w:color w:val="auto"/>
                <w:sz w:val="24"/>
              </w:rPr>
              <w:t>5</w:t>
            </w:r>
            <w:r>
              <w:rPr>
                <w:b/>
                <w:bCs/>
                <w:color w:val="auto"/>
                <w:sz w:val="24"/>
              </w:rPr>
              <w:t>、选址合理性分析</w:t>
            </w:r>
          </w:p>
          <w:p w14:paraId="7EAC96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rPr>
              <w:t>本项目位于西咸新区泾河新城美国科技产业园宝信园区，租用陕西宝信金属科技有限公司</w:t>
            </w:r>
            <w:r>
              <w:rPr>
                <w:rFonts w:hint="eastAsia"/>
                <w:color w:val="auto"/>
                <w:sz w:val="24"/>
                <w:lang w:val="en-US" w:eastAsia="zh-CN"/>
              </w:rPr>
              <w:t>空置厂房（租赁合同见附件3-1），在已有厂房进行项目建设，不新增占地。</w:t>
            </w:r>
          </w:p>
          <w:p w14:paraId="549E05C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val="en-US" w:eastAsia="zh-CN"/>
              </w:rPr>
              <w:t>根据《陕西省西咸新区泾河新城控制性详细规划》（2016-2035），项目区域规划为工业用地（附图6）；根据租赁企业土地文件（附件3-2），本项目用地性质属于工业用地，与规划相符。</w:t>
            </w:r>
          </w:p>
          <w:p w14:paraId="58D01049">
            <w:pPr>
              <w:spacing w:line="360" w:lineRule="auto"/>
              <w:ind w:firstLine="480" w:firstLineChars="200"/>
              <w:rPr>
                <w:color w:val="auto"/>
                <w:sz w:val="24"/>
              </w:rPr>
            </w:pPr>
            <w:r>
              <w:rPr>
                <w:rFonts w:hint="eastAsia"/>
                <w:color w:val="auto"/>
                <w:sz w:val="24"/>
              </w:rPr>
              <w:t>评价范围内无《建设项目环境影响评价分类管理名录》中第三条规定的（一）、（二）类环境保护区，如自然保护区、风景名胜区、世界文化和自然遗产地、饮用水水源保护区等，不在国家、地方规划的重点生态功能区的敏感区域内。项目所在区域基础设施配套完全，水、电、通信等能满足项目建设以及运行需要。</w:t>
            </w:r>
            <w:r>
              <w:rPr>
                <w:color w:val="auto"/>
                <w:sz w:val="24"/>
              </w:rPr>
              <w:t>项目</w:t>
            </w:r>
            <w:r>
              <w:rPr>
                <w:color w:val="auto"/>
                <w:kern w:val="0"/>
                <w:sz w:val="24"/>
              </w:rPr>
              <w:t>产生的污染物</w:t>
            </w:r>
            <w:r>
              <w:rPr>
                <w:color w:val="auto"/>
                <w:sz w:val="24"/>
              </w:rPr>
              <w:t>在采取本次环评提出的各项环保措施的前提下，项目污染物均能做到达标排放</w:t>
            </w:r>
            <w:r>
              <w:rPr>
                <w:rFonts w:hint="eastAsia"/>
                <w:color w:val="auto"/>
                <w:sz w:val="24"/>
              </w:rPr>
              <w:t>，</w:t>
            </w:r>
            <w:r>
              <w:rPr>
                <w:color w:val="auto"/>
                <w:sz w:val="24"/>
              </w:rPr>
              <w:t>对外环境影响较小。</w:t>
            </w:r>
          </w:p>
          <w:p w14:paraId="67F790DE">
            <w:pPr>
              <w:spacing w:line="360" w:lineRule="auto"/>
              <w:ind w:firstLine="480" w:firstLineChars="200"/>
              <w:rPr>
                <w:color w:val="auto"/>
              </w:rPr>
            </w:pPr>
            <w:r>
              <w:rPr>
                <w:rFonts w:hint="eastAsia"/>
                <w:color w:val="auto"/>
                <w:sz w:val="24"/>
              </w:rPr>
              <w:t>综上所述，本项目对各项污染物均采取了相应的环保措施，可做到达标排放或妥善处置，从环境保护角度分析，本项目选址合理。</w:t>
            </w:r>
          </w:p>
          <w:p w14:paraId="46F764E0">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color w:val="auto"/>
              </w:rPr>
            </w:pPr>
          </w:p>
          <w:p w14:paraId="5A2F446E">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299DEECA">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148F0A86">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02160C2D">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5BBD35F7">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color w:val="auto"/>
              </w:rPr>
            </w:pPr>
          </w:p>
        </w:tc>
      </w:tr>
    </w:tbl>
    <w:p w14:paraId="4B189A41">
      <w:pPr>
        <w:rPr>
          <w:color w:val="auto"/>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7AD46FE">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346"/>
      </w:tblGrid>
      <w:tr w14:paraId="7FE6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4" w:type="dxa"/>
            <w:noWrap w:val="0"/>
            <w:vAlign w:val="center"/>
          </w:tcPr>
          <w:p w14:paraId="71F02506">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346" w:type="dxa"/>
            <w:noWrap w:val="0"/>
            <w:vAlign w:val="top"/>
          </w:tcPr>
          <w:p w14:paraId="3F159967">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b/>
                <w:color w:val="auto"/>
                <w:sz w:val="24"/>
              </w:rPr>
            </w:pPr>
            <w:r>
              <w:rPr>
                <w:rFonts w:hint="eastAsia"/>
                <w:b/>
                <w:color w:val="auto"/>
                <w:sz w:val="24"/>
              </w:rPr>
              <w:t>1、项目概况</w:t>
            </w:r>
          </w:p>
          <w:p w14:paraId="19F5BE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西安敏丰防腐保温工程有限公司成立于2017年2月28日，主要经营聚乙烯外护管、聚氨酯保温管的生产及销售。项目原地址位于陕西省西咸新区泾河新城永乐工业园区南北大道2号，租赁</w:t>
            </w:r>
            <w:r>
              <w:rPr>
                <w:rFonts w:hint="default" w:ascii="Times New Roman" w:hAnsi="Times New Roman" w:cs="Times New Roman"/>
                <w:color w:val="auto"/>
                <w:sz w:val="24"/>
              </w:rPr>
              <w:t>陕西</w:t>
            </w:r>
            <w:r>
              <w:rPr>
                <w:rFonts w:hint="default" w:ascii="Times New Roman" w:hAnsi="Times New Roman" w:cs="Times New Roman"/>
                <w:color w:val="auto"/>
                <w:sz w:val="24"/>
                <w:lang w:val="en-US" w:eastAsia="zh-CN"/>
              </w:rPr>
              <w:t>国坤时代科技</w:t>
            </w:r>
            <w:r>
              <w:rPr>
                <w:rFonts w:hint="default" w:ascii="Times New Roman" w:hAnsi="Times New Roman" w:cs="Times New Roman"/>
                <w:color w:val="auto"/>
                <w:sz w:val="24"/>
              </w:rPr>
              <w:t>有限公司</w:t>
            </w:r>
            <w:r>
              <w:rPr>
                <w:rFonts w:hint="eastAsia"/>
                <w:bCs/>
                <w:color w:val="auto"/>
                <w:sz w:val="24"/>
                <w:lang w:val="en-US" w:eastAsia="zh-CN"/>
              </w:rPr>
              <w:t>部分厂房，建设聚乙烯外护管、聚氨酯保温管生产项目。</w:t>
            </w:r>
          </w:p>
          <w:p w14:paraId="26ED06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由于原有项目租赁合同到期，企业决定将建设地址由泾河新城永乐工业园区南北大道2号迁建至陕西省西咸新区泾河新城美国科技产业园宝信园区。迁建前项目租赁</w:t>
            </w:r>
            <w:r>
              <w:rPr>
                <w:rFonts w:hint="default" w:ascii="Times New Roman" w:hAnsi="Times New Roman" w:cs="Times New Roman"/>
                <w:color w:val="auto"/>
                <w:sz w:val="24"/>
              </w:rPr>
              <w:t>陕西</w:t>
            </w:r>
            <w:r>
              <w:rPr>
                <w:rFonts w:hint="default" w:ascii="Times New Roman" w:hAnsi="Times New Roman" w:cs="Times New Roman"/>
                <w:color w:val="auto"/>
                <w:sz w:val="24"/>
                <w:lang w:val="en-US" w:eastAsia="zh-CN"/>
              </w:rPr>
              <w:t>国坤时代科技</w:t>
            </w:r>
            <w:r>
              <w:rPr>
                <w:rFonts w:hint="default" w:ascii="Times New Roman" w:hAnsi="Times New Roman" w:cs="Times New Roman"/>
                <w:color w:val="auto"/>
                <w:sz w:val="24"/>
              </w:rPr>
              <w:t>有限公司</w:t>
            </w:r>
            <w:r>
              <w:rPr>
                <w:rFonts w:hint="eastAsia"/>
                <w:bCs/>
                <w:color w:val="auto"/>
                <w:sz w:val="24"/>
                <w:lang w:val="en-US" w:eastAsia="zh-CN"/>
              </w:rPr>
              <w:t>部分厂房及办公室，占地总面积为3691m</w:t>
            </w:r>
            <w:r>
              <w:rPr>
                <w:rFonts w:hint="eastAsia"/>
                <w:bCs/>
                <w:color w:val="auto"/>
                <w:sz w:val="24"/>
                <w:vertAlign w:val="superscript"/>
                <w:lang w:val="en-US" w:eastAsia="zh-CN"/>
              </w:rPr>
              <w:t>2</w:t>
            </w:r>
            <w:r>
              <w:rPr>
                <w:rFonts w:hint="eastAsia"/>
                <w:bCs/>
                <w:color w:val="auto"/>
                <w:sz w:val="24"/>
                <w:lang w:val="en-US" w:eastAsia="zh-CN"/>
              </w:rPr>
              <w:t>，建设2条聚乙烯外护管生产线和2条聚氨酯保温管生产线，年产聚乙烯外护管700吨、聚氨酯保温管5000根。搬迁后本项目租赁陕西宝信金属科技有限公司部分厂房，实际使用面积为3810平方米（包含办公150m</w:t>
            </w:r>
            <w:r>
              <w:rPr>
                <w:rFonts w:hint="eastAsia"/>
                <w:bCs/>
                <w:color w:val="auto"/>
                <w:sz w:val="24"/>
                <w:vertAlign w:val="superscript"/>
                <w:lang w:val="en-US" w:eastAsia="zh-CN"/>
              </w:rPr>
              <w:t>2</w:t>
            </w:r>
            <w:r>
              <w:rPr>
                <w:rFonts w:hint="eastAsia"/>
                <w:bCs/>
                <w:color w:val="auto"/>
                <w:sz w:val="24"/>
                <w:lang w:val="en-US" w:eastAsia="zh-CN"/>
              </w:rPr>
              <w:t>及住宿60m</w:t>
            </w:r>
            <w:r>
              <w:rPr>
                <w:rFonts w:hint="eastAsia"/>
                <w:bCs/>
                <w:color w:val="auto"/>
                <w:sz w:val="24"/>
                <w:vertAlign w:val="superscript"/>
                <w:lang w:val="en-US" w:eastAsia="zh-CN"/>
              </w:rPr>
              <w:t>2</w:t>
            </w:r>
            <w:r>
              <w:rPr>
                <w:rFonts w:hint="eastAsia"/>
                <w:bCs/>
                <w:color w:val="auto"/>
                <w:sz w:val="24"/>
                <w:lang w:val="en-US" w:eastAsia="zh-CN"/>
              </w:rPr>
              <w:t>），建设3条聚乙烯外护管生产线和2条聚氨酯保温管生产线，年产聚乙烯外护管1000吨、聚氨酯保温管5000根。</w:t>
            </w:r>
          </w:p>
          <w:p w14:paraId="4AAD73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val="0"/>
                <w:color w:val="auto"/>
                <w:sz w:val="24"/>
              </w:rPr>
            </w:pPr>
            <w:r>
              <w:rPr>
                <w:rFonts w:hint="eastAsia"/>
                <w:b/>
                <w:bCs w:val="0"/>
                <w:color w:val="auto"/>
                <w:sz w:val="24"/>
                <w:lang w:val="en-US" w:eastAsia="zh-CN"/>
              </w:rPr>
              <w:t>2、</w:t>
            </w:r>
            <w:r>
              <w:rPr>
                <w:rFonts w:hint="eastAsia"/>
                <w:b/>
                <w:bCs w:val="0"/>
                <w:color w:val="auto"/>
                <w:sz w:val="24"/>
              </w:rPr>
              <w:t>建设规模及建设内容</w:t>
            </w:r>
          </w:p>
          <w:p w14:paraId="0B6B3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w:t>
            </w:r>
            <w:r>
              <w:rPr>
                <w:rFonts w:hint="eastAsia"/>
                <w:color w:val="auto"/>
                <w:sz w:val="24"/>
                <w:lang w:val="en-US" w:eastAsia="zh-CN"/>
              </w:rPr>
              <w:t>主要工程</w:t>
            </w:r>
            <w:r>
              <w:rPr>
                <w:color w:val="auto"/>
                <w:sz w:val="24"/>
              </w:rPr>
              <w:t>组成详见表</w:t>
            </w:r>
            <w:r>
              <w:rPr>
                <w:rFonts w:hint="eastAsia"/>
                <w:color w:val="auto"/>
                <w:sz w:val="24"/>
              </w:rPr>
              <w:t>2-1</w:t>
            </w:r>
            <w:r>
              <w:rPr>
                <w:color w:val="auto"/>
                <w:sz w:val="24"/>
              </w:rPr>
              <w:t>。</w:t>
            </w:r>
          </w:p>
          <w:p w14:paraId="40038271">
            <w:pPr>
              <w:pStyle w:val="66"/>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b/>
                <w:bCs/>
                <w:color w:val="auto"/>
                <w:szCs w:val="24"/>
              </w:rPr>
            </w:pPr>
            <w:r>
              <w:rPr>
                <w:rFonts w:ascii="Times New Roman" w:hAnsi="Times New Roman" w:eastAsia="宋体" w:cs="Times New Roman"/>
                <w:b/>
                <w:bCs/>
                <w:color w:val="auto"/>
                <w:szCs w:val="24"/>
              </w:rPr>
              <w:t>表</w:t>
            </w:r>
            <w:r>
              <w:rPr>
                <w:rFonts w:hint="eastAsia" w:ascii="Times New Roman" w:hAnsi="Times New Roman" w:eastAsia="宋体" w:cs="Times New Roman"/>
                <w:b/>
                <w:bCs/>
                <w:color w:val="auto"/>
                <w:szCs w:val="24"/>
              </w:rPr>
              <w:t>2-1</w:t>
            </w:r>
            <w:r>
              <w:rPr>
                <w:rFonts w:ascii="Times New Roman" w:hAnsi="Times New Roman" w:eastAsia="宋体" w:cs="Times New Roman"/>
                <w:b/>
                <w:bCs/>
                <w:color w:val="auto"/>
                <w:szCs w:val="24"/>
              </w:rPr>
              <w:t xml:space="preserve"> </w:t>
            </w:r>
            <w:r>
              <w:rPr>
                <w:rFonts w:hint="eastAsia" w:ascii="Times New Roman" w:hAnsi="Times New Roman" w:eastAsia="宋体" w:cs="Times New Roman"/>
                <w:b/>
                <w:bCs/>
                <w:color w:val="auto"/>
                <w:szCs w:val="24"/>
              </w:rPr>
              <w:t xml:space="preserve"> </w:t>
            </w:r>
            <w:r>
              <w:rPr>
                <w:rFonts w:ascii="Times New Roman" w:hAnsi="Times New Roman" w:eastAsia="宋体" w:cs="Times New Roman"/>
                <w:b/>
                <w:bCs/>
                <w:color w:val="auto"/>
                <w:szCs w:val="24"/>
              </w:rPr>
              <w:t>建设项目组成一览表</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641"/>
              <w:gridCol w:w="931"/>
              <w:gridCol w:w="4905"/>
              <w:gridCol w:w="801"/>
            </w:tblGrid>
            <w:tr w14:paraId="1883D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568" w:type="pct"/>
                  <w:tcBorders>
                    <w:tl2br w:val="nil"/>
                    <w:tr2bl w:val="nil"/>
                  </w:tcBorders>
                  <w:noWrap w:val="0"/>
                  <w:vAlign w:val="center"/>
                </w:tcPr>
                <w:p w14:paraId="71FCBF1F">
                  <w:pPr>
                    <w:adjustRightInd w:val="0"/>
                    <w:snapToGrid w:val="0"/>
                    <w:jc w:val="center"/>
                    <w:rPr>
                      <w:rFonts w:hint="default" w:ascii="Times New Roman" w:hAnsi="Times New Roman" w:cs="Times New Roman"/>
                      <w:b/>
                      <w:color w:val="auto"/>
                      <w:sz w:val="21"/>
                      <w:szCs w:val="21"/>
                    </w:rPr>
                  </w:pPr>
                  <w:bookmarkStart w:id="1" w:name="_Hlk521661023"/>
                  <w:bookmarkStart w:id="2" w:name="_Hlk38377492"/>
                  <w:bookmarkStart w:id="3" w:name="OLE_LINK1" w:colFirst="0" w:colLast="4"/>
                  <w:bookmarkStart w:id="4" w:name="OLE_LINK2" w:colFirst="0" w:colLast="4"/>
                  <w:r>
                    <w:rPr>
                      <w:rFonts w:hint="default" w:ascii="Times New Roman" w:hAnsi="Times New Roman" w:cs="Times New Roman"/>
                      <w:b/>
                      <w:color w:val="auto"/>
                      <w:sz w:val="21"/>
                      <w:szCs w:val="21"/>
                    </w:rPr>
                    <w:t>项目工程组成</w:t>
                  </w:r>
                </w:p>
              </w:tc>
              <w:tc>
                <w:tcPr>
                  <w:tcW w:w="957" w:type="pct"/>
                  <w:gridSpan w:val="2"/>
                  <w:tcBorders>
                    <w:tl2br w:val="nil"/>
                    <w:tr2bl w:val="nil"/>
                  </w:tcBorders>
                  <w:noWrap w:val="0"/>
                  <w:vAlign w:val="center"/>
                </w:tcPr>
                <w:p w14:paraId="6F2DC7D2">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子工程</w:t>
                  </w:r>
                </w:p>
              </w:tc>
              <w:tc>
                <w:tcPr>
                  <w:tcW w:w="2986" w:type="pct"/>
                  <w:tcBorders>
                    <w:tl2br w:val="nil"/>
                    <w:tr2bl w:val="nil"/>
                  </w:tcBorders>
                  <w:noWrap w:val="0"/>
                  <w:vAlign w:val="center"/>
                </w:tcPr>
                <w:p w14:paraId="45B866D9">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工程规模</w:t>
                  </w:r>
                </w:p>
              </w:tc>
              <w:tc>
                <w:tcPr>
                  <w:tcW w:w="487" w:type="pct"/>
                  <w:tcBorders>
                    <w:tl2br w:val="nil"/>
                    <w:tr2bl w:val="nil"/>
                  </w:tcBorders>
                  <w:noWrap w:val="0"/>
                  <w:vAlign w:val="center"/>
                </w:tcPr>
                <w:p w14:paraId="5417098D">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14:paraId="308B5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restart"/>
                  <w:tcBorders>
                    <w:tl2br w:val="nil"/>
                    <w:tr2bl w:val="nil"/>
                  </w:tcBorders>
                  <w:noWrap w:val="0"/>
                  <w:vAlign w:val="center"/>
                </w:tcPr>
                <w:p w14:paraId="64D04371">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957" w:type="pct"/>
                  <w:gridSpan w:val="2"/>
                  <w:tcBorders>
                    <w:tl2br w:val="nil"/>
                    <w:tr2bl w:val="nil"/>
                  </w:tcBorders>
                  <w:noWrap w:val="0"/>
                  <w:vAlign w:val="center"/>
                </w:tcPr>
                <w:p w14:paraId="3FFA76B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生产厂房</w:t>
                  </w:r>
                </w:p>
              </w:tc>
              <w:tc>
                <w:tcPr>
                  <w:tcW w:w="2986" w:type="pct"/>
                  <w:tcBorders>
                    <w:tl2br w:val="nil"/>
                    <w:tr2bl w:val="nil"/>
                  </w:tcBorders>
                  <w:noWrap w:val="0"/>
                  <w:vAlign w:val="center"/>
                </w:tcPr>
                <w:p w14:paraId="2124216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1间，占地面积</w:t>
                  </w:r>
                  <w:r>
                    <w:rPr>
                      <w:rFonts w:hint="eastAsia" w:ascii="Times New Roman" w:hAnsi="Times New Roman" w:cs="Times New Roman"/>
                      <w:color w:val="auto"/>
                      <w:sz w:val="21"/>
                      <w:szCs w:val="21"/>
                      <w:lang w:val="en-US" w:eastAsia="zh-CN"/>
                    </w:rPr>
                    <w:t>36</w:t>
                  </w:r>
                  <w:r>
                    <w:rPr>
                      <w:rFonts w:hint="eastAsia" w:cs="Times New Roman"/>
                      <w:color w:val="auto"/>
                      <w:sz w:val="21"/>
                      <w:szCs w:val="21"/>
                      <w:lang w:val="en-US" w:eastAsia="zh-CN"/>
                    </w:rPr>
                    <w:t>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厂房高</w:t>
                  </w:r>
                  <w:r>
                    <w:rPr>
                      <w:rFonts w:hint="eastAsia" w:cs="Times New Roman"/>
                      <w:color w:val="auto"/>
                      <w:sz w:val="21"/>
                      <w:szCs w:val="21"/>
                      <w:lang w:val="en-US" w:eastAsia="zh-CN"/>
                    </w:rPr>
                    <w:t>10.3</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主要分为生产区、原辅料区和成品堆放区</w:t>
                  </w:r>
                </w:p>
              </w:tc>
              <w:tc>
                <w:tcPr>
                  <w:tcW w:w="487" w:type="pct"/>
                  <w:vMerge w:val="restart"/>
                  <w:tcBorders>
                    <w:tl2br w:val="nil"/>
                    <w:tr2bl w:val="nil"/>
                  </w:tcBorders>
                  <w:noWrap w:val="0"/>
                  <w:vAlign w:val="center"/>
                </w:tcPr>
                <w:p w14:paraId="5D1459E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租赁已建成厂房</w:t>
                  </w:r>
                  <w:r>
                    <w:rPr>
                      <w:rFonts w:hint="default" w:ascii="Times New Roman" w:hAnsi="Times New Roman" w:cs="Times New Roman"/>
                      <w:color w:val="auto"/>
                      <w:sz w:val="21"/>
                      <w:szCs w:val="21"/>
                    </w:rPr>
                    <w:t>，生产线</w:t>
                  </w:r>
                  <w:r>
                    <w:rPr>
                      <w:rFonts w:hint="eastAsia" w:ascii="Times New Roman" w:hAnsi="Times New Roman" w:cs="Times New Roman"/>
                      <w:color w:val="auto"/>
                      <w:sz w:val="21"/>
                      <w:szCs w:val="21"/>
                      <w:lang w:val="en-US" w:eastAsia="zh-CN"/>
                    </w:rPr>
                    <w:t>搬迁</w:t>
                  </w:r>
                  <w:r>
                    <w:rPr>
                      <w:rFonts w:hint="eastAsia" w:cs="Times New Roman"/>
                      <w:color w:val="auto"/>
                      <w:sz w:val="21"/>
                      <w:szCs w:val="21"/>
                      <w:lang w:val="en-US" w:eastAsia="zh-CN"/>
                    </w:rPr>
                    <w:t>，新增1条挤出生产线</w:t>
                  </w:r>
                </w:p>
              </w:tc>
            </w:tr>
            <w:tr w14:paraId="0AE77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8" w:type="pct"/>
                  <w:vMerge w:val="continue"/>
                  <w:tcBorders>
                    <w:tl2br w:val="nil"/>
                    <w:tr2bl w:val="nil"/>
                  </w:tcBorders>
                  <w:noWrap w:val="0"/>
                  <w:vAlign w:val="center"/>
                </w:tcPr>
                <w:p w14:paraId="51370C47">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restart"/>
                  <w:tcBorders>
                    <w:tl2br w:val="nil"/>
                    <w:tr2bl w:val="nil"/>
                  </w:tcBorders>
                  <w:noWrap w:val="0"/>
                  <w:vAlign w:val="center"/>
                </w:tcPr>
                <w:p w14:paraId="35FE31A8">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其中</w:t>
                  </w:r>
                </w:p>
              </w:tc>
              <w:tc>
                <w:tcPr>
                  <w:tcW w:w="567" w:type="pct"/>
                  <w:tcBorders>
                    <w:tl2br w:val="nil"/>
                    <w:tr2bl w:val="nil"/>
                  </w:tcBorders>
                  <w:noWrap w:val="0"/>
                  <w:vAlign w:val="center"/>
                </w:tcPr>
                <w:p w14:paraId="050115AD">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挤出</w:t>
                  </w:r>
                  <w:r>
                    <w:rPr>
                      <w:rFonts w:hint="default" w:ascii="Times New Roman" w:hAnsi="Times New Roman" w:cs="Times New Roman"/>
                      <w:color w:val="auto"/>
                      <w:sz w:val="21"/>
                      <w:szCs w:val="21"/>
                    </w:rPr>
                    <w:t>生产区</w:t>
                  </w:r>
                </w:p>
              </w:tc>
              <w:tc>
                <w:tcPr>
                  <w:tcW w:w="2986" w:type="pct"/>
                  <w:tcBorders>
                    <w:tl2br w:val="nil"/>
                    <w:tr2bl w:val="nil"/>
                  </w:tcBorders>
                  <w:noWrap w:val="0"/>
                  <w:vAlign w:val="center"/>
                </w:tcPr>
                <w:p w14:paraId="1B593BB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455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西侧</w:t>
                  </w:r>
                  <w:r>
                    <w:rPr>
                      <w:rFonts w:hint="default" w:ascii="Times New Roman" w:hAnsi="Times New Roman" w:cs="Times New Roman"/>
                      <w:color w:val="auto"/>
                      <w:sz w:val="21"/>
                      <w:szCs w:val="21"/>
                    </w:rPr>
                    <w:t>，设3条</w:t>
                  </w:r>
                  <w:r>
                    <w:rPr>
                      <w:rFonts w:hint="eastAsia" w:ascii="Times New Roman" w:hAnsi="Times New Roman" w:cs="Times New Roman"/>
                      <w:color w:val="auto"/>
                      <w:sz w:val="21"/>
                      <w:szCs w:val="21"/>
                      <w:lang w:val="en-US" w:eastAsia="zh-CN"/>
                    </w:rPr>
                    <w:t>挤出</w:t>
                  </w:r>
                  <w:r>
                    <w:rPr>
                      <w:rFonts w:hint="default" w:ascii="Times New Roman" w:hAnsi="Times New Roman" w:cs="Times New Roman"/>
                      <w:color w:val="auto"/>
                      <w:sz w:val="21"/>
                      <w:szCs w:val="21"/>
                    </w:rPr>
                    <w:t>生产线</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设置挤出机、搅拌上料一体机、真空定径装置等设备，</w:t>
                  </w:r>
                  <w:r>
                    <w:rPr>
                      <w:rFonts w:hint="eastAsia" w:ascii="Times New Roman" w:hAnsi="Times New Roman" w:cs="Times New Roman"/>
                      <w:color w:val="auto"/>
                      <w:sz w:val="21"/>
                      <w:szCs w:val="21"/>
                      <w:lang w:val="en-US" w:eastAsia="zh-CN"/>
                    </w:rPr>
                    <w:t>主要进行</w:t>
                  </w:r>
                  <w:r>
                    <w:rPr>
                      <w:rFonts w:hint="default" w:ascii="Times New Roman" w:hAnsi="Times New Roman" w:cs="Times New Roman"/>
                      <w:color w:val="auto"/>
                      <w:sz w:val="21"/>
                      <w:szCs w:val="21"/>
                    </w:rPr>
                    <w:t>聚乙烯外护管</w:t>
                  </w:r>
                  <w:r>
                    <w:rPr>
                      <w:rFonts w:hint="eastAsia" w:ascii="Times New Roman" w:hAnsi="Times New Roman" w:cs="Times New Roman"/>
                      <w:color w:val="auto"/>
                      <w:sz w:val="21"/>
                      <w:szCs w:val="21"/>
                      <w:lang w:val="en-US" w:eastAsia="zh-CN"/>
                    </w:rPr>
                    <w:t>的生产</w:t>
                  </w:r>
                </w:p>
              </w:tc>
              <w:tc>
                <w:tcPr>
                  <w:tcW w:w="487" w:type="pct"/>
                  <w:vMerge w:val="continue"/>
                  <w:tcBorders>
                    <w:tl2br w:val="nil"/>
                    <w:tr2bl w:val="nil"/>
                  </w:tcBorders>
                  <w:noWrap w:val="0"/>
                  <w:vAlign w:val="center"/>
                </w:tcPr>
                <w:p w14:paraId="2340D05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69164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8" w:type="pct"/>
                  <w:vMerge w:val="continue"/>
                  <w:tcBorders>
                    <w:tl2br w:val="nil"/>
                    <w:tr2bl w:val="nil"/>
                  </w:tcBorders>
                  <w:noWrap w:val="0"/>
                  <w:vAlign w:val="center"/>
                </w:tcPr>
                <w:p w14:paraId="4B6D0CBD">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7E7BF3F0">
                  <w:pPr>
                    <w:adjustRightInd w:val="0"/>
                    <w:snapToGrid w:val="0"/>
                    <w:jc w:val="center"/>
                    <w:rPr>
                      <w:rFonts w:hint="eastAsia" w:ascii="Times New Roman" w:hAnsi="Times New Roman" w:cs="Times New Roman"/>
                      <w:color w:val="auto"/>
                      <w:sz w:val="21"/>
                      <w:szCs w:val="21"/>
                      <w:lang w:val="en-US" w:eastAsia="zh-CN"/>
                    </w:rPr>
                  </w:pPr>
                </w:p>
              </w:tc>
              <w:tc>
                <w:tcPr>
                  <w:tcW w:w="567" w:type="pct"/>
                  <w:tcBorders>
                    <w:tl2br w:val="nil"/>
                    <w:tr2bl w:val="nil"/>
                  </w:tcBorders>
                  <w:noWrap w:val="0"/>
                  <w:vAlign w:val="center"/>
                </w:tcPr>
                <w:p w14:paraId="4B97546F">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发泡</w:t>
                  </w:r>
                  <w:r>
                    <w:rPr>
                      <w:rFonts w:hint="default" w:ascii="Times New Roman" w:hAnsi="Times New Roman" w:cs="Times New Roman"/>
                      <w:color w:val="auto"/>
                      <w:sz w:val="21"/>
                      <w:szCs w:val="21"/>
                    </w:rPr>
                    <w:t>生产区</w:t>
                  </w:r>
                </w:p>
              </w:tc>
              <w:tc>
                <w:tcPr>
                  <w:tcW w:w="2986" w:type="pct"/>
                  <w:tcBorders>
                    <w:tl2br w:val="nil"/>
                    <w:tr2bl w:val="nil"/>
                  </w:tcBorders>
                  <w:noWrap w:val="0"/>
                  <w:vAlign w:val="center"/>
                </w:tcPr>
                <w:p w14:paraId="10D10D9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300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西南侧</w:t>
                  </w:r>
                  <w:r>
                    <w:rPr>
                      <w:rFonts w:hint="default" w:ascii="Times New Roman" w:hAnsi="Times New Roman" w:cs="Times New Roman"/>
                      <w:color w:val="auto"/>
                      <w:sz w:val="21"/>
                      <w:szCs w:val="21"/>
                    </w:rPr>
                    <w:t>，布设2条聚氨酯保温管生产线</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设置发泡生产机组、等设备，</w:t>
                  </w:r>
                  <w:r>
                    <w:rPr>
                      <w:rFonts w:hint="eastAsia" w:ascii="Times New Roman" w:hAnsi="Times New Roman" w:cs="Times New Roman"/>
                      <w:color w:val="auto"/>
                      <w:sz w:val="21"/>
                      <w:szCs w:val="21"/>
                      <w:lang w:val="en-US" w:eastAsia="zh-CN"/>
                    </w:rPr>
                    <w:t>主要进行聚氨酯保温管的生产</w:t>
                  </w:r>
                </w:p>
              </w:tc>
              <w:tc>
                <w:tcPr>
                  <w:tcW w:w="487" w:type="pct"/>
                  <w:vMerge w:val="continue"/>
                  <w:tcBorders>
                    <w:tl2br w:val="nil"/>
                    <w:tr2bl w:val="nil"/>
                  </w:tcBorders>
                  <w:noWrap w:val="0"/>
                  <w:vAlign w:val="center"/>
                </w:tcPr>
                <w:p w14:paraId="0AD009A8">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32E92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2E4A6BF6">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E18B9BD">
                  <w:pPr>
                    <w:adjustRightInd w:val="0"/>
                    <w:snapToGrid w:val="0"/>
                    <w:jc w:val="center"/>
                    <w:rPr>
                      <w:rFonts w:hint="eastAsia" w:ascii="Times New Roman" w:hAnsi="Times New Roman" w:cs="Times New Roman"/>
                      <w:color w:val="auto"/>
                      <w:sz w:val="21"/>
                      <w:szCs w:val="21"/>
                      <w:lang w:val="en-US" w:eastAsia="zh-CN"/>
                    </w:rPr>
                  </w:pPr>
                </w:p>
              </w:tc>
              <w:tc>
                <w:tcPr>
                  <w:tcW w:w="567" w:type="pct"/>
                  <w:tcBorders>
                    <w:tl2br w:val="nil"/>
                    <w:tr2bl w:val="nil"/>
                  </w:tcBorders>
                  <w:noWrap w:val="0"/>
                  <w:vAlign w:val="center"/>
                </w:tcPr>
                <w:p w14:paraId="2AA061A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除锈作业区</w:t>
                  </w:r>
                </w:p>
              </w:tc>
              <w:tc>
                <w:tcPr>
                  <w:tcW w:w="2986" w:type="pct"/>
                  <w:tcBorders>
                    <w:tl2br w:val="nil"/>
                    <w:tr2bl w:val="nil"/>
                  </w:tcBorders>
                  <w:noWrap w:val="0"/>
                  <w:vAlign w:val="center"/>
                </w:tcPr>
                <w:p w14:paraId="2E2B287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150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西南侧</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配备除锈机1台，</w:t>
                  </w:r>
                  <w:r>
                    <w:rPr>
                      <w:rFonts w:hint="eastAsia" w:cs="Times New Roman"/>
                      <w:color w:val="auto"/>
                      <w:sz w:val="21"/>
                      <w:szCs w:val="21"/>
                      <w:lang w:val="en-US" w:eastAsia="zh-CN"/>
                    </w:rPr>
                    <w:t>设置除锈机等设备，</w:t>
                  </w:r>
                  <w:r>
                    <w:rPr>
                      <w:rFonts w:hint="eastAsia" w:ascii="Times New Roman" w:hAnsi="Times New Roman" w:cs="Times New Roman"/>
                      <w:color w:val="auto"/>
                      <w:sz w:val="21"/>
                      <w:szCs w:val="21"/>
                      <w:lang w:val="en-US" w:eastAsia="zh-CN"/>
                    </w:rPr>
                    <w:t>主要进行钢管的除锈</w:t>
                  </w:r>
                </w:p>
              </w:tc>
              <w:tc>
                <w:tcPr>
                  <w:tcW w:w="487" w:type="pct"/>
                  <w:vMerge w:val="continue"/>
                  <w:tcBorders>
                    <w:tl2br w:val="nil"/>
                    <w:tr2bl w:val="nil"/>
                  </w:tcBorders>
                  <w:noWrap w:val="0"/>
                  <w:vAlign w:val="center"/>
                </w:tcPr>
                <w:p w14:paraId="5D03633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79A32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8" w:type="pct"/>
                  <w:vMerge w:val="continue"/>
                  <w:tcBorders>
                    <w:tl2br w:val="nil"/>
                    <w:tr2bl w:val="nil"/>
                  </w:tcBorders>
                  <w:noWrap w:val="0"/>
                  <w:vAlign w:val="center"/>
                </w:tcPr>
                <w:p w14:paraId="23B54010">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7A02117B">
                  <w:pPr>
                    <w:adjustRightInd w:val="0"/>
                    <w:snapToGrid w:val="0"/>
                    <w:jc w:val="center"/>
                    <w:rPr>
                      <w:rFonts w:hint="eastAsia" w:ascii="Times New Roman" w:hAnsi="Times New Roman" w:cs="Times New Roman"/>
                      <w:color w:val="auto"/>
                      <w:sz w:val="21"/>
                      <w:szCs w:val="21"/>
                      <w:lang w:val="en-US" w:eastAsia="zh-CN"/>
                    </w:rPr>
                  </w:pPr>
                </w:p>
              </w:tc>
              <w:tc>
                <w:tcPr>
                  <w:tcW w:w="567" w:type="pct"/>
                  <w:tcBorders>
                    <w:tl2br w:val="nil"/>
                    <w:tr2bl w:val="nil"/>
                  </w:tcBorders>
                  <w:noWrap w:val="0"/>
                  <w:vAlign w:val="center"/>
                </w:tcPr>
                <w:p w14:paraId="6DC60C9A">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穿管作业区</w:t>
                  </w:r>
                </w:p>
              </w:tc>
              <w:tc>
                <w:tcPr>
                  <w:tcW w:w="2986" w:type="pct"/>
                  <w:tcBorders>
                    <w:tl2br w:val="nil"/>
                    <w:tr2bl w:val="nil"/>
                  </w:tcBorders>
                  <w:noWrap w:val="0"/>
                  <w:vAlign w:val="center"/>
                </w:tcPr>
                <w:p w14:paraId="172863D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150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西南侧</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配备穿管机</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设置穿管机、下管机、上管机等设备，</w:t>
                  </w:r>
                  <w:r>
                    <w:rPr>
                      <w:rFonts w:hint="eastAsia" w:ascii="Times New Roman" w:hAnsi="Times New Roman" w:cs="Times New Roman"/>
                      <w:color w:val="auto"/>
                      <w:sz w:val="21"/>
                      <w:szCs w:val="21"/>
                      <w:lang w:val="en-US" w:eastAsia="zh-CN"/>
                    </w:rPr>
                    <w:t>主要进行穿管作业</w:t>
                  </w:r>
                </w:p>
              </w:tc>
              <w:tc>
                <w:tcPr>
                  <w:tcW w:w="487" w:type="pct"/>
                  <w:vMerge w:val="continue"/>
                  <w:tcBorders>
                    <w:tl2br w:val="nil"/>
                    <w:tr2bl w:val="nil"/>
                  </w:tcBorders>
                  <w:noWrap w:val="0"/>
                  <w:vAlign w:val="center"/>
                </w:tcPr>
                <w:p w14:paraId="4AA53FD5">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5E8C4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restart"/>
                  <w:tcBorders>
                    <w:tl2br w:val="nil"/>
                    <w:tr2bl w:val="nil"/>
                  </w:tcBorders>
                  <w:noWrap w:val="0"/>
                  <w:vAlign w:val="center"/>
                </w:tcPr>
                <w:p w14:paraId="48F899F2">
                  <w:pPr>
                    <w:adjustRightInd w:val="0"/>
                    <w:snapToGrid w:val="0"/>
                    <w:ind w:left="-105" w:leftChars="-50" w:right="-105" w:rightChars="-5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依托</w:t>
                  </w:r>
                  <w:r>
                    <w:rPr>
                      <w:rFonts w:hint="default" w:ascii="Times New Roman" w:hAnsi="Times New Roman" w:cs="Times New Roman"/>
                      <w:color w:val="auto"/>
                      <w:sz w:val="21"/>
                      <w:szCs w:val="21"/>
                    </w:rPr>
                    <w:t>工程</w:t>
                  </w:r>
                </w:p>
              </w:tc>
              <w:tc>
                <w:tcPr>
                  <w:tcW w:w="957" w:type="pct"/>
                  <w:gridSpan w:val="2"/>
                  <w:tcBorders>
                    <w:tl2br w:val="nil"/>
                    <w:tr2bl w:val="nil"/>
                  </w:tcBorders>
                  <w:noWrap w:val="0"/>
                  <w:vAlign w:val="center"/>
                </w:tcPr>
                <w:p w14:paraId="703285D6">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宿舍</w:t>
                  </w:r>
                </w:p>
              </w:tc>
              <w:tc>
                <w:tcPr>
                  <w:tcW w:w="2986" w:type="pct"/>
                  <w:tcBorders>
                    <w:tl2br w:val="nil"/>
                    <w:tr2bl w:val="nil"/>
                  </w:tcBorders>
                  <w:noWrap w:val="0"/>
                  <w:vAlign w:val="center"/>
                </w:tcPr>
                <w:p w14:paraId="64A8403F">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间，租赁</w:t>
                  </w:r>
                  <w:r>
                    <w:rPr>
                      <w:rFonts w:hint="eastAsia" w:cs="Times New Roman"/>
                      <w:color w:val="auto"/>
                      <w:sz w:val="21"/>
                      <w:szCs w:val="21"/>
                      <w:lang w:eastAsia="zh-CN"/>
                    </w:rPr>
                    <w:t>陕西宝信金属科技有限公司</w:t>
                  </w:r>
                  <w:r>
                    <w:rPr>
                      <w:rFonts w:hint="eastAsia" w:ascii="Times New Roman" w:hAnsi="Times New Roman" w:eastAsia="宋体" w:cs="Times New Roman"/>
                      <w:color w:val="auto"/>
                      <w:sz w:val="21"/>
                      <w:szCs w:val="21"/>
                      <w:lang w:val="en-US" w:eastAsia="zh-CN"/>
                    </w:rPr>
                    <w:t>现有宿舍</w:t>
                  </w:r>
                </w:p>
              </w:tc>
              <w:tc>
                <w:tcPr>
                  <w:tcW w:w="487" w:type="pct"/>
                  <w:tcBorders>
                    <w:tl2br w:val="nil"/>
                    <w:tr2bl w:val="nil"/>
                  </w:tcBorders>
                  <w:noWrap w:val="0"/>
                  <w:vAlign w:val="center"/>
                </w:tcPr>
                <w:p w14:paraId="1FAD784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p>
              </w:tc>
            </w:tr>
            <w:tr w14:paraId="39C3E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616402A8">
                  <w:pPr>
                    <w:adjustRightInd w:val="0"/>
                    <w:snapToGrid w:val="0"/>
                    <w:ind w:left="-105" w:leftChars="-50" w:right="-105" w:rightChars="-50"/>
                    <w:jc w:val="center"/>
                    <w:rPr>
                      <w:rFonts w:hint="eastAsia" w:ascii="Times New Roman" w:hAnsi="Times New Roman" w:cs="Times New Roman"/>
                      <w:color w:val="auto"/>
                      <w:sz w:val="21"/>
                      <w:szCs w:val="21"/>
                      <w:lang w:val="en-US" w:eastAsia="zh-CN"/>
                    </w:rPr>
                  </w:pPr>
                </w:p>
              </w:tc>
              <w:tc>
                <w:tcPr>
                  <w:tcW w:w="957" w:type="pct"/>
                  <w:gridSpan w:val="2"/>
                  <w:tcBorders>
                    <w:tl2br w:val="nil"/>
                    <w:tr2bl w:val="nil"/>
                  </w:tcBorders>
                  <w:noWrap w:val="0"/>
                  <w:vAlign w:val="center"/>
                </w:tcPr>
                <w:p w14:paraId="08C2AA19">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办公室</w:t>
                  </w:r>
                </w:p>
              </w:tc>
              <w:tc>
                <w:tcPr>
                  <w:tcW w:w="2986" w:type="pct"/>
                  <w:tcBorders>
                    <w:tl2br w:val="nil"/>
                    <w:tr2bl w:val="nil"/>
                  </w:tcBorders>
                  <w:noWrap w:val="0"/>
                  <w:vAlign w:val="center"/>
                </w:tcPr>
                <w:p w14:paraId="56430CA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间，租赁</w:t>
                  </w:r>
                  <w:r>
                    <w:rPr>
                      <w:rFonts w:hint="eastAsia" w:cs="Times New Roman"/>
                      <w:color w:val="auto"/>
                      <w:sz w:val="21"/>
                      <w:szCs w:val="21"/>
                      <w:lang w:eastAsia="zh-CN"/>
                    </w:rPr>
                    <w:t>陕西宝信金属科技有限公司</w:t>
                  </w:r>
                  <w:r>
                    <w:rPr>
                      <w:rFonts w:hint="eastAsia" w:ascii="Times New Roman" w:hAnsi="Times New Roman" w:eastAsia="宋体" w:cs="Times New Roman"/>
                      <w:color w:val="auto"/>
                      <w:sz w:val="21"/>
                      <w:szCs w:val="21"/>
                      <w:lang w:val="en-US" w:eastAsia="zh-CN"/>
                    </w:rPr>
                    <w:t>现有办公室</w:t>
                  </w:r>
                </w:p>
              </w:tc>
              <w:tc>
                <w:tcPr>
                  <w:tcW w:w="487" w:type="pct"/>
                  <w:tcBorders>
                    <w:tl2br w:val="nil"/>
                    <w:tr2bl w:val="nil"/>
                  </w:tcBorders>
                  <w:noWrap w:val="0"/>
                  <w:vAlign w:val="center"/>
                </w:tcPr>
                <w:p w14:paraId="3836B7C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14:paraId="374D8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restart"/>
                  <w:tcBorders>
                    <w:tl2br w:val="nil"/>
                    <w:tr2bl w:val="nil"/>
                  </w:tcBorders>
                  <w:noWrap w:val="0"/>
                  <w:vAlign w:val="center"/>
                </w:tcPr>
                <w:p w14:paraId="173AF348">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390" w:type="pct"/>
                  <w:vMerge w:val="restart"/>
                  <w:tcBorders>
                    <w:tl2br w:val="nil"/>
                    <w:tr2bl w:val="nil"/>
                  </w:tcBorders>
                  <w:noWrap w:val="0"/>
                  <w:vAlign w:val="center"/>
                </w:tcPr>
                <w:p w14:paraId="2D2C0D4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原辅料区</w:t>
                  </w:r>
                </w:p>
              </w:tc>
              <w:tc>
                <w:tcPr>
                  <w:tcW w:w="567" w:type="pct"/>
                  <w:tcBorders>
                    <w:tl2br w:val="nil"/>
                    <w:tr2bl w:val="nil"/>
                  </w:tcBorders>
                  <w:noWrap w:val="0"/>
                  <w:vAlign w:val="center"/>
                </w:tcPr>
                <w:p w14:paraId="4003EBF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钢管存放区</w:t>
                  </w:r>
                </w:p>
              </w:tc>
              <w:tc>
                <w:tcPr>
                  <w:tcW w:w="2986" w:type="pct"/>
                  <w:tcBorders>
                    <w:tl2br w:val="nil"/>
                    <w:tr2bl w:val="nil"/>
                  </w:tcBorders>
                  <w:noWrap w:val="0"/>
                  <w:vAlign w:val="center"/>
                </w:tcPr>
                <w:p w14:paraId="501D2875">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位于厂房</w:t>
                  </w:r>
                  <w:r>
                    <w:rPr>
                      <w:rFonts w:hint="eastAsia"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rPr>
                    <w:t>南</w:t>
                  </w:r>
                  <w:r>
                    <w:rPr>
                      <w:rFonts w:hint="eastAsia" w:ascii="Times New Roman" w:hAnsi="Times New Roman" w:cs="Times New Roman"/>
                      <w:color w:val="auto"/>
                      <w:sz w:val="21"/>
                      <w:szCs w:val="21"/>
                      <w:lang w:val="en-US" w:eastAsia="zh-CN"/>
                    </w:rPr>
                    <w:t>角</w:t>
                  </w: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320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用于</w:t>
                  </w:r>
                  <w:r>
                    <w:rPr>
                      <w:rFonts w:hint="default" w:ascii="Times New Roman" w:hAnsi="Times New Roman" w:cs="Times New Roman"/>
                      <w:color w:val="auto"/>
                      <w:sz w:val="21"/>
                      <w:szCs w:val="21"/>
                    </w:rPr>
                    <w:t>存放</w:t>
                  </w:r>
                  <w:r>
                    <w:rPr>
                      <w:rFonts w:hint="eastAsia" w:ascii="Times New Roman" w:hAnsi="Times New Roman" w:cs="Times New Roman"/>
                      <w:color w:val="auto"/>
                      <w:sz w:val="21"/>
                      <w:szCs w:val="21"/>
                      <w:lang w:val="en-US" w:eastAsia="zh-CN"/>
                    </w:rPr>
                    <w:t>生产用</w:t>
                  </w:r>
                  <w:r>
                    <w:rPr>
                      <w:rFonts w:hint="default" w:ascii="Times New Roman" w:hAnsi="Times New Roman" w:cs="Times New Roman"/>
                      <w:color w:val="auto"/>
                      <w:sz w:val="21"/>
                      <w:szCs w:val="21"/>
                    </w:rPr>
                    <w:t>钢管</w:t>
                  </w:r>
                </w:p>
              </w:tc>
              <w:tc>
                <w:tcPr>
                  <w:tcW w:w="487" w:type="pct"/>
                  <w:vMerge w:val="restart"/>
                  <w:tcBorders>
                    <w:tl2br w:val="nil"/>
                    <w:tr2bl w:val="nil"/>
                  </w:tcBorders>
                  <w:noWrap w:val="0"/>
                  <w:vAlign w:val="center"/>
                </w:tcPr>
                <w:p w14:paraId="27871F11">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厂房</w:t>
                  </w:r>
                  <w:r>
                    <w:rPr>
                      <w:rFonts w:hint="default" w:ascii="Times New Roman" w:hAnsi="Times New Roman" w:cs="Times New Roman"/>
                      <w:color w:val="auto"/>
                      <w:sz w:val="21"/>
                      <w:szCs w:val="21"/>
                    </w:rPr>
                    <w:t>依托</w:t>
                  </w:r>
                </w:p>
              </w:tc>
            </w:tr>
            <w:tr w14:paraId="75DA3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30803207">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748F494">
                  <w:pPr>
                    <w:adjustRightInd w:val="0"/>
                    <w:snapToGrid w:val="0"/>
                    <w:jc w:val="center"/>
                    <w:rPr>
                      <w:rFonts w:hint="default" w:ascii="Times New Roman" w:hAnsi="Times New Roman" w:cs="Times New Roman"/>
                      <w:color w:val="auto"/>
                      <w:sz w:val="21"/>
                      <w:szCs w:val="21"/>
                    </w:rPr>
                  </w:pPr>
                </w:p>
              </w:tc>
              <w:tc>
                <w:tcPr>
                  <w:tcW w:w="567" w:type="pct"/>
                  <w:tcBorders>
                    <w:tl2br w:val="nil"/>
                    <w:tr2bl w:val="nil"/>
                  </w:tcBorders>
                  <w:noWrap w:val="0"/>
                  <w:vAlign w:val="center"/>
                </w:tcPr>
                <w:p w14:paraId="57A5973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原料存放区</w:t>
                  </w:r>
                </w:p>
              </w:tc>
              <w:tc>
                <w:tcPr>
                  <w:tcW w:w="2986" w:type="pct"/>
                  <w:tcBorders>
                    <w:tl2br w:val="nil"/>
                    <w:tr2bl w:val="nil"/>
                  </w:tcBorders>
                  <w:noWrap w:val="0"/>
                  <w:vAlign w:val="center"/>
                </w:tcPr>
                <w:p w14:paraId="7F0D8DA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西北</w:t>
                  </w:r>
                  <w:r>
                    <w:rPr>
                      <w:rFonts w:hint="eastAsia" w:ascii="Times New Roman" w:hAnsi="Times New Roman" w:cs="Times New Roman"/>
                      <w:color w:val="auto"/>
                      <w:sz w:val="21"/>
                      <w:szCs w:val="21"/>
                      <w:lang w:val="en-US" w:eastAsia="zh-CN"/>
                    </w:rPr>
                    <w:t>角</w:t>
                  </w: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224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用于</w:t>
                  </w:r>
                  <w:r>
                    <w:rPr>
                      <w:rFonts w:hint="default" w:ascii="Times New Roman" w:hAnsi="Times New Roman" w:cs="Times New Roman"/>
                      <w:color w:val="auto"/>
                      <w:sz w:val="21"/>
                      <w:szCs w:val="21"/>
                    </w:rPr>
                    <w:t>存放聚乙烯树脂、色母、异氰酸酯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聚醚组合料</w:t>
                  </w:r>
                  <w:r>
                    <w:rPr>
                      <w:rFonts w:hint="default" w:ascii="Times New Roman" w:hAnsi="Times New Roman" w:cs="Times New Roman"/>
                      <w:color w:val="auto"/>
                      <w:sz w:val="21"/>
                      <w:szCs w:val="21"/>
                    </w:rPr>
                    <w:t>等原料</w:t>
                  </w:r>
                </w:p>
              </w:tc>
              <w:tc>
                <w:tcPr>
                  <w:tcW w:w="487" w:type="pct"/>
                  <w:vMerge w:val="continue"/>
                  <w:tcBorders>
                    <w:tl2br w:val="nil"/>
                    <w:tr2bl w:val="nil"/>
                  </w:tcBorders>
                  <w:noWrap w:val="0"/>
                  <w:vAlign w:val="center"/>
                </w:tcPr>
                <w:p w14:paraId="31C61649">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796A2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68FF5385">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restart"/>
                  <w:tcBorders>
                    <w:tl2br w:val="nil"/>
                    <w:tr2bl w:val="nil"/>
                  </w:tcBorders>
                  <w:noWrap w:val="0"/>
                  <w:vAlign w:val="center"/>
                </w:tcPr>
                <w:p w14:paraId="5011E8D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成品堆放区</w:t>
                  </w:r>
                </w:p>
              </w:tc>
              <w:tc>
                <w:tcPr>
                  <w:tcW w:w="567" w:type="pct"/>
                  <w:tcBorders>
                    <w:tl2br w:val="nil"/>
                    <w:tr2bl w:val="nil"/>
                  </w:tcBorders>
                  <w:noWrap w:val="0"/>
                  <w:vAlign w:val="center"/>
                </w:tcPr>
                <w:p w14:paraId="3025B2A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外护管成品区</w:t>
                  </w:r>
                </w:p>
              </w:tc>
              <w:tc>
                <w:tcPr>
                  <w:tcW w:w="2986" w:type="pct"/>
                  <w:tcBorders>
                    <w:tl2br w:val="nil"/>
                    <w:tr2bl w:val="nil"/>
                  </w:tcBorders>
                  <w:noWrap w:val="0"/>
                  <w:vAlign w:val="center"/>
                </w:tcPr>
                <w:p w14:paraId="0003D6A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64</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，位于生产</w:t>
                  </w:r>
                  <w:r>
                    <w:rPr>
                      <w:rFonts w:hint="eastAsia" w:cs="Times New Roman"/>
                      <w:color w:val="auto"/>
                      <w:sz w:val="21"/>
                      <w:szCs w:val="21"/>
                      <w:lang w:val="en-US" w:eastAsia="zh-CN"/>
                    </w:rPr>
                    <w:t>厂房东</w:t>
                  </w:r>
                  <w:r>
                    <w:rPr>
                      <w:rFonts w:hint="eastAsia" w:ascii="Times New Roman" w:hAnsi="Times New Roman" w:cs="Times New Roman"/>
                      <w:color w:val="auto"/>
                      <w:sz w:val="21"/>
                      <w:szCs w:val="21"/>
                      <w:lang w:val="en-US" w:eastAsia="zh-CN"/>
                    </w:rPr>
                    <w:t>北侧，用于存放聚乙烯外护管</w:t>
                  </w:r>
                </w:p>
              </w:tc>
              <w:tc>
                <w:tcPr>
                  <w:tcW w:w="487" w:type="pct"/>
                  <w:vMerge w:val="continue"/>
                  <w:tcBorders>
                    <w:tl2br w:val="nil"/>
                    <w:tr2bl w:val="nil"/>
                  </w:tcBorders>
                  <w:noWrap w:val="0"/>
                  <w:vAlign w:val="center"/>
                </w:tcPr>
                <w:p w14:paraId="17927890">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p>
              </w:tc>
            </w:tr>
            <w:tr w14:paraId="0AA98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2B306314">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FB9BADC">
                  <w:pPr>
                    <w:adjustRightInd w:val="0"/>
                    <w:snapToGrid w:val="0"/>
                    <w:jc w:val="center"/>
                    <w:rPr>
                      <w:rFonts w:hint="default" w:ascii="Times New Roman" w:hAnsi="Times New Roman" w:cs="Times New Roman"/>
                      <w:color w:val="auto"/>
                      <w:sz w:val="21"/>
                      <w:szCs w:val="21"/>
                    </w:rPr>
                  </w:pPr>
                </w:p>
              </w:tc>
              <w:tc>
                <w:tcPr>
                  <w:tcW w:w="567" w:type="pct"/>
                  <w:tcBorders>
                    <w:tl2br w:val="nil"/>
                    <w:tr2bl w:val="nil"/>
                  </w:tcBorders>
                  <w:noWrap w:val="0"/>
                  <w:vAlign w:val="center"/>
                </w:tcPr>
                <w:p w14:paraId="7F78F4FB">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保温管成品区</w:t>
                  </w:r>
                </w:p>
              </w:tc>
              <w:tc>
                <w:tcPr>
                  <w:tcW w:w="2986" w:type="pct"/>
                  <w:tcBorders>
                    <w:tl2br w:val="nil"/>
                    <w:tr2bl w:val="nil"/>
                  </w:tcBorders>
                  <w:noWrap w:val="0"/>
                  <w:vAlign w:val="center"/>
                </w:tcPr>
                <w:p w14:paraId="0CCBC3CA">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600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，位于生产</w:t>
                  </w:r>
                  <w:r>
                    <w:rPr>
                      <w:rFonts w:hint="eastAsia" w:cs="Times New Roman"/>
                      <w:color w:val="auto"/>
                      <w:sz w:val="21"/>
                      <w:szCs w:val="21"/>
                      <w:lang w:val="en-US" w:eastAsia="zh-CN"/>
                    </w:rPr>
                    <w:t>厂房东</w:t>
                  </w:r>
                  <w:r>
                    <w:rPr>
                      <w:rFonts w:hint="eastAsia" w:ascii="Times New Roman" w:hAnsi="Times New Roman" w:cs="Times New Roman"/>
                      <w:color w:val="auto"/>
                      <w:sz w:val="21"/>
                      <w:szCs w:val="21"/>
                      <w:lang w:val="en-US" w:eastAsia="zh-CN"/>
                    </w:rPr>
                    <w:t>南侧，用于存放聚氨酯保温管</w:t>
                  </w:r>
                </w:p>
              </w:tc>
              <w:tc>
                <w:tcPr>
                  <w:tcW w:w="487" w:type="pct"/>
                  <w:vMerge w:val="continue"/>
                  <w:tcBorders>
                    <w:tl2br w:val="nil"/>
                    <w:tr2bl w:val="nil"/>
                  </w:tcBorders>
                  <w:noWrap w:val="0"/>
                  <w:vAlign w:val="center"/>
                </w:tcPr>
                <w:p w14:paraId="05A2AE87">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p>
              </w:tc>
            </w:tr>
            <w:tr w14:paraId="7F834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34598C61">
                  <w:pPr>
                    <w:adjustRightInd w:val="0"/>
                    <w:snapToGrid w:val="0"/>
                    <w:ind w:left="-105" w:leftChars="-50" w:right="-105" w:rightChars="-50"/>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4900155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废料区</w:t>
                  </w:r>
                </w:p>
              </w:tc>
              <w:tc>
                <w:tcPr>
                  <w:tcW w:w="2986" w:type="pct"/>
                  <w:tcBorders>
                    <w:tl2br w:val="nil"/>
                    <w:tr2bl w:val="nil"/>
                  </w:tcBorders>
                  <w:noWrap w:val="0"/>
                  <w:vAlign w:val="center"/>
                </w:tcPr>
                <w:p w14:paraId="6671670F">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占地面积约</w:t>
                  </w: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北侧</w:t>
                  </w:r>
                  <w:r>
                    <w:rPr>
                      <w:rFonts w:hint="default" w:ascii="Times New Roman" w:hAnsi="Times New Roman" w:cs="Times New Roman"/>
                      <w:color w:val="auto"/>
                      <w:sz w:val="21"/>
                      <w:szCs w:val="21"/>
                    </w:rPr>
                    <w:t>，主要存放废包装袋、废包装桶等一般固废</w:t>
                  </w:r>
                </w:p>
              </w:tc>
              <w:tc>
                <w:tcPr>
                  <w:tcW w:w="487" w:type="pct"/>
                  <w:vMerge w:val="continue"/>
                  <w:tcBorders>
                    <w:tl2br w:val="nil"/>
                    <w:tr2bl w:val="nil"/>
                  </w:tcBorders>
                  <w:noWrap w:val="0"/>
                  <w:vAlign w:val="center"/>
                </w:tcPr>
                <w:p w14:paraId="6544975A">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p>
              </w:tc>
            </w:tr>
            <w:tr w14:paraId="0A644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649C01F6">
                  <w:pPr>
                    <w:adjustRightInd w:val="0"/>
                    <w:snapToGrid w:val="0"/>
                    <w:ind w:left="-105" w:leftChars="-50" w:right="-105" w:rightChars="-50"/>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360FA9AE">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危废贮存库</w:t>
                  </w:r>
                </w:p>
              </w:tc>
              <w:tc>
                <w:tcPr>
                  <w:tcW w:w="2986" w:type="pct"/>
                  <w:tcBorders>
                    <w:tl2br w:val="nil"/>
                    <w:tr2bl w:val="nil"/>
                  </w:tcBorders>
                  <w:noWrap w:val="0"/>
                  <w:vAlign w:val="center"/>
                </w:tcPr>
                <w:p w14:paraId="3C49816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占地面积约</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w:t>
                  </w:r>
                  <w:r>
                    <w:rPr>
                      <w:rFonts w:hint="eastAsia" w:ascii="Times New Roman" w:hAnsi="Times New Roman" w:cs="Times New Roman"/>
                      <w:color w:val="auto"/>
                      <w:sz w:val="21"/>
                      <w:szCs w:val="21"/>
                      <w:lang w:val="en-US" w:eastAsia="zh-CN"/>
                    </w:rPr>
                    <w:t>厂房西</w:t>
                  </w:r>
                  <w:r>
                    <w:rPr>
                      <w:rFonts w:hint="eastAsia" w:cs="Times New Roman"/>
                      <w:color w:val="auto"/>
                      <w:sz w:val="21"/>
                      <w:szCs w:val="21"/>
                      <w:lang w:val="en-US" w:eastAsia="zh-CN"/>
                    </w:rPr>
                    <w:t>侧</w:t>
                  </w:r>
                  <w:r>
                    <w:rPr>
                      <w:rFonts w:hint="default" w:ascii="Times New Roman" w:hAnsi="Times New Roman" w:cs="Times New Roman"/>
                      <w:color w:val="auto"/>
                      <w:sz w:val="21"/>
                      <w:szCs w:val="21"/>
                    </w:rPr>
                    <w:t>，主要存放废机油、废活性炭等危废</w:t>
                  </w:r>
                </w:p>
              </w:tc>
              <w:tc>
                <w:tcPr>
                  <w:tcW w:w="487" w:type="pct"/>
                  <w:vMerge w:val="continue"/>
                  <w:tcBorders>
                    <w:tl2br w:val="nil"/>
                    <w:tr2bl w:val="nil"/>
                  </w:tcBorders>
                  <w:noWrap w:val="0"/>
                  <w:vAlign w:val="center"/>
                </w:tcPr>
                <w:p w14:paraId="2DDB3411">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p>
              </w:tc>
            </w:tr>
            <w:tr w14:paraId="574AD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restart"/>
                  <w:tcBorders>
                    <w:tl2br w:val="nil"/>
                    <w:tr2bl w:val="nil"/>
                  </w:tcBorders>
                  <w:noWrap w:val="0"/>
                  <w:vAlign w:val="center"/>
                </w:tcPr>
                <w:p w14:paraId="3686B05C">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957" w:type="pct"/>
                  <w:gridSpan w:val="2"/>
                  <w:tcBorders>
                    <w:tl2br w:val="nil"/>
                    <w:tr2bl w:val="nil"/>
                  </w:tcBorders>
                  <w:noWrap w:val="0"/>
                  <w:vAlign w:val="center"/>
                </w:tcPr>
                <w:p w14:paraId="3DD60B2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w:t>
                  </w:r>
                </w:p>
              </w:tc>
              <w:tc>
                <w:tcPr>
                  <w:tcW w:w="2986" w:type="pct"/>
                  <w:tcBorders>
                    <w:tl2br w:val="nil"/>
                    <w:tr2bl w:val="nil"/>
                  </w:tcBorders>
                  <w:noWrap w:val="0"/>
                  <w:vAlign w:val="center"/>
                </w:tcPr>
                <w:p w14:paraId="0C401DB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w:t>
                  </w:r>
                  <w:r>
                    <w:rPr>
                      <w:rFonts w:hint="eastAsia" w:ascii="Times New Roman" w:hAnsi="Times New Roman" w:cs="Times New Roman"/>
                      <w:color w:val="auto"/>
                      <w:sz w:val="21"/>
                      <w:szCs w:val="21"/>
                      <w:lang w:val="en-US" w:eastAsia="zh-CN"/>
                    </w:rPr>
                    <w:t>市政管网供给</w:t>
                  </w:r>
                </w:p>
              </w:tc>
              <w:tc>
                <w:tcPr>
                  <w:tcW w:w="487" w:type="pct"/>
                  <w:tcBorders>
                    <w:tl2br w:val="nil"/>
                    <w:tr2bl w:val="nil"/>
                  </w:tcBorders>
                  <w:noWrap w:val="0"/>
                  <w:vAlign w:val="center"/>
                </w:tcPr>
                <w:p w14:paraId="7A3758D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已到位</w:t>
                  </w:r>
                </w:p>
              </w:tc>
            </w:tr>
            <w:tr w14:paraId="190D8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8" w:type="pct"/>
                  <w:vMerge w:val="continue"/>
                  <w:tcBorders>
                    <w:tl2br w:val="nil"/>
                    <w:tr2bl w:val="nil"/>
                  </w:tcBorders>
                  <w:noWrap w:val="0"/>
                  <w:vAlign w:val="center"/>
                </w:tcPr>
                <w:p w14:paraId="2F515667">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79FDD93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2986" w:type="pct"/>
                  <w:tcBorders>
                    <w:tl2br w:val="nil"/>
                    <w:tr2bl w:val="nil"/>
                  </w:tcBorders>
                  <w:noWrap w:val="0"/>
                  <w:vAlign w:val="center"/>
                </w:tcPr>
                <w:p w14:paraId="285C36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真空定径装置水箱定期排水用于厂房洒水抑尘；生活污水依托</w:t>
                  </w:r>
                  <w:r>
                    <w:rPr>
                      <w:rFonts w:hint="eastAsia" w:cs="Times New Roman"/>
                      <w:color w:val="auto"/>
                      <w:sz w:val="21"/>
                      <w:szCs w:val="21"/>
                      <w:lang w:val="en-US" w:eastAsia="zh-CN"/>
                    </w:rPr>
                    <w:t>租赁</w:t>
                  </w:r>
                  <w:r>
                    <w:rPr>
                      <w:rFonts w:hint="default" w:ascii="Times New Roman" w:hAnsi="Times New Roman" w:cs="Times New Roman"/>
                      <w:color w:val="auto"/>
                      <w:sz w:val="21"/>
                      <w:szCs w:val="21"/>
                    </w:rPr>
                    <w:t>厂区化粪池</w:t>
                  </w:r>
                  <w:r>
                    <w:rPr>
                      <w:rFonts w:hint="eastAsia" w:ascii="Times New Roman" w:hAnsi="Times New Roman" w:cs="Times New Roman"/>
                      <w:color w:val="auto"/>
                      <w:sz w:val="21"/>
                      <w:szCs w:val="21"/>
                      <w:lang w:val="en-US" w:eastAsia="zh-CN"/>
                    </w:rPr>
                    <w:t>处理后经市政污水管网排至泾河新城第二污水处理厂进一步处理</w:t>
                  </w:r>
                </w:p>
              </w:tc>
              <w:tc>
                <w:tcPr>
                  <w:tcW w:w="487" w:type="pct"/>
                  <w:tcBorders>
                    <w:tl2br w:val="nil"/>
                    <w:tr2bl w:val="nil"/>
                  </w:tcBorders>
                  <w:noWrap w:val="0"/>
                  <w:vAlign w:val="center"/>
                </w:tcPr>
                <w:p w14:paraId="399DD731">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化粪池</w:t>
                  </w:r>
                  <w:r>
                    <w:rPr>
                      <w:rFonts w:hint="default" w:ascii="Times New Roman" w:hAnsi="Times New Roman" w:cs="Times New Roman"/>
                      <w:color w:val="auto"/>
                      <w:sz w:val="21"/>
                      <w:szCs w:val="21"/>
                    </w:rPr>
                    <w:t>依托</w:t>
                  </w:r>
                </w:p>
              </w:tc>
            </w:tr>
            <w:tr w14:paraId="425C5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5F96AC4A">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0FB98C8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2986" w:type="pct"/>
                  <w:tcBorders>
                    <w:tl2br w:val="nil"/>
                    <w:tr2bl w:val="nil"/>
                  </w:tcBorders>
                  <w:noWrap w:val="0"/>
                  <w:vAlign w:val="center"/>
                </w:tcPr>
                <w:p w14:paraId="32E5A7B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由区域电网供给</w:t>
                  </w:r>
                </w:p>
              </w:tc>
              <w:tc>
                <w:tcPr>
                  <w:tcW w:w="487" w:type="pct"/>
                  <w:tcBorders>
                    <w:tl2br w:val="nil"/>
                    <w:tr2bl w:val="nil"/>
                  </w:tcBorders>
                  <w:noWrap w:val="0"/>
                  <w:vAlign w:val="center"/>
                </w:tcPr>
                <w:p w14:paraId="5A7FA8CE">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已到位</w:t>
                  </w:r>
                </w:p>
              </w:tc>
            </w:tr>
            <w:tr w14:paraId="57B44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6481DE95">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0382458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供暖制冷</w:t>
                  </w:r>
                </w:p>
              </w:tc>
              <w:tc>
                <w:tcPr>
                  <w:tcW w:w="2986" w:type="pct"/>
                  <w:tcBorders>
                    <w:tl2br w:val="nil"/>
                    <w:tr2bl w:val="nil"/>
                  </w:tcBorders>
                  <w:noWrap w:val="0"/>
                  <w:vAlign w:val="center"/>
                </w:tcPr>
                <w:p w14:paraId="2BC2E31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宿舍</w:t>
                  </w:r>
                  <w:r>
                    <w:rPr>
                      <w:rFonts w:hint="eastAsia" w:cs="Times New Roman"/>
                      <w:color w:val="auto"/>
                      <w:sz w:val="21"/>
                      <w:szCs w:val="21"/>
                      <w:lang w:val="en-US" w:eastAsia="zh-CN"/>
                    </w:rPr>
                    <w:t>及办公</w:t>
                  </w:r>
                  <w:r>
                    <w:rPr>
                      <w:rFonts w:hint="default" w:ascii="Times New Roman" w:hAnsi="Times New Roman" w:cs="Times New Roman"/>
                      <w:color w:val="auto"/>
                      <w:sz w:val="21"/>
                      <w:szCs w:val="21"/>
                    </w:rPr>
                    <w:t>采用分体式空调，生产区不需要制冷、供暖</w:t>
                  </w:r>
                </w:p>
              </w:tc>
              <w:tc>
                <w:tcPr>
                  <w:tcW w:w="487" w:type="pct"/>
                  <w:tcBorders>
                    <w:tl2br w:val="nil"/>
                    <w:tr2bl w:val="nil"/>
                  </w:tcBorders>
                  <w:noWrap w:val="0"/>
                  <w:vAlign w:val="center"/>
                </w:tcPr>
                <w:p w14:paraId="3E7DBDD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r>
            <w:tr w14:paraId="3394F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restart"/>
                  <w:tcBorders>
                    <w:tl2br w:val="nil"/>
                    <w:tr2bl w:val="nil"/>
                  </w:tcBorders>
                  <w:noWrap w:val="0"/>
                  <w:vAlign w:val="center"/>
                </w:tcPr>
                <w:p w14:paraId="708B39CD">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390" w:type="pct"/>
                  <w:vMerge w:val="restart"/>
                  <w:tcBorders>
                    <w:tl2br w:val="nil"/>
                    <w:tr2bl w:val="nil"/>
                  </w:tcBorders>
                  <w:noWrap w:val="0"/>
                  <w:vAlign w:val="center"/>
                </w:tcPr>
                <w:p w14:paraId="7AF47BC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567" w:type="pct"/>
                  <w:tcBorders>
                    <w:tl2br w:val="nil"/>
                    <w:tr2bl w:val="nil"/>
                  </w:tcBorders>
                  <w:noWrap w:val="0"/>
                  <w:vAlign w:val="center"/>
                </w:tcPr>
                <w:p w14:paraId="753E5A4B">
                  <w:pPr>
                    <w:adjustRightInd w:val="0"/>
                    <w:snapToGrid w:val="0"/>
                    <w:ind w:left="-105" w:leftChars="-50" w:right="-105" w:rightChars="-5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挤出废气</w:t>
                  </w:r>
                </w:p>
              </w:tc>
              <w:tc>
                <w:tcPr>
                  <w:tcW w:w="2986" w:type="pct"/>
                  <w:tcBorders>
                    <w:tl2br w:val="nil"/>
                    <w:tr2bl w:val="nil"/>
                  </w:tcBorders>
                  <w:noWrap w:val="0"/>
                  <w:vAlign w:val="center"/>
                </w:tcPr>
                <w:p w14:paraId="4CE6438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sz w:val="21"/>
                      <w:szCs w:val="21"/>
                      <w:lang w:val="en-US" w:eastAsia="zh-CN"/>
                    </w:rPr>
                    <w:t>采用</w:t>
                  </w:r>
                  <w:r>
                    <w:rPr>
                      <w:rFonts w:hint="eastAsia" w:cs="Times New Roman"/>
                      <w:color w:val="auto"/>
                      <w:sz w:val="21"/>
                      <w:szCs w:val="21"/>
                      <w:lang w:eastAsia="zh-CN"/>
                    </w:rPr>
                    <w:t>“</w:t>
                  </w:r>
                  <w:r>
                    <w:rPr>
                      <w:rFonts w:hint="default" w:ascii="Times New Roman" w:hAnsi="Times New Roman" w:cs="Times New Roman"/>
                      <w:color w:val="auto"/>
                      <w:sz w:val="21"/>
                      <w:szCs w:val="21"/>
                    </w:rPr>
                    <w:t>集气罩</w:t>
                  </w:r>
                  <w:r>
                    <w:rPr>
                      <w:rFonts w:hint="eastAsia" w:cs="Times New Roman"/>
                      <w:color w:val="auto"/>
                      <w:sz w:val="21"/>
                      <w:szCs w:val="21"/>
                      <w:lang w:val="en-US" w:eastAsia="zh-CN"/>
                    </w:rPr>
                    <w:t>+软帘+</w:t>
                  </w:r>
                  <w:r>
                    <w:rPr>
                      <w:rFonts w:hint="eastAsia" w:cs="Times New Roman"/>
                      <w:color w:val="auto"/>
                      <w:sz w:val="21"/>
                      <w:szCs w:val="21"/>
                      <w:lang w:eastAsia="zh-CN"/>
                    </w:rPr>
                    <w:t>二级活性炭</w:t>
                  </w:r>
                  <w:r>
                    <w:rPr>
                      <w:rFonts w:hint="default" w:ascii="Times New Roman" w:hAnsi="Times New Roman" w:cs="Times New Roman"/>
                      <w:color w:val="auto"/>
                      <w:sz w:val="21"/>
                      <w:szCs w:val="21"/>
                    </w:rPr>
                    <w:t>吸附装置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处理后，由</w:t>
                  </w:r>
                  <w:r>
                    <w:rPr>
                      <w:rFonts w:hint="eastAsia" w:ascii="Times New Roman" w:hAnsi="Times New Roman" w:cs="Times New Roman"/>
                      <w:color w:val="auto"/>
                      <w:sz w:val="21"/>
                      <w:szCs w:val="21"/>
                      <w:lang w:val="en-US" w:eastAsia="zh-CN"/>
                    </w:rPr>
                    <w:t>1根</w:t>
                  </w:r>
                  <w:r>
                    <w:rPr>
                      <w:rFonts w:hint="default" w:ascii="Times New Roman" w:hAnsi="Times New Roman" w:cs="Times New Roman"/>
                      <w:color w:val="auto"/>
                      <w:sz w:val="21"/>
                      <w:szCs w:val="21"/>
                    </w:rPr>
                    <w:t>15米高排气筒</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DA001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87" w:type="pct"/>
                  <w:tcBorders>
                    <w:tl2br w:val="nil"/>
                    <w:tr2bl w:val="nil"/>
                  </w:tcBorders>
                  <w:noWrap w:val="0"/>
                  <w:vAlign w:val="center"/>
                </w:tcPr>
                <w:p w14:paraId="4355C4F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w:t>
                  </w:r>
                </w:p>
              </w:tc>
            </w:tr>
            <w:tr w14:paraId="62F94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4F2EAD2F">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3EE4308">
                  <w:pPr>
                    <w:adjustRightInd w:val="0"/>
                    <w:snapToGrid w:val="0"/>
                    <w:jc w:val="center"/>
                    <w:rPr>
                      <w:rFonts w:hint="default" w:ascii="Times New Roman" w:hAnsi="Times New Roman" w:cs="Times New Roman"/>
                      <w:color w:val="auto"/>
                      <w:sz w:val="21"/>
                      <w:szCs w:val="21"/>
                    </w:rPr>
                  </w:pPr>
                </w:p>
              </w:tc>
              <w:tc>
                <w:tcPr>
                  <w:tcW w:w="567" w:type="pct"/>
                  <w:tcBorders>
                    <w:tl2br w:val="nil"/>
                    <w:tr2bl w:val="nil"/>
                  </w:tcBorders>
                  <w:noWrap w:val="0"/>
                  <w:vAlign w:val="center"/>
                </w:tcPr>
                <w:p w14:paraId="751C0AE6">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发泡废气</w:t>
                  </w:r>
                </w:p>
              </w:tc>
              <w:tc>
                <w:tcPr>
                  <w:tcW w:w="2986" w:type="pct"/>
                  <w:tcBorders>
                    <w:tl2br w:val="nil"/>
                    <w:tr2bl w:val="nil"/>
                  </w:tcBorders>
                  <w:noWrap w:val="0"/>
                  <w:vAlign w:val="center"/>
                </w:tcPr>
                <w:p w14:paraId="536BDD1B">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采用</w:t>
                  </w:r>
                  <w:r>
                    <w:rPr>
                      <w:rFonts w:hint="eastAsia" w:cs="Times New Roman"/>
                      <w:color w:val="auto"/>
                      <w:sz w:val="21"/>
                      <w:szCs w:val="21"/>
                      <w:lang w:eastAsia="zh-CN"/>
                    </w:rPr>
                    <w:t>“</w:t>
                  </w:r>
                  <w:r>
                    <w:rPr>
                      <w:rFonts w:hint="default" w:ascii="Times New Roman" w:hAnsi="Times New Roman" w:cs="Times New Roman"/>
                      <w:color w:val="auto"/>
                      <w:sz w:val="21"/>
                      <w:szCs w:val="21"/>
                    </w:rPr>
                    <w:t>集气罩</w:t>
                  </w:r>
                  <w:r>
                    <w:rPr>
                      <w:rFonts w:hint="eastAsia" w:cs="Times New Roman"/>
                      <w:color w:val="auto"/>
                      <w:sz w:val="21"/>
                      <w:szCs w:val="21"/>
                      <w:lang w:val="en-US" w:eastAsia="zh-CN"/>
                    </w:rPr>
                    <w:t>+软帘+</w:t>
                  </w:r>
                  <w:r>
                    <w:rPr>
                      <w:rFonts w:hint="eastAsia" w:cs="Times New Roman"/>
                      <w:color w:val="auto"/>
                      <w:sz w:val="21"/>
                      <w:szCs w:val="21"/>
                      <w:lang w:eastAsia="zh-CN"/>
                    </w:rPr>
                    <w:t>二级活性炭</w:t>
                  </w:r>
                  <w:r>
                    <w:rPr>
                      <w:rFonts w:hint="default" w:ascii="Times New Roman" w:hAnsi="Times New Roman" w:cs="Times New Roman"/>
                      <w:color w:val="auto"/>
                      <w:sz w:val="21"/>
                      <w:szCs w:val="21"/>
                    </w:rPr>
                    <w:t>吸附装置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处理后，由</w:t>
                  </w:r>
                  <w:r>
                    <w:rPr>
                      <w:rFonts w:hint="eastAsia" w:ascii="Times New Roman" w:hAnsi="Times New Roman" w:cs="Times New Roman"/>
                      <w:color w:val="auto"/>
                      <w:sz w:val="21"/>
                      <w:szCs w:val="21"/>
                      <w:lang w:val="en-US" w:eastAsia="zh-CN"/>
                    </w:rPr>
                    <w:t>1根</w:t>
                  </w:r>
                  <w:r>
                    <w:rPr>
                      <w:rFonts w:hint="default" w:ascii="Times New Roman" w:hAnsi="Times New Roman" w:cs="Times New Roman"/>
                      <w:color w:val="auto"/>
                      <w:sz w:val="21"/>
                      <w:szCs w:val="21"/>
                    </w:rPr>
                    <w:t>15米高排气筒</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87" w:type="pct"/>
                  <w:tcBorders>
                    <w:tl2br w:val="nil"/>
                    <w:tr2bl w:val="nil"/>
                  </w:tcBorders>
                  <w:noWrap w:val="0"/>
                  <w:vAlign w:val="center"/>
                </w:tcPr>
                <w:p w14:paraId="5FCAE0B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72900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3B7EC7CF">
                  <w:pPr>
                    <w:adjustRightInd w:val="0"/>
                    <w:snapToGrid w:val="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7CB62911">
                  <w:pPr>
                    <w:adjustRightInd w:val="0"/>
                    <w:snapToGrid w:val="0"/>
                    <w:jc w:val="center"/>
                    <w:rPr>
                      <w:rFonts w:hint="default" w:ascii="Times New Roman" w:hAnsi="Times New Roman" w:cs="Times New Roman"/>
                      <w:color w:val="auto"/>
                      <w:sz w:val="21"/>
                      <w:szCs w:val="21"/>
                    </w:rPr>
                  </w:pPr>
                </w:p>
              </w:tc>
              <w:tc>
                <w:tcPr>
                  <w:tcW w:w="567" w:type="pct"/>
                  <w:tcBorders>
                    <w:tl2br w:val="nil"/>
                    <w:tr2bl w:val="nil"/>
                  </w:tcBorders>
                  <w:noWrap w:val="0"/>
                  <w:vAlign w:val="center"/>
                </w:tcPr>
                <w:p w14:paraId="4E32C91F">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除锈废气</w:t>
                  </w:r>
                </w:p>
              </w:tc>
              <w:tc>
                <w:tcPr>
                  <w:tcW w:w="2986" w:type="pct"/>
                  <w:tcBorders>
                    <w:tl2br w:val="nil"/>
                    <w:tr2bl w:val="nil"/>
                  </w:tcBorders>
                  <w:noWrap w:val="0"/>
                  <w:vAlign w:val="center"/>
                </w:tcPr>
                <w:p w14:paraId="24FA1F6C">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经设备自带布袋除尘器处理后</w:t>
                  </w:r>
                  <w:r>
                    <w:rPr>
                      <w:rFonts w:hint="eastAsia" w:cs="Times New Roman"/>
                      <w:color w:val="auto"/>
                      <w:sz w:val="21"/>
                      <w:szCs w:val="21"/>
                      <w:lang w:val="en-US" w:eastAsia="zh-CN"/>
                    </w:rPr>
                    <w:t>，由1根</w:t>
                  </w:r>
                  <w:r>
                    <w:rPr>
                      <w:rFonts w:hint="eastAsia" w:ascii="Times New Roman" w:hAnsi="Times New Roman" w:cs="Times New Roman"/>
                      <w:color w:val="auto"/>
                      <w:sz w:val="21"/>
                      <w:szCs w:val="21"/>
                      <w:lang w:val="en-US" w:eastAsia="zh-CN"/>
                    </w:rPr>
                    <w:t>17</w:t>
                  </w:r>
                  <w:r>
                    <w:rPr>
                      <w:rFonts w:hint="eastAsia" w:cs="Times New Roman"/>
                      <w:color w:val="auto"/>
                      <w:sz w:val="21"/>
                      <w:szCs w:val="21"/>
                      <w:lang w:val="en-US" w:eastAsia="zh-CN"/>
                    </w:rPr>
                    <w:t>米</w:t>
                  </w:r>
                  <w:r>
                    <w:rPr>
                      <w:rFonts w:hint="eastAsia" w:ascii="Times New Roman" w:hAnsi="Times New Roman" w:cs="Times New Roman"/>
                      <w:color w:val="auto"/>
                      <w:sz w:val="21"/>
                      <w:szCs w:val="21"/>
                      <w:lang w:val="en-US" w:eastAsia="zh-CN"/>
                    </w:rPr>
                    <w:t>高排气筒</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DA00</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排放</w:t>
                  </w:r>
                </w:p>
              </w:tc>
              <w:tc>
                <w:tcPr>
                  <w:tcW w:w="487" w:type="pct"/>
                  <w:tcBorders>
                    <w:tl2br w:val="nil"/>
                    <w:tr2bl w:val="nil"/>
                  </w:tcBorders>
                  <w:noWrap w:val="0"/>
                  <w:vAlign w:val="center"/>
                </w:tcPr>
                <w:p w14:paraId="16CAE0AC">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2AEE3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58A2F396">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77D34A2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986" w:type="pct"/>
                  <w:tcBorders>
                    <w:tl2br w:val="nil"/>
                    <w:tr2bl w:val="nil"/>
                  </w:tcBorders>
                  <w:noWrap w:val="0"/>
                  <w:vAlign w:val="center"/>
                </w:tcPr>
                <w:p w14:paraId="00992ECF">
                  <w:pPr>
                    <w:widowControl/>
                    <w:adjustRightInd w:val="0"/>
                    <w:snapToGrid w:val="0"/>
                    <w:jc w:val="center"/>
                    <w:rPr>
                      <w:rFonts w:hint="eastAsia"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lang w:val="en-US" w:eastAsia="zh-CN"/>
                    </w:rPr>
                    <w:t>选用</w:t>
                  </w:r>
                  <w:r>
                    <w:rPr>
                      <w:rFonts w:hint="default" w:ascii="Times New Roman" w:hAnsi="Times New Roman" w:cs="Times New Roman"/>
                      <w:color w:val="auto"/>
                      <w:sz w:val="21"/>
                      <w:szCs w:val="21"/>
                    </w:rPr>
                    <w:t>低噪声设备、厂房隔噪、设置减振垫</w:t>
                  </w:r>
                  <w:r>
                    <w:rPr>
                      <w:rFonts w:hint="eastAsia" w:ascii="Times New Roman" w:hAnsi="Times New Roman" w:cs="Times New Roman"/>
                      <w:color w:val="auto"/>
                      <w:sz w:val="21"/>
                      <w:szCs w:val="21"/>
                      <w:lang w:val="en-US" w:eastAsia="zh-CN"/>
                    </w:rPr>
                    <w:t>等</w:t>
                  </w:r>
                </w:p>
              </w:tc>
              <w:tc>
                <w:tcPr>
                  <w:tcW w:w="487" w:type="pct"/>
                  <w:tcBorders>
                    <w:tl2br w:val="nil"/>
                    <w:tr2bl w:val="nil"/>
                  </w:tcBorders>
                  <w:noWrap w:val="0"/>
                  <w:vAlign w:val="center"/>
                </w:tcPr>
                <w:p w14:paraId="486B68E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34260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3E5435DB">
                  <w:pPr>
                    <w:widowControl/>
                    <w:jc w:val="center"/>
                    <w:rPr>
                      <w:rFonts w:hint="default" w:ascii="Times New Roman" w:hAnsi="Times New Roman" w:cs="Times New Roman"/>
                      <w:color w:val="auto"/>
                      <w:sz w:val="21"/>
                      <w:szCs w:val="21"/>
                    </w:rPr>
                  </w:pPr>
                </w:p>
              </w:tc>
              <w:tc>
                <w:tcPr>
                  <w:tcW w:w="390" w:type="pct"/>
                  <w:vMerge w:val="restart"/>
                  <w:tcBorders>
                    <w:tl2br w:val="nil"/>
                    <w:tr2bl w:val="nil"/>
                  </w:tcBorders>
                  <w:noWrap w:val="0"/>
                  <w:vAlign w:val="center"/>
                </w:tcPr>
                <w:p w14:paraId="6FBDBDC4">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567" w:type="pct"/>
                  <w:tcBorders>
                    <w:tl2br w:val="nil"/>
                    <w:tr2bl w:val="nil"/>
                  </w:tcBorders>
                  <w:noWrap w:val="0"/>
                  <w:vAlign w:val="center"/>
                </w:tcPr>
                <w:p w14:paraId="05244B86">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生产废水</w:t>
                  </w:r>
                </w:p>
              </w:tc>
              <w:tc>
                <w:tcPr>
                  <w:tcW w:w="2986" w:type="pct"/>
                  <w:tcBorders>
                    <w:tl2br w:val="nil"/>
                    <w:tr2bl w:val="nil"/>
                  </w:tcBorders>
                  <w:noWrap w:val="0"/>
                  <w:vAlign w:val="center"/>
                </w:tcPr>
                <w:p w14:paraId="540A095F">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真空定径装置水箱定期排水用于厂房洒水抑尘</w:t>
                  </w:r>
                </w:p>
              </w:tc>
              <w:tc>
                <w:tcPr>
                  <w:tcW w:w="487" w:type="pct"/>
                  <w:tcBorders>
                    <w:tl2br w:val="nil"/>
                    <w:tr2bl w:val="nil"/>
                  </w:tcBorders>
                  <w:noWrap w:val="0"/>
                  <w:vAlign w:val="center"/>
                </w:tcPr>
                <w:p w14:paraId="419BA20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r>
            <w:tr w14:paraId="0F6E2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8" w:type="pct"/>
                  <w:vMerge w:val="continue"/>
                  <w:tcBorders>
                    <w:tl2br w:val="nil"/>
                    <w:tr2bl w:val="nil"/>
                  </w:tcBorders>
                  <w:noWrap w:val="0"/>
                  <w:vAlign w:val="center"/>
                </w:tcPr>
                <w:p w14:paraId="3BBC6CBD">
                  <w:pPr>
                    <w:widowControl/>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539CD9B3">
                  <w:pPr>
                    <w:adjustRightInd w:val="0"/>
                    <w:snapToGrid w:val="0"/>
                    <w:ind w:right="-185" w:rightChars="-88"/>
                    <w:jc w:val="center"/>
                    <w:rPr>
                      <w:rFonts w:hint="default" w:ascii="Times New Roman" w:hAnsi="Times New Roman" w:cs="Times New Roman"/>
                      <w:color w:val="auto"/>
                      <w:sz w:val="21"/>
                      <w:szCs w:val="21"/>
                    </w:rPr>
                  </w:pPr>
                </w:p>
              </w:tc>
              <w:tc>
                <w:tcPr>
                  <w:tcW w:w="567" w:type="pct"/>
                  <w:tcBorders>
                    <w:tl2br w:val="nil"/>
                    <w:tr2bl w:val="nil"/>
                  </w:tcBorders>
                  <w:noWrap w:val="0"/>
                  <w:vAlign w:val="center"/>
                </w:tcPr>
                <w:p w14:paraId="1AEF1DE4">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w:t>
                  </w:r>
                </w:p>
              </w:tc>
              <w:tc>
                <w:tcPr>
                  <w:tcW w:w="2986" w:type="pct"/>
                  <w:tcBorders>
                    <w:tl2br w:val="nil"/>
                    <w:tr2bl w:val="nil"/>
                  </w:tcBorders>
                  <w:noWrap w:val="0"/>
                  <w:vAlign w:val="center"/>
                </w:tcPr>
                <w:p w14:paraId="4C918461">
                  <w:pPr>
                    <w:keepNext w:val="0"/>
                    <w:keepLines w:val="0"/>
                    <w:pageBreakBefore w:val="0"/>
                    <w:widowControl/>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rPr>
                    <w:t>依托</w:t>
                  </w:r>
                  <w:r>
                    <w:rPr>
                      <w:rFonts w:hint="eastAsia" w:cs="Times New Roman"/>
                      <w:color w:val="auto"/>
                      <w:sz w:val="21"/>
                      <w:szCs w:val="21"/>
                      <w:lang w:val="en-US" w:eastAsia="zh-CN"/>
                    </w:rPr>
                    <w:t>租赁</w:t>
                  </w:r>
                  <w:r>
                    <w:rPr>
                      <w:rFonts w:hint="default" w:ascii="Times New Roman" w:hAnsi="Times New Roman" w:cs="Times New Roman"/>
                      <w:color w:val="auto"/>
                      <w:sz w:val="21"/>
                      <w:szCs w:val="21"/>
                    </w:rPr>
                    <w:t>厂区</w:t>
                  </w:r>
                  <w:r>
                    <w:rPr>
                      <w:rFonts w:hint="default" w:ascii="Times New Roman" w:hAnsi="Times New Roman" w:eastAsia="宋体" w:cs="Times New Roman"/>
                      <w:color w:val="auto"/>
                      <w:sz w:val="21"/>
                      <w:szCs w:val="21"/>
                    </w:rPr>
                    <w:t>化粪池</w:t>
                  </w:r>
                  <w:r>
                    <w:rPr>
                      <w:rFonts w:hint="eastAsia" w:cs="Times New Roman"/>
                      <w:color w:val="auto"/>
                      <w:sz w:val="21"/>
                      <w:szCs w:val="21"/>
                      <w:lang w:eastAsia="zh-CN"/>
                    </w:rPr>
                    <w:t>（</w:t>
                  </w:r>
                  <w:r>
                    <w:rPr>
                      <w:rFonts w:hint="eastAsia" w:cs="Times New Roman"/>
                      <w:color w:val="auto"/>
                      <w:sz w:val="21"/>
                      <w:szCs w:val="21"/>
                      <w:lang w:val="en-US" w:eastAsia="zh-CN"/>
                    </w:rPr>
                    <w:t>位于本项目东南侧，容积20m</w:t>
                  </w:r>
                  <w:r>
                    <w:rPr>
                      <w:rFonts w:hint="eastAsia" w:cs="Times New Roman"/>
                      <w:color w:val="auto"/>
                      <w:sz w:val="21"/>
                      <w:szCs w:val="21"/>
                      <w:vertAlign w:val="superscript"/>
                      <w:lang w:val="en-US" w:eastAsia="zh-CN"/>
                    </w:rPr>
                    <w:t>3</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处理后经市政污水管排入泾河第二污水处理厂进一步处理</w:t>
                  </w:r>
                </w:p>
              </w:tc>
              <w:tc>
                <w:tcPr>
                  <w:tcW w:w="487" w:type="pct"/>
                  <w:tcBorders>
                    <w:tl2br w:val="nil"/>
                    <w:tr2bl w:val="nil"/>
                  </w:tcBorders>
                  <w:noWrap w:val="0"/>
                  <w:vAlign w:val="center"/>
                </w:tcPr>
                <w:p w14:paraId="2D8C655D">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14:paraId="2A754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755436CE">
                  <w:pPr>
                    <w:widowControl/>
                    <w:jc w:val="center"/>
                    <w:rPr>
                      <w:rFonts w:hint="default" w:ascii="Times New Roman" w:hAnsi="Times New Roman" w:cs="Times New Roman"/>
                      <w:color w:val="auto"/>
                      <w:sz w:val="21"/>
                      <w:szCs w:val="21"/>
                    </w:rPr>
                  </w:pPr>
                </w:p>
              </w:tc>
              <w:tc>
                <w:tcPr>
                  <w:tcW w:w="957" w:type="pct"/>
                  <w:gridSpan w:val="2"/>
                  <w:vMerge w:val="restart"/>
                  <w:tcBorders>
                    <w:tl2br w:val="nil"/>
                    <w:tr2bl w:val="nil"/>
                  </w:tcBorders>
                  <w:noWrap w:val="0"/>
                  <w:vAlign w:val="center"/>
                </w:tcPr>
                <w:p w14:paraId="1669AF3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986" w:type="pct"/>
                  <w:tcBorders>
                    <w:tl2br w:val="nil"/>
                    <w:tr2bl w:val="nil"/>
                  </w:tcBorders>
                  <w:noWrap w:val="0"/>
                  <w:vAlign w:val="center"/>
                </w:tcPr>
                <w:p w14:paraId="659DEA8A">
                  <w:pPr>
                    <w:tabs>
                      <w:tab w:val="left" w:pos="540"/>
                    </w:tabs>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废泡沫材料、废包装袋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除尘灰、废边角料</w:t>
                  </w:r>
                  <w:r>
                    <w:rPr>
                      <w:rFonts w:hint="default" w:ascii="Times New Roman" w:hAnsi="Times New Roman" w:cs="Times New Roman"/>
                      <w:color w:val="auto"/>
                      <w:sz w:val="21"/>
                      <w:szCs w:val="21"/>
                    </w:rPr>
                    <w:t>分类收集后暂存于废料区，定期外售废品收购站</w:t>
                  </w:r>
                </w:p>
              </w:tc>
              <w:tc>
                <w:tcPr>
                  <w:tcW w:w="487" w:type="pct"/>
                  <w:tcBorders>
                    <w:tl2br w:val="nil"/>
                    <w:tr2bl w:val="nil"/>
                  </w:tcBorders>
                  <w:noWrap w:val="0"/>
                  <w:vAlign w:val="center"/>
                </w:tcPr>
                <w:p w14:paraId="35D1CD3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r>
            <w:tr w14:paraId="03E75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68" w:type="pct"/>
                  <w:vMerge w:val="continue"/>
                  <w:tcBorders>
                    <w:tl2br w:val="nil"/>
                    <w:tr2bl w:val="nil"/>
                  </w:tcBorders>
                  <w:noWrap w:val="0"/>
                  <w:vAlign w:val="center"/>
                </w:tcPr>
                <w:p w14:paraId="5F2998FE">
                  <w:pPr>
                    <w:widowControl/>
                    <w:jc w:val="center"/>
                    <w:rPr>
                      <w:rFonts w:hint="default" w:ascii="Times New Roman" w:hAnsi="Times New Roman" w:cs="Times New Roman"/>
                      <w:color w:val="auto"/>
                      <w:sz w:val="21"/>
                      <w:szCs w:val="21"/>
                    </w:rPr>
                  </w:pPr>
                </w:p>
              </w:tc>
              <w:tc>
                <w:tcPr>
                  <w:tcW w:w="957" w:type="pct"/>
                  <w:gridSpan w:val="2"/>
                  <w:vMerge w:val="continue"/>
                  <w:tcBorders>
                    <w:tl2br w:val="nil"/>
                    <w:tr2bl w:val="nil"/>
                  </w:tcBorders>
                  <w:noWrap w:val="0"/>
                  <w:vAlign w:val="center"/>
                </w:tcPr>
                <w:p w14:paraId="399F7F26">
                  <w:pPr>
                    <w:adjustRightInd w:val="0"/>
                    <w:snapToGrid w:val="0"/>
                    <w:jc w:val="center"/>
                    <w:rPr>
                      <w:rFonts w:hint="default" w:ascii="Times New Roman" w:hAnsi="Times New Roman" w:cs="Times New Roman"/>
                      <w:color w:val="auto"/>
                      <w:sz w:val="21"/>
                      <w:szCs w:val="21"/>
                    </w:rPr>
                  </w:pPr>
                </w:p>
              </w:tc>
              <w:tc>
                <w:tcPr>
                  <w:tcW w:w="2986" w:type="pct"/>
                  <w:tcBorders>
                    <w:tl2br w:val="nil"/>
                    <w:tr2bl w:val="nil"/>
                  </w:tcBorders>
                  <w:noWrap w:val="0"/>
                  <w:vAlign w:val="center"/>
                </w:tcPr>
                <w:p w14:paraId="514379C0">
                  <w:pPr>
                    <w:tabs>
                      <w:tab w:val="left" w:pos="54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废活性炭、废包装桶、废机油、废含油抹布、手套等危险废物收集后暂存于</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，交由有资质单位处置</w:t>
                  </w:r>
                </w:p>
              </w:tc>
              <w:tc>
                <w:tcPr>
                  <w:tcW w:w="487" w:type="pct"/>
                  <w:tcBorders>
                    <w:tl2br w:val="nil"/>
                    <w:tr2bl w:val="nil"/>
                  </w:tcBorders>
                  <w:noWrap w:val="0"/>
                  <w:vAlign w:val="center"/>
                </w:tcPr>
                <w:p w14:paraId="5CBC558D">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14:paraId="134EC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5FA98570">
                  <w:pPr>
                    <w:widowControl/>
                    <w:jc w:val="center"/>
                    <w:rPr>
                      <w:rFonts w:hint="default" w:ascii="Times New Roman" w:hAnsi="Times New Roman" w:cs="Times New Roman"/>
                      <w:color w:val="auto"/>
                      <w:sz w:val="21"/>
                      <w:szCs w:val="21"/>
                    </w:rPr>
                  </w:pPr>
                </w:p>
              </w:tc>
              <w:tc>
                <w:tcPr>
                  <w:tcW w:w="957" w:type="pct"/>
                  <w:gridSpan w:val="2"/>
                  <w:vMerge w:val="continue"/>
                  <w:tcBorders>
                    <w:tl2br w:val="nil"/>
                    <w:tr2bl w:val="nil"/>
                  </w:tcBorders>
                  <w:noWrap w:val="0"/>
                  <w:vAlign w:val="center"/>
                </w:tcPr>
                <w:p w14:paraId="2844BE32">
                  <w:pPr>
                    <w:adjustRightInd w:val="0"/>
                    <w:snapToGrid w:val="0"/>
                    <w:jc w:val="center"/>
                    <w:rPr>
                      <w:rFonts w:hint="default" w:ascii="Times New Roman" w:hAnsi="Times New Roman" w:cs="Times New Roman"/>
                      <w:color w:val="auto"/>
                      <w:sz w:val="21"/>
                      <w:szCs w:val="21"/>
                    </w:rPr>
                  </w:pPr>
                </w:p>
              </w:tc>
              <w:tc>
                <w:tcPr>
                  <w:tcW w:w="2986" w:type="pct"/>
                  <w:tcBorders>
                    <w:tl2br w:val="nil"/>
                    <w:tr2bl w:val="nil"/>
                  </w:tcBorders>
                  <w:noWrap w:val="0"/>
                  <w:vAlign w:val="center"/>
                </w:tcPr>
                <w:p w14:paraId="4E768860">
                  <w:pPr>
                    <w:tabs>
                      <w:tab w:val="left" w:pos="54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生活垃圾交由环卫部门定期清运</w:t>
                  </w:r>
                </w:p>
              </w:tc>
              <w:tc>
                <w:tcPr>
                  <w:tcW w:w="487" w:type="pct"/>
                  <w:tcBorders>
                    <w:tl2br w:val="nil"/>
                    <w:tr2bl w:val="nil"/>
                  </w:tcBorders>
                  <w:noWrap w:val="0"/>
                  <w:vAlign w:val="center"/>
                </w:tcPr>
                <w:p w14:paraId="61AD4CAC">
                  <w:pPr>
                    <w:widowControl/>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r>
            <w:bookmarkEnd w:id="1"/>
            <w:bookmarkEnd w:id="2"/>
            <w:bookmarkEnd w:id="3"/>
            <w:bookmarkEnd w:id="4"/>
          </w:tbl>
          <w:p w14:paraId="64644FF0">
            <w:pPr>
              <w:spacing w:line="480" w:lineRule="exact"/>
              <w:ind w:firstLine="482" w:firstLineChars="200"/>
              <w:rPr>
                <w:rFonts w:hint="default" w:eastAsia="宋体"/>
                <w:b/>
                <w:bCs/>
                <w:color w:val="auto"/>
                <w:sz w:val="24"/>
                <w:lang w:val="en-US" w:eastAsia="zh-CN"/>
              </w:rPr>
            </w:pPr>
            <w:r>
              <w:rPr>
                <w:rFonts w:hint="eastAsia"/>
                <w:b/>
                <w:bCs/>
                <w:color w:val="auto"/>
                <w:sz w:val="24"/>
                <w:lang w:val="en-US" w:eastAsia="zh-CN"/>
              </w:rPr>
              <w:t>2</w:t>
            </w:r>
            <w:r>
              <w:rPr>
                <w:rFonts w:hint="eastAsia"/>
                <w:b/>
                <w:bCs/>
                <w:color w:val="auto"/>
                <w:sz w:val="24"/>
              </w:rPr>
              <w:t>、</w:t>
            </w:r>
            <w:r>
              <w:rPr>
                <w:rFonts w:hint="eastAsia"/>
                <w:b/>
                <w:bCs/>
                <w:color w:val="auto"/>
                <w:sz w:val="24"/>
                <w:lang w:val="en-US" w:eastAsia="zh-CN"/>
              </w:rPr>
              <w:t>主要产品及产能</w:t>
            </w:r>
          </w:p>
          <w:p w14:paraId="38049D92">
            <w:pPr>
              <w:spacing w:line="480" w:lineRule="exact"/>
              <w:ind w:firstLine="480" w:firstLineChars="200"/>
              <w:rPr>
                <w:color w:val="auto"/>
                <w:sz w:val="24"/>
              </w:rPr>
            </w:pPr>
            <w:r>
              <w:rPr>
                <w:rFonts w:hint="eastAsia"/>
                <w:color w:val="auto"/>
                <w:sz w:val="24"/>
                <w:lang w:val="en-US" w:eastAsia="zh-CN"/>
              </w:rPr>
              <w:t>本项目搬迁后主要产品类型及产能与搬迁前保持一致，具体见下表：</w:t>
            </w:r>
          </w:p>
          <w:p w14:paraId="0B1F66D7">
            <w:pPr>
              <w:pStyle w:val="66"/>
              <w:rPr>
                <w:rFonts w:hint="eastAsia" w:ascii="Times New Roman" w:hAnsi="Times New Roman" w:eastAsia="宋体" w:cs="Times New Roman"/>
                <w:b/>
                <w:bCs/>
                <w:color w:val="auto"/>
                <w:szCs w:val="24"/>
                <w:lang w:val="en-US" w:eastAsia="zh-CN"/>
              </w:rPr>
            </w:pPr>
            <w:r>
              <w:rPr>
                <w:rFonts w:hint="eastAsia" w:ascii="Times New Roman" w:hAnsi="Times New Roman" w:eastAsia="宋体" w:cs="Times New Roman"/>
                <w:b/>
                <w:bCs/>
                <w:color w:val="auto"/>
                <w:szCs w:val="24"/>
              </w:rPr>
              <w:t xml:space="preserve">表2-2  </w:t>
            </w:r>
            <w:r>
              <w:rPr>
                <w:rFonts w:hint="eastAsia" w:ascii="Times New Roman" w:hAnsi="Times New Roman" w:eastAsia="宋体" w:cs="Times New Roman"/>
                <w:b/>
                <w:bCs/>
                <w:color w:val="auto"/>
                <w:szCs w:val="24"/>
                <w:lang w:val="en-US" w:eastAsia="zh-CN"/>
              </w:rPr>
              <w:t>本项目生产规模及产品方案一览表</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147"/>
              <w:gridCol w:w="1109"/>
              <w:gridCol w:w="1351"/>
              <w:gridCol w:w="1288"/>
              <w:gridCol w:w="961"/>
              <w:gridCol w:w="2355"/>
            </w:tblGrid>
            <w:tr w14:paraId="10BC97E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67" w:hRule="atLeast"/>
                <w:jc w:val="center"/>
              </w:trPr>
              <w:tc>
                <w:tcPr>
                  <w:tcW w:w="698" w:type="pct"/>
                  <w:tcBorders>
                    <w:tl2br w:val="nil"/>
                    <w:tr2bl w:val="nil"/>
                  </w:tcBorders>
                  <w:noWrap w:val="0"/>
                  <w:vAlign w:val="center"/>
                </w:tcPr>
                <w:p w14:paraId="1E66322F">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产品名称</w:t>
                  </w:r>
                </w:p>
              </w:tc>
              <w:tc>
                <w:tcPr>
                  <w:tcW w:w="675" w:type="pct"/>
                  <w:tcBorders>
                    <w:tl2br w:val="nil"/>
                    <w:tr2bl w:val="nil"/>
                  </w:tcBorders>
                  <w:noWrap w:val="0"/>
                  <w:vAlign w:val="center"/>
                </w:tcPr>
                <w:p w14:paraId="4AA1C00E">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产品规格</w:t>
                  </w:r>
                </w:p>
              </w:tc>
              <w:tc>
                <w:tcPr>
                  <w:tcW w:w="822" w:type="pct"/>
                  <w:tcBorders>
                    <w:tl2br w:val="nil"/>
                    <w:tr2bl w:val="nil"/>
                  </w:tcBorders>
                  <w:noWrap w:val="0"/>
                  <w:vAlign w:val="center"/>
                </w:tcPr>
                <w:p w14:paraId="7110063D">
                  <w:pPr>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迁建前产能</w:t>
                  </w:r>
                </w:p>
              </w:tc>
              <w:tc>
                <w:tcPr>
                  <w:tcW w:w="784" w:type="pct"/>
                  <w:tcBorders>
                    <w:tl2br w:val="nil"/>
                    <w:tr2bl w:val="nil"/>
                  </w:tcBorders>
                  <w:noWrap w:val="0"/>
                  <w:vAlign w:val="center"/>
                </w:tcPr>
                <w:p w14:paraId="49218B48">
                  <w:pPr>
                    <w:jc w:val="center"/>
                    <w:rPr>
                      <w:rFonts w:hint="default" w:ascii="Times New Roman" w:hAnsi="Times New Roman" w:cs="Times New Roman"/>
                      <w:b/>
                      <w:color w:val="auto"/>
                      <w:sz w:val="21"/>
                      <w:szCs w:val="21"/>
                      <w:lang w:val="en-US"/>
                    </w:rPr>
                  </w:pPr>
                  <w:r>
                    <w:rPr>
                      <w:rFonts w:hint="eastAsia" w:cs="Times New Roman"/>
                      <w:b/>
                      <w:color w:val="auto"/>
                      <w:sz w:val="21"/>
                      <w:szCs w:val="21"/>
                      <w:lang w:val="en-US" w:eastAsia="zh-CN"/>
                    </w:rPr>
                    <w:t>迁建后产能</w:t>
                  </w:r>
                </w:p>
              </w:tc>
              <w:tc>
                <w:tcPr>
                  <w:tcW w:w="585" w:type="pct"/>
                  <w:tcBorders>
                    <w:tl2br w:val="nil"/>
                    <w:tr2bl w:val="nil"/>
                  </w:tcBorders>
                  <w:noWrap w:val="0"/>
                  <w:vAlign w:val="center"/>
                </w:tcPr>
                <w:p w14:paraId="0A19664F">
                  <w:pPr>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变化量</w:t>
                  </w:r>
                </w:p>
              </w:tc>
              <w:tc>
                <w:tcPr>
                  <w:tcW w:w="1433" w:type="pct"/>
                  <w:tcBorders>
                    <w:tl2br w:val="nil"/>
                    <w:tr2bl w:val="nil"/>
                  </w:tcBorders>
                  <w:noWrap w:val="0"/>
                  <w:vAlign w:val="center"/>
                </w:tcPr>
                <w:p w14:paraId="0F31E6F6">
                  <w:pPr>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说明</w:t>
                  </w:r>
                </w:p>
              </w:tc>
            </w:tr>
            <w:tr w14:paraId="75149CA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698" w:type="pct"/>
                  <w:tcBorders>
                    <w:tl2br w:val="nil"/>
                    <w:tr2bl w:val="nil"/>
                  </w:tcBorders>
                  <w:noWrap w:val="0"/>
                  <w:vAlign w:val="center"/>
                </w:tcPr>
                <w:p w14:paraId="17149B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聚乙烯外护管</w:t>
                  </w:r>
                </w:p>
              </w:tc>
              <w:tc>
                <w:tcPr>
                  <w:tcW w:w="675" w:type="pct"/>
                  <w:tcBorders>
                    <w:tl2br w:val="nil"/>
                    <w:tr2bl w:val="nil"/>
                  </w:tcBorders>
                  <w:noWrap w:val="0"/>
                  <w:vAlign w:val="center"/>
                </w:tcPr>
                <w:p w14:paraId="35B235E4">
                  <w:pPr>
                    <w:keepNext w:val="0"/>
                    <w:keepLines w:val="0"/>
                    <w:pageBreakBefore w:val="0"/>
                    <w:widowControl w:val="0"/>
                    <w:kinsoku/>
                    <w:wordWrap w:val="0"/>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DN20~DN1000mm，厚度10-20mm</w:t>
                  </w:r>
                </w:p>
              </w:tc>
              <w:tc>
                <w:tcPr>
                  <w:tcW w:w="822" w:type="pct"/>
                  <w:tcBorders>
                    <w:tl2br w:val="nil"/>
                    <w:tr2bl w:val="nil"/>
                  </w:tcBorders>
                  <w:shd w:val="clear" w:color="auto" w:fill="auto"/>
                  <w:noWrap w:val="0"/>
                  <w:vAlign w:val="center"/>
                </w:tcPr>
                <w:p w14:paraId="2A4A3F5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00吨/年</w:t>
                  </w:r>
                </w:p>
              </w:tc>
              <w:tc>
                <w:tcPr>
                  <w:tcW w:w="784" w:type="pct"/>
                  <w:tcBorders>
                    <w:tl2br w:val="nil"/>
                    <w:tr2bl w:val="nil"/>
                  </w:tcBorders>
                  <w:noWrap w:val="0"/>
                  <w:vAlign w:val="center"/>
                </w:tcPr>
                <w:p w14:paraId="7A99AC7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1000吨/年</w:t>
                  </w:r>
                </w:p>
              </w:tc>
              <w:tc>
                <w:tcPr>
                  <w:tcW w:w="585" w:type="pct"/>
                  <w:tcBorders>
                    <w:tl2br w:val="nil"/>
                    <w:tr2bl w:val="nil"/>
                  </w:tcBorders>
                  <w:noWrap w:val="0"/>
                  <w:vAlign w:val="center"/>
                </w:tcPr>
                <w:p w14:paraId="0686CDFC">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r>
                    <w:rPr>
                      <w:rFonts w:hint="default" w:ascii="Times New Roman" w:hAnsi="Times New Roman" w:cs="Times New Roman"/>
                      <w:color w:val="auto"/>
                      <w:sz w:val="21"/>
                      <w:szCs w:val="21"/>
                    </w:rPr>
                    <w:t>吨/年</w:t>
                  </w:r>
                </w:p>
              </w:tc>
              <w:tc>
                <w:tcPr>
                  <w:tcW w:w="1433" w:type="pct"/>
                  <w:tcBorders>
                    <w:tl2br w:val="nil"/>
                    <w:tr2bl w:val="nil"/>
                  </w:tcBorders>
                  <w:noWrap w:val="0"/>
                  <w:vAlign w:val="center"/>
                </w:tcPr>
                <w:p w14:paraId="3E1EA6C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平均重量按10kg/m计算，约10万米/年，其中4.5万米，约450t用于保温管生产，其余5.5万米，约550t用于外销</w:t>
                  </w:r>
                </w:p>
              </w:tc>
            </w:tr>
            <w:tr w14:paraId="0949688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24" w:hRule="atLeast"/>
                <w:jc w:val="center"/>
              </w:trPr>
              <w:tc>
                <w:tcPr>
                  <w:tcW w:w="698" w:type="pct"/>
                  <w:tcBorders>
                    <w:tl2br w:val="nil"/>
                    <w:tr2bl w:val="nil"/>
                  </w:tcBorders>
                  <w:noWrap w:val="0"/>
                  <w:vAlign w:val="center"/>
                </w:tcPr>
                <w:p w14:paraId="41ED6D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聚氨酯保温管</w:t>
                  </w:r>
                </w:p>
              </w:tc>
              <w:tc>
                <w:tcPr>
                  <w:tcW w:w="675" w:type="pct"/>
                  <w:tcBorders>
                    <w:tl2br w:val="nil"/>
                    <w:tr2bl w:val="nil"/>
                  </w:tcBorders>
                  <w:noWrap w:val="0"/>
                  <w:vAlign w:val="center"/>
                </w:tcPr>
                <w:p w14:paraId="432BDDE6">
                  <w:pPr>
                    <w:keepNext w:val="0"/>
                    <w:keepLines w:val="0"/>
                    <w:pageBreakBefore w:val="0"/>
                    <w:widowControl w:val="0"/>
                    <w:kinsoku/>
                    <w:wordWrap w:val="0"/>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D</w:t>
                  </w:r>
                  <w:r>
                    <w:rPr>
                      <w:rFonts w:hint="default" w:ascii="Times New Roman" w:hAnsi="Times New Roman" w:cs="Times New Roman"/>
                      <w:color w:val="auto"/>
                      <w:sz w:val="21"/>
                      <w:szCs w:val="21"/>
                    </w:rPr>
                    <w:t>N250~DN1400mm，长7-12米</w:t>
                  </w:r>
                </w:p>
              </w:tc>
              <w:tc>
                <w:tcPr>
                  <w:tcW w:w="822" w:type="pct"/>
                  <w:tcBorders>
                    <w:tl2br w:val="nil"/>
                    <w:tr2bl w:val="nil"/>
                  </w:tcBorders>
                  <w:shd w:val="clear" w:color="auto" w:fill="auto"/>
                  <w:noWrap w:val="0"/>
                  <w:vAlign w:val="center"/>
                </w:tcPr>
                <w:p w14:paraId="242B0196">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5000根/年</w:t>
                  </w:r>
                </w:p>
              </w:tc>
              <w:tc>
                <w:tcPr>
                  <w:tcW w:w="784" w:type="pct"/>
                  <w:tcBorders>
                    <w:tl2br w:val="nil"/>
                    <w:tr2bl w:val="nil"/>
                  </w:tcBorders>
                  <w:noWrap w:val="0"/>
                  <w:vAlign w:val="center"/>
                </w:tcPr>
                <w:p w14:paraId="1BF86945">
                  <w:pPr>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5000根/年</w:t>
                  </w:r>
                </w:p>
              </w:tc>
              <w:tc>
                <w:tcPr>
                  <w:tcW w:w="585" w:type="pct"/>
                  <w:tcBorders>
                    <w:tl2br w:val="nil"/>
                    <w:tr2bl w:val="nil"/>
                  </w:tcBorders>
                  <w:noWrap w:val="0"/>
                  <w:vAlign w:val="center"/>
                </w:tcPr>
                <w:p w14:paraId="7926372C">
                  <w:pPr>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433" w:type="pct"/>
                  <w:tcBorders>
                    <w:tl2br w:val="nil"/>
                    <w:tr2bl w:val="nil"/>
                  </w:tcBorders>
                  <w:noWrap w:val="0"/>
                  <w:vAlign w:val="center"/>
                </w:tcPr>
                <w:p w14:paraId="08323FFF">
                  <w:pPr>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按9米/根计，约4.5万米/年</w:t>
                  </w:r>
                </w:p>
              </w:tc>
            </w:tr>
          </w:tbl>
          <w:p w14:paraId="06178169">
            <w:pPr>
              <w:spacing w:before="120" w:beforeLines="50"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注：（1）生产产品为非标产品，种类及规格依市场需求而定，保温管外观或性能均应符合《聚氨酯发泡预制直埋保温管标准》（GB/T29047-2012）中有关要求，PE管材根据生产产品的种类不同，应满足《给水用聚乙烯（PE）管材》（GB/T13663-2000）、《埋地用聚乙烯（PE）结构壁管道系统》（GB/T19472.1-2004）等相应产品标准要求。</w:t>
            </w:r>
          </w:p>
          <w:p w14:paraId="76F189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（2）聚氨酯保温管：由内至外分别为钢管、聚氨酯保温材料、聚乙烯外护管。</w:t>
            </w:r>
          </w:p>
          <w:p w14:paraId="5CBE32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rFonts w:hint="eastAsia"/>
                <w:b/>
                <w:bCs/>
                <w:color w:val="auto"/>
                <w:sz w:val="24"/>
                <w:lang w:val="en-US" w:eastAsia="zh-CN"/>
              </w:rPr>
              <w:t>3</w:t>
            </w:r>
            <w:r>
              <w:rPr>
                <w:b/>
                <w:bCs/>
                <w:color w:val="auto"/>
                <w:sz w:val="24"/>
              </w:rPr>
              <w:t>、</w:t>
            </w:r>
            <w:r>
              <w:rPr>
                <w:rFonts w:hint="eastAsia"/>
                <w:b/>
                <w:bCs/>
                <w:color w:val="auto"/>
                <w:sz w:val="24"/>
              </w:rPr>
              <w:t>项目主要原辅料及能源消耗</w:t>
            </w:r>
          </w:p>
          <w:p w14:paraId="3D51141B">
            <w:pPr>
              <w:spacing w:line="360" w:lineRule="auto"/>
              <w:ind w:firstLine="480" w:firstLineChars="200"/>
              <w:rPr>
                <w:color w:val="auto"/>
                <w:sz w:val="24"/>
              </w:rPr>
            </w:pPr>
            <w:r>
              <w:rPr>
                <w:rFonts w:hint="eastAsia"/>
                <w:color w:val="auto"/>
                <w:sz w:val="24"/>
              </w:rPr>
              <w:t>（1）</w:t>
            </w:r>
            <w:r>
              <w:rPr>
                <w:color w:val="auto"/>
                <w:sz w:val="24"/>
              </w:rPr>
              <w:t>项目主要原辅材料及能耗情况见下表：</w:t>
            </w:r>
          </w:p>
          <w:p w14:paraId="49ABF45C">
            <w:pPr>
              <w:spacing w:line="360" w:lineRule="auto"/>
              <w:ind w:firstLine="480" w:firstLineChars="200"/>
              <w:rPr>
                <w:color w:val="auto"/>
                <w:sz w:val="24"/>
              </w:rPr>
            </w:pPr>
            <w:r>
              <w:rPr>
                <w:rFonts w:hint="eastAsia"/>
                <w:color w:val="auto"/>
                <w:sz w:val="24"/>
              </w:rPr>
              <w:t>项目聚氨酯保温管生产所用聚乙烯套管为自主生产，其余原辅材料均为外购，其消耗情况见下表。</w:t>
            </w:r>
          </w:p>
          <w:p w14:paraId="075CCEED">
            <w:pPr>
              <w:pStyle w:val="66"/>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b/>
                <w:bCs/>
                <w:color w:val="auto"/>
                <w:szCs w:val="24"/>
              </w:rPr>
            </w:pPr>
            <w:r>
              <w:rPr>
                <w:rFonts w:ascii="Times New Roman" w:hAnsi="Times New Roman" w:eastAsia="宋体" w:cs="Times New Roman"/>
                <w:b/>
                <w:bCs/>
                <w:color w:val="auto"/>
                <w:szCs w:val="24"/>
              </w:rPr>
              <w:t>表</w:t>
            </w:r>
            <w:r>
              <w:rPr>
                <w:rFonts w:hint="eastAsia" w:ascii="Times New Roman" w:hAnsi="Times New Roman" w:eastAsia="宋体" w:cs="Times New Roman"/>
                <w:b/>
                <w:bCs/>
                <w:color w:val="auto"/>
                <w:szCs w:val="24"/>
              </w:rPr>
              <w:t>2-</w:t>
            </w:r>
            <w:r>
              <w:rPr>
                <w:rFonts w:hint="eastAsia" w:ascii="Times New Roman" w:hAnsi="Times New Roman" w:eastAsia="宋体" w:cs="Times New Roman"/>
                <w:b/>
                <w:bCs/>
                <w:color w:val="auto"/>
                <w:szCs w:val="24"/>
                <w:lang w:val="en-US" w:eastAsia="zh-CN"/>
              </w:rPr>
              <w:t>3</w:t>
            </w:r>
            <w:r>
              <w:rPr>
                <w:rFonts w:ascii="Times New Roman" w:hAnsi="Times New Roman" w:eastAsia="宋体" w:cs="Times New Roman"/>
                <w:b/>
                <w:bCs/>
                <w:color w:val="auto"/>
                <w:szCs w:val="24"/>
              </w:rPr>
              <w:t xml:space="preserve"> </w:t>
            </w:r>
            <w:r>
              <w:rPr>
                <w:rFonts w:hint="eastAsia" w:ascii="Times New Roman" w:hAnsi="Times New Roman" w:eastAsia="宋体" w:cs="Times New Roman"/>
                <w:b/>
                <w:bCs/>
                <w:color w:val="auto"/>
                <w:szCs w:val="24"/>
              </w:rPr>
              <w:t xml:space="preserve"> </w:t>
            </w:r>
            <w:r>
              <w:rPr>
                <w:rFonts w:ascii="Times New Roman" w:hAnsi="Times New Roman" w:eastAsia="宋体" w:cs="Times New Roman"/>
                <w:b/>
                <w:bCs/>
                <w:color w:val="auto"/>
                <w:szCs w:val="24"/>
              </w:rPr>
              <w:t>项目原辅材料</w:t>
            </w:r>
            <w:r>
              <w:rPr>
                <w:rFonts w:hint="eastAsia" w:ascii="Times New Roman" w:hAnsi="Times New Roman" w:eastAsia="宋体" w:cs="Times New Roman"/>
                <w:b/>
                <w:bCs/>
                <w:color w:val="auto"/>
                <w:szCs w:val="24"/>
                <w:lang w:val="en-US" w:eastAsia="zh-CN"/>
              </w:rPr>
              <w:t>及能源</w:t>
            </w:r>
            <w:r>
              <w:rPr>
                <w:rFonts w:ascii="Times New Roman" w:hAnsi="Times New Roman" w:eastAsia="宋体" w:cs="Times New Roman"/>
                <w:b/>
                <w:bCs/>
                <w:color w:val="auto"/>
                <w:szCs w:val="24"/>
              </w:rPr>
              <w:t>消耗一览表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19"/>
              <w:gridCol w:w="1237"/>
              <w:gridCol w:w="1185"/>
              <w:gridCol w:w="1050"/>
              <w:gridCol w:w="1005"/>
              <w:gridCol w:w="1155"/>
              <w:gridCol w:w="674"/>
            </w:tblGrid>
            <w:tr w14:paraId="4B3B0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1BA9FDED">
                  <w:pPr>
                    <w:tabs>
                      <w:tab w:val="center" w:pos="4153"/>
                      <w:tab w:val="right" w:pos="8306"/>
                    </w:tabs>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437" w:type="pct"/>
                  <w:tcBorders>
                    <w:tl2br w:val="nil"/>
                    <w:tr2bl w:val="nil"/>
                  </w:tcBorders>
                  <w:noWrap w:val="0"/>
                  <w:vAlign w:val="center"/>
                </w:tcPr>
                <w:p w14:paraId="2A55383E">
                  <w:pPr>
                    <w:tabs>
                      <w:tab w:val="center" w:pos="4153"/>
                      <w:tab w:val="right" w:pos="8306"/>
                    </w:tabs>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性状</w:t>
                  </w:r>
                </w:p>
              </w:tc>
              <w:tc>
                <w:tcPr>
                  <w:tcW w:w="753" w:type="pct"/>
                  <w:tcBorders>
                    <w:tl2br w:val="nil"/>
                    <w:tr2bl w:val="nil"/>
                  </w:tcBorders>
                  <w:noWrap w:val="0"/>
                  <w:vAlign w:val="center"/>
                </w:tcPr>
                <w:p w14:paraId="5C22B8DB">
                  <w:pPr>
                    <w:tabs>
                      <w:tab w:val="center" w:pos="4153"/>
                      <w:tab w:val="right" w:pos="8306"/>
                    </w:tabs>
                    <w:snapToGrid w:val="0"/>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迁建前年使用量</w:t>
                  </w:r>
                </w:p>
              </w:tc>
              <w:tc>
                <w:tcPr>
                  <w:tcW w:w="721" w:type="pct"/>
                  <w:tcBorders>
                    <w:tl2br w:val="nil"/>
                    <w:tr2bl w:val="nil"/>
                  </w:tcBorders>
                  <w:noWrap w:val="0"/>
                  <w:vAlign w:val="center"/>
                </w:tcPr>
                <w:p w14:paraId="0C4CBF97">
                  <w:pPr>
                    <w:tabs>
                      <w:tab w:val="center" w:pos="4153"/>
                      <w:tab w:val="right" w:pos="8306"/>
                    </w:tabs>
                    <w:snapToGrid w:val="0"/>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迁建后年</w:t>
                  </w:r>
                  <w:r>
                    <w:rPr>
                      <w:rFonts w:hint="default" w:ascii="Times New Roman" w:hAnsi="Times New Roman" w:cs="Times New Roman"/>
                      <w:b/>
                      <w:color w:val="auto"/>
                      <w:sz w:val="21"/>
                      <w:szCs w:val="21"/>
                    </w:rPr>
                    <w:t>使用量</w:t>
                  </w:r>
                </w:p>
              </w:tc>
              <w:tc>
                <w:tcPr>
                  <w:tcW w:w="639" w:type="pct"/>
                  <w:tcBorders>
                    <w:tl2br w:val="nil"/>
                    <w:tr2bl w:val="nil"/>
                  </w:tcBorders>
                  <w:noWrap w:val="0"/>
                  <w:vAlign w:val="center"/>
                </w:tcPr>
                <w:p w14:paraId="60F384A0">
                  <w:pPr>
                    <w:tabs>
                      <w:tab w:val="center" w:pos="4153"/>
                      <w:tab w:val="right" w:pos="8306"/>
                    </w:tabs>
                    <w:snapToGrid w:val="0"/>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变化量</w:t>
                  </w:r>
                </w:p>
              </w:tc>
              <w:tc>
                <w:tcPr>
                  <w:tcW w:w="611" w:type="pct"/>
                  <w:tcBorders>
                    <w:tl2br w:val="nil"/>
                    <w:tr2bl w:val="nil"/>
                  </w:tcBorders>
                  <w:noWrap w:val="0"/>
                  <w:vAlign w:val="center"/>
                </w:tcPr>
                <w:p w14:paraId="1A5865F0">
                  <w:pPr>
                    <w:tabs>
                      <w:tab w:val="center" w:pos="4153"/>
                      <w:tab w:val="right" w:pos="8306"/>
                    </w:tabs>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最大储存量</w:t>
                  </w:r>
                </w:p>
              </w:tc>
              <w:tc>
                <w:tcPr>
                  <w:tcW w:w="703" w:type="pct"/>
                  <w:tcBorders>
                    <w:tl2br w:val="nil"/>
                    <w:tr2bl w:val="nil"/>
                  </w:tcBorders>
                  <w:noWrap w:val="0"/>
                  <w:vAlign w:val="center"/>
                </w:tcPr>
                <w:p w14:paraId="58C7C65B">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 w:val="21"/>
                      <w:szCs w:val="21"/>
                    </w:rPr>
                    <w:t>包装形式/规格</w:t>
                  </w:r>
                </w:p>
              </w:tc>
              <w:tc>
                <w:tcPr>
                  <w:tcW w:w="410" w:type="pct"/>
                  <w:tcBorders>
                    <w:tl2br w:val="nil"/>
                    <w:tr2bl w:val="nil"/>
                  </w:tcBorders>
                  <w:noWrap w:val="0"/>
                  <w:vAlign w:val="center"/>
                </w:tcPr>
                <w:p w14:paraId="0FCB12D6">
                  <w:pPr>
                    <w:tabs>
                      <w:tab w:val="center" w:pos="4153"/>
                      <w:tab w:val="right" w:pos="8306"/>
                    </w:tabs>
                    <w:snapToGrid w:val="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备注</w:t>
                  </w:r>
                </w:p>
              </w:tc>
            </w:tr>
            <w:tr w14:paraId="72282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pct"/>
                  <w:tcBorders>
                    <w:tl2br w:val="nil"/>
                    <w:tr2bl w:val="nil"/>
                  </w:tcBorders>
                  <w:noWrap w:val="0"/>
                  <w:vAlign w:val="center"/>
                </w:tcPr>
                <w:p w14:paraId="78A2A4BC">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高密度聚乙烯树脂（HDPE）</w:t>
                  </w:r>
                </w:p>
              </w:tc>
              <w:tc>
                <w:tcPr>
                  <w:tcW w:w="437" w:type="pct"/>
                  <w:tcBorders>
                    <w:tl2br w:val="nil"/>
                    <w:tr2bl w:val="nil"/>
                  </w:tcBorders>
                  <w:noWrap w:val="0"/>
                  <w:vAlign w:val="center"/>
                </w:tcPr>
                <w:p w14:paraId="6D68C1BE">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w:t>
                  </w:r>
                </w:p>
              </w:tc>
              <w:tc>
                <w:tcPr>
                  <w:tcW w:w="753" w:type="pct"/>
                  <w:tcBorders>
                    <w:tl2br w:val="nil"/>
                    <w:tr2bl w:val="nil"/>
                  </w:tcBorders>
                  <w:shd w:val="clear" w:color="auto" w:fill="auto"/>
                  <w:noWrap w:val="0"/>
                  <w:vAlign w:val="center"/>
                </w:tcPr>
                <w:p w14:paraId="41C743A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697t/a</w:t>
                  </w:r>
                </w:p>
              </w:tc>
              <w:tc>
                <w:tcPr>
                  <w:tcW w:w="721" w:type="pct"/>
                  <w:tcBorders>
                    <w:tl2br w:val="nil"/>
                    <w:tr2bl w:val="nil"/>
                  </w:tcBorders>
                  <w:noWrap w:val="0"/>
                  <w:vAlign w:val="center"/>
                </w:tcPr>
                <w:p w14:paraId="660D16CA">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995t/a</w:t>
                  </w:r>
                </w:p>
              </w:tc>
              <w:tc>
                <w:tcPr>
                  <w:tcW w:w="639" w:type="pct"/>
                  <w:tcBorders>
                    <w:tl2br w:val="nil"/>
                    <w:tr2bl w:val="nil"/>
                  </w:tcBorders>
                  <w:noWrap w:val="0"/>
                  <w:vAlign w:val="center"/>
                </w:tcPr>
                <w:p w14:paraId="711AC032">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+298</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15ED157C">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500t</w:t>
                  </w:r>
                </w:p>
              </w:tc>
              <w:tc>
                <w:tcPr>
                  <w:tcW w:w="703" w:type="pct"/>
                  <w:tcBorders>
                    <w:tl2br w:val="nil"/>
                    <w:tr2bl w:val="nil"/>
                  </w:tcBorders>
                  <w:noWrap w:val="0"/>
                  <w:vAlign w:val="center"/>
                </w:tcPr>
                <w:p w14:paraId="7BA46659">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25kg/袋</w:t>
                  </w:r>
                </w:p>
              </w:tc>
              <w:tc>
                <w:tcPr>
                  <w:tcW w:w="410" w:type="pct"/>
                  <w:vMerge w:val="restart"/>
                  <w:tcBorders>
                    <w:tl2br w:val="nil"/>
                    <w:tr2bl w:val="nil"/>
                  </w:tcBorders>
                  <w:noWrap w:val="0"/>
                  <w:vAlign w:val="center"/>
                </w:tcPr>
                <w:p w14:paraId="4D3ADEF7">
                  <w:pPr>
                    <w:tabs>
                      <w:tab w:val="center" w:pos="4153"/>
                      <w:tab w:val="right" w:pos="8306"/>
                    </w:tabs>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聚乙烯外护管</w:t>
                  </w:r>
                  <w:r>
                    <w:rPr>
                      <w:rFonts w:hint="eastAsia" w:ascii="Times New Roman" w:hAnsi="Times New Roman" w:cs="Times New Roman"/>
                      <w:b/>
                      <w:bCs/>
                      <w:color w:val="auto"/>
                      <w:sz w:val="21"/>
                      <w:szCs w:val="21"/>
                      <w:lang w:val="en-US" w:eastAsia="zh-CN"/>
                    </w:rPr>
                    <w:t>生产</w:t>
                  </w:r>
                </w:p>
              </w:tc>
            </w:tr>
            <w:tr w14:paraId="3F98F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FCB0D2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色母</w:t>
                  </w:r>
                </w:p>
              </w:tc>
              <w:tc>
                <w:tcPr>
                  <w:tcW w:w="437" w:type="pct"/>
                  <w:tcBorders>
                    <w:tl2br w:val="nil"/>
                    <w:tr2bl w:val="nil"/>
                  </w:tcBorders>
                  <w:noWrap w:val="0"/>
                  <w:vAlign w:val="center"/>
                </w:tcPr>
                <w:p w14:paraId="452E3F48">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w:t>
                  </w:r>
                </w:p>
              </w:tc>
              <w:tc>
                <w:tcPr>
                  <w:tcW w:w="753" w:type="pct"/>
                  <w:tcBorders>
                    <w:tl2br w:val="nil"/>
                    <w:tr2bl w:val="nil"/>
                  </w:tcBorders>
                  <w:shd w:val="clear" w:color="auto" w:fill="auto"/>
                  <w:noWrap w:val="0"/>
                  <w:vAlign w:val="center"/>
                </w:tcPr>
                <w:p w14:paraId="010C1B4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8.96t/a</w:t>
                  </w:r>
                </w:p>
              </w:tc>
              <w:tc>
                <w:tcPr>
                  <w:tcW w:w="721" w:type="pct"/>
                  <w:tcBorders>
                    <w:tl2br w:val="nil"/>
                    <w:tr2bl w:val="nil"/>
                  </w:tcBorders>
                  <w:noWrap w:val="0"/>
                  <w:vAlign w:val="center"/>
                </w:tcPr>
                <w:p w14:paraId="483C734E">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12.8t/a</w:t>
                  </w:r>
                </w:p>
              </w:tc>
              <w:tc>
                <w:tcPr>
                  <w:tcW w:w="639" w:type="pct"/>
                  <w:tcBorders>
                    <w:tl2br w:val="nil"/>
                    <w:tr2bl w:val="nil"/>
                  </w:tcBorders>
                  <w:noWrap w:val="0"/>
                  <w:vAlign w:val="center"/>
                </w:tcPr>
                <w:p w14:paraId="553F961B">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+3.84</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14C9BDF0">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1.25t</w:t>
                  </w:r>
                </w:p>
              </w:tc>
              <w:tc>
                <w:tcPr>
                  <w:tcW w:w="703" w:type="pct"/>
                  <w:tcBorders>
                    <w:tl2br w:val="nil"/>
                    <w:tr2bl w:val="nil"/>
                  </w:tcBorders>
                  <w:noWrap w:val="0"/>
                  <w:vAlign w:val="center"/>
                </w:tcPr>
                <w:p w14:paraId="4053F79B">
                  <w:pPr>
                    <w:tabs>
                      <w:tab w:val="center" w:pos="4153"/>
                      <w:tab w:val="right" w:pos="8306"/>
                    </w:tabs>
                    <w:snapToGrid w:val="0"/>
                    <w:ind w:left="-105" w:leftChars="-50" w:right="-105" w:rightChars="-5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25kg/袋</w:t>
                  </w:r>
                </w:p>
              </w:tc>
              <w:tc>
                <w:tcPr>
                  <w:tcW w:w="410" w:type="pct"/>
                  <w:vMerge w:val="continue"/>
                  <w:tcBorders>
                    <w:tl2br w:val="nil"/>
                    <w:tr2bl w:val="nil"/>
                  </w:tcBorders>
                  <w:noWrap w:val="0"/>
                  <w:vAlign w:val="center"/>
                </w:tcPr>
                <w:p w14:paraId="6B4A07A6">
                  <w:pPr>
                    <w:tabs>
                      <w:tab w:val="center" w:pos="4153"/>
                      <w:tab w:val="right" w:pos="8306"/>
                    </w:tabs>
                    <w:snapToGrid w:val="0"/>
                    <w:jc w:val="center"/>
                    <w:rPr>
                      <w:rFonts w:hint="default" w:ascii="Times New Roman" w:hAnsi="Times New Roman" w:cs="Times New Roman"/>
                      <w:color w:val="auto"/>
                      <w:sz w:val="21"/>
                      <w:szCs w:val="21"/>
                    </w:rPr>
                  </w:pPr>
                </w:p>
              </w:tc>
            </w:tr>
            <w:tr w14:paraId="1E627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70E8509A">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钢丸</w:t>
                  </w:r>
                </w:p>
              </w:tc>
              <w:tc>
                <w:tcPr>
                  <w:tcW w:w="437" w:type="pct"/>
                  <w:tcBorders>
                    <w:tl2br w:val="nil"/>
                    <w:tr2bl w:val="nil"/>
                  </w:tcBorders>
                  <w:noWrap w:val="0"/>
                  <w:vAlign w:val="center"/>
                </w:tcPr>
                <w:p w14:paraId="2A55BE8A">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w:t>
                  </w:r>
                </w:p>
              </w:tc>
              <w:tc>
                <w:tcPr>
                  <w:tcW w:w="753" w:type="pct"/>
                  <w:tcBorders>
                    <w:tl2br w:val="nil"/>
                    <w:tr2bl w:val="nil"/>
                  </w:tcBorders>
                  <w:shd w:val="clear" w:color="auto" w:fill="auto"/>
                  <w:noWrap w:val="0"/>
                  <w:vAlign w:val="center"/>
                </w:tcPr>
                <w:p w14:paraId="171648F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0.84t/a</w:t>
                  </w:r>
                </w:p>
              </w:tc>
              <w:tc>
                <w:tcPr>
                  <w:tcW w:w="721" w:type="pct"/>
                  <w:tcBorders>
                    <w:tl2br w:val="nil"/>
                    <w:tr2bl w:val="nil"/>
                  </w:tcBorders>
                  <w:noWrap w:val="0"/>
                  <w:vAlign w:val="center"/>
                </w:tcPr>
                <w:p w14:paraId="7EACE609">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t/a</w:t>
                  </w:r>
                </w:p>
              </w:tc>
              <w:tc>
                <w:tcPr>
                  <w:tcW w:w="639" w:type="pct"/>
                  <w:tcBorders>
                    <w:tl2br w:val="nil"/>
                    <w:tr2bl w:val="nil"/>
                  </w:tcBorders>
                  <w:noWrap w:val="0"/>
                  <w:vAlign w:val="center"/>
                </w:tcPr>
                <w:p w14:paraId="03E8FF9C">
                  <w:pPr>
                    <w:tabs>
                      <w:tab w:val="center" w:pos="4153"/>
                      <w:tab w:val="right" w:pos="8306"/>
                    </w:tabs>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+0.36</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12AFFBC1">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rPr>
                    <w:t>t</w:t>
                  </w:r>
                </w:p>
              </w:tc>
              <w:tc>
                <w:tcPr>
                  <w:tcW w:w="703" w:type="pct"/>
                  <w:tcBorders>
                    <w:tl2br w:val="nil"/>
                    <w:tr2bl w:val="nil"/>
                  </w:tcBorders>
                  <w:noWrap w:val="0"/>
                  <w:vAlign w:val="center"/>
                </w:tcPr>
                <w:p w14:paraId="144AA7CD">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袋装</w:t>
                  </w:r>
                </w:p>
              </w:tc>
              <w:tc>
                <w:tcPr>
                  <w:tcW w:w="410" w:type="pct"/>
                  <w:vMerge w:val="continue"/>
                  <w:tcBorders>
                    <w:tl2br w:val="nil"/>
                    <w:tr2bl w:val="nil"/>
                  </w:tcBorders>
                  <w:noWrap w:val="0"/>
                  <w:vAlign w:val="center"/>
                </w:tcPr>
                <w:p w14:paraId="225F2918">
                  <w:pPr>
                    <w:tabs>
                      <w:tab w:val="center" w:pos="4153"/>
                      <w:tab w:val="right" w:pos="8306"/>
                    </w:tabs>
                    <w:snapToGrid w:val="0"/>
                    <w:jc w:val="center"/>
                    <w:rPr>
                      <w:rFonts w:hint="default" w:ascii="Times New Roman" w:hAnsi="Times New Roman" w:cs="Times New Roman"/>
                      <w:color w:val="auto"/>
                      <w:sz w:val="21"/>
                      <w:szCs w:val="21"/>
                    </w:rPr>
                  </w:pPr>
                </w:p>
              </w:tc>
            </w:tr>
            <w:tr w14:paraId="20CA8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pct"/>
                  <w:tcBorders>
                    <w:tl2br w:val="nil"/>
                    <w:tr2bl w:val="nil"/>
                  </w:tcBorders>
                  <w:noWrap w:val="0"/>
                  <w:vAlign w:val="center"/>
                </w:tcPr>
                <w:p w14:paraId="4582B4F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异氰酸酯</w:t>
                  </w:r>
                </w:p>
                <w:p w14:paraId="0D431DC1">
                  <w:pPr>
                    <w:tabs>
                      <w:tab w:val="center" w:pos="4153"/>
                      <w:tab w:val="right" w:pos="8306"/>
                    </w:tabs>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黑料</w:t>
                  </w:r>
                  <w:r>
                    <w:rPr>
                      <w:rFonts w:hint="default" w:ascii="Times New Roman" w:hAnsi="Times New Roman" w:cs="Times New Roman"/>
                      <w:color w:val="auto"/>
                      <w:sz w:val="21"/>
                      <w:szCs w:val="21"/>
                      <w:lang w:eastAsia="zh-CN"/>
                    </w:rPr>
                    <w:t>）</w:t>
                  </w:r>
                </w:p>
              </w:tc>
              <w:tc>
                <w:tcPr>
                  <w:tcW w:w="437" w:type="pct"/>
                  <w:tcBorders>
                    <w:tl2br w:val="nil"/>
                    <w:tr2bl w:val="nil"/>
                  </w:tcBorders>
                  <w:noWrap w:val="0"/>
                  <w:vAlign w:val="center"/>
                </w:tcPr>
                <w:p w14:paraId="1CB92AD7">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w:t>
                  </w:r>
                </w:p>
              </w:tc>
              <w:tc>
                <w:tcPr>
                  <w:tcW w:w="753" w:type="pct"/>
                  <w:tcBorders>
                    <w:tl2br w:val="nil"/>
                    <w:tr2bl w:val="nil"/>
                  </w:tcBorders>
                  <w:shd w:val="clear" w:color="auto" w:fill="auto"/>
                  <w:noWrap w:val="0"/>
                  <w:vAlign w:val="center"/>
                </w:tcPr>
                <w:p w14:paraId="4E7FD1ED">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160t/a</w:t>
                  </w:r>
                </w:p>
              </w:tc>
              <w:tc>
                <w:tcPr>
                  <w:tcW w:w="721" w:type="pct"/>
                  <w:tcBorders>
                    <w:tl2br w:val="nil"/>
                    <w:tr2bl w:val="nil"/>
                  </w:tcBorders>
                  <w:noWrap w:val="0"/>
                  <w:vAlign w:val="center"/>
                </w:tcPr>
                <w:p w14:paraId="15B0C47A">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160t/a</w:t>
                  </w:r>
                </w:p>
              </w:tc>
              <w:tc>
                <w:tcPr>
                  <w:tcW w:w="639" w:type="pct"/>
                  <w:tcBorders>
                    <w:tl2br w:val="nil"/>
                    <w:tr2bl w:val="nil"/>
                  </w:tcBorders>
                  <w:noWrap w:val="0"/>
                  <w:vAlign w:val="center"/>
                </w:tcPr>
                <w:p w14:paraId="4866B4FE">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5622BAB7">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t</w:t>
                  </w:r>
                </w:p>
              </w:tc>
              <w:tc>
                <w:tcPr>
                  <w:tcW w:w="703" w:type="pct"/>
                  <w:tcBorders>
                    <w:tl2br w:val="nil"/>
                    <w:tr2bl w:val="nil"/>
                  </w:tcBorders>
                  <w:noWrap w:val="0"/>
                  <w:vAlign w:val="center"/>
                </w:tcPr>
                <w:p w14:paraId="5B42F12A">
                  <w:pPr>
                    <w:tabs>
                      <w:tab w:val="center" w:pos="4153"/>
                      <w:tab w:val="right" w:pos="8306"/>
                    </w:tabs>
                    <w:snapToGrid w:val="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250kg/桶</w:t>
                  </w:r>
                </w:p>
              </w:tc>
              <w:tc>
                <w:tcPr>
                  <w:tcW w:w="410" w:type="pct"/>
                  <w:vMerge w:val="restart"/>
                  <w:tcBorders>
                    <w:tl2br w:val="nil"/>
                    <w:tr2bl w:val="nil"/>
                  </w:tcBorders>
                  <w:noWrap w:val="0"/>
                  <w:vAlign w:val="center"/>
                </w:tcPr>
                <w:p w14:paraId="0B388B80">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聚氨酯保温管</w:t>
                  </w:r>
                  <w:r>
                    <w:rPr>
                      <w:rFonts w:hint="eastAsia" w:ascii="Times New Roman" w:hAnsi="Times New Roman" w:cs="Times New Roman"/>
                      <w:b/>
                      <w:bCs/>
                      <w:color w:val="auto"/>
                      <w:sz w:val="21"/>
                      <w:szCs w:val="21"/>
                      <w:lang w:val="en-US" w:eastAsia="zh-CN"/>
                    </w:rPr>
                    <w:t>生产</w:t>
                  </w:r>
                </w:p>
              </w:tc>
            </w:tr>
            <w:tr w14:paraId="0961C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pct"/>
                  <w:tcBorders>
                    <w:tl2br w:val="nil"/>
                    <w:tr2bl w:val="nil"/>
                  </w:tcBorders>
                  <w:noWrap w:val="0"/>
                  <w:vAlign w:val="center"/>
                </w:tcPr>
                <w:p w14:paraId="2991C151">
                  <w:pPr>
                    <w:tabs>
                      <w:tab w:val="center" w:pos="4153"/>
                      <w:tab w:val="right" w:pos="8306"/>
                    </w:tabs>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聚醚组合</w:t>
                  </w:r>
                  <w:r>
                    <w:rPr>
                      <w:rFonts w:hint="default" w:ascii="Times New Roman" w:hAnsi="Times New Roman" w:cs="Times New Roman"/>
                      <w:color w:val="auto"/>
                      <w:sz w:val="21"/>
                      <w:szCs w:val="21"/>
                      <w:lang w:val="en-US" w:eastAsia="zh-CN"/>
                    </w:rPr>
                    <w:t>料</w:t>
                  </w:r>
                </w:p>
                <w:p w14:paraId="54AB6FF8">
                  <w:pPr>
                    <w:tabs>
                      <w:tab w:val="center" w:pos="4153"/>
                      <w:tab w:val="right" w:pos="8306"/>
                    </w:tabs>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白料</w:t>
                  </w:r>
                  <w:r>
                    <w:rPr>
                      <w:rFonts w:hint="default" w:ascii="Times New Roman" w:hAnsi="Times New Roman" w:cs="Times New Roman"/>
                      <w:color w:val="auto"/>
                      <w:sz w:val="21"/>
                      <w:szCs w:val="21"/>
                      <w:lang w:eastAsia="zh-CN"/>
                    </w:rPr>
                    <w:t>）</w:t>
                  </w:r>
                </w:p>
              </w:tc>
              <w:tc>
                <w:tcPr>
                  <w:tcW w:w="437" w:type="pct"/>
                  <w:tcBorders>
                    <w:tl2br w:val="nil"/>
                    <w:tr2bl w:val="nil"/>
                  </w:tcBorders>
                  <w:noWrap w:val="0"/>
                  <w:vAlign w:val="center"/>
                </w:tcPr>
                <w:p w14:paraId="6A47BD08">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w:t>
                  </w:r>
                </w:p>
              </w:tc>
              <w:tc>
                <w:tcPr>
                  <w:tcW w:w="753" w:type="pct"/>
                  <w:tcBorders>
                    <w:tl2br w:val="nil"/>
                    <w:tr2bl w:val="nil"/>
                  </w:tcBorders>
                  <w:shd w:val="clear" w:color="auto" w:fill="auto"/>
                  <w:noWrap w:val="0"/>
                  <w:vAlign w:val="center"/>
                </w:tcPr>
                <w:p w14:paraId="33D61FC5">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145t/a</w:t>
                  </w:r>
                </w:p>
              </w:tc>
              <w:tc>
                <w:tcPr>
                  <w:tcW w:w="721" w:type="pct"/>
                  <w:tcBorders>
                    <w:tl2br w:val="nil"/>
                    <w:tr2bl w:val="nil"/>
                  </w:tcBorders>
                  <w:noWrap w:val="0"/>
                  <w:vAlign w:val="center"/>
                </w:tcPr>
                <w:p w14:paraId="6678420C">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145t/a</w:t>
                  </w:r>
                </w:p>
              </w:tc>
              <w:tc>
                <w:tcPr>
                  <w:tcW w:w="639" w:type="pct"/>
                  <w:tcBorders>
                    <w:tl2br w:val="nil"/>
                    <w:tr2bl w:val="nil"/>
                  </w:tcBorders>
                  <w:noWrap w:val="0"/>
                  <w:vAlign w:val="center"/>
                </w:tcPr>
                <w:p w14:paraId="4720FB7C">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394481CA">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t</w:t>
                  </w:r>
                </w:p>
              </w:tc>
              <w:tc>
                <w:tcPr>
                  <w:tcW w:w="703" w:type="pct"/>
                  <w:tcBorders>
                    <w:tl2br w:val="nil"/>
                    <w:tr2bl w:val="nil"/>
                  </w:tcBorders>
                  <w:noWrap w:val="0"/>
                  <w:vAlign w:val="center"/>
                </w:tcPr>
                <w:p w14:paraId="69819018">
                  <w:pPr>
                    <w:tabs>
                      <w:tab w:val="center" w:pos="4153"/>
                      <w:tab w:val="right" w:pos="8306"/>
                    </w:tabs>
                    <w:snapToGrid w:val="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250kg/桶</w:t>
                  </w:r>
                </w:p>
              </w:tc>
              <w:tc>
                <w:tcPr>
                  <w:tcW w:w="410" w:type="pct"/>
                  <w:vMerge w:val="continue"/>
                  <w:tcBorders>
                    <w:tl2br w:val="nil"/>
                    <w:tr2bl w:val="nil"/>
                  </w:tcBorders>
                  <w:noWrap w:val="0"/>
                  <w:vAlign w:val="center"/>
                </w:tcPr>
                <w:p w14:paraId="27FFF00B">
                  <w:pPr>
                    <w:tabs>
                      <w:tab w:val="center" w:pos="4153"/>
                      <w:tab w:val="right" w:pos="8306"/>
                    </w:tabs>
                    <w:snapToGrid w:val="0"/>
                    <w:jc w:val="center"/>
                    <w:rPr>
                      <w:rFonts w:hint="eastAsia" w:ascii="Times New Roman" w:hAnsi="Times New Roman" w:cs="Times New Roman"/>
                      <w:color w:val="auto"/>
                      <w:sz w:val="21"/>
                      <w:szCs w:val="21"/>
                      <w:lang w:val="en-US" w:eastAsia="zh-CN"/>
                    </w:rPr>
                  </w:pPr>
                </w:p>
              </w:tc>
            </w:tr>
            <w:tr w14:paraId="1F91E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EB5AFB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钢管</w:t>
                  </w:r>
                </w:p>
              </w:tc>
              <w:tc>
                <w:tcPr>
                  <w:tcW w:w="437" w:type="pct"/>
                  <w:tcBorders>
                    <w:tl2br w:val="nil"/>
                    <w:tr2bl w:val="nil"/>
                  </w:tcBorders>
                  <w:noWrap w:val="0"/>
                  <w:vAlign w:val="center"/>
                </w:tcPr>
                <w:p w14:paraId="30FE8C1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1C2E90F0">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5000根/a</w:t>
                  </w:r>
                </w:p>
              </w:tc>
              <w:tc>
                <w:tcPr>
                  <w:tcW w:w="721" w:type="pct"/>
                  <w:tcBorders>
                    <w:tl2br w:val="nil"/>
                    <w:tr2bl w:val="nil"/>
                  </w:tcBorders>
                  <w:noWrap w:val="0"/>
                  <w:vAlign w:val="center"/>
                </w:tcPr>
                <w:p w14:paraId="546828B6">
                  <w:pPr>
                    <w:tabs>
                      <w:tab w:val="center" w:pos="4153"/>
                      <w:tab w:val="right" w:pos="8306"/>
                    </w:tabs>
                    <w:snapToGrid w:val="0"/>
                    <w:ind w:left="-105" w:leftChars="-50" w:right="-105" w:rightChars="-5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5000根/</w:t>
                  </w:r>
                  <w:r>
                    <w:rPr>
                      <w:rFonts w:hint="eastAsia" w:ascii="Times New Roman" w:hAnsi="Times New Roman" w:cs="Times New Roman"/>
                      <w:color w:val="auto"/>
                      <w:sz w:val="21"/>
                      <w:szCs w:val="21"/>
                      <w:lang w:val="en-US" w:eastAsia="zh-CN"/>
                    </w:rPr>
                    <w:t>a</w:t>
                  </w:r>
                </w:p>
              </w:tc>
              <w:tc>
                <w:tcPr>
                  <w:tcW w:w="639" w:type="pct"/>
                  <w:tcBorders>
                    <w:tl2br w:val="nil"/>
                    <w:tr2bl w:val="nil"/>
                  </w:tcBorders>
                  <w:noWrap w:val="0"/>
                  <w:vAlign w:val="center"/>
                </w:tcPr>
                <w:p w14:paraId="58883450">
                  <w:pPr>
                    <w:tabs>
                      <w:tab w:val="center" w:pos="4153"/>
                      <w:tab w:val="right" w:pos="8306"/>
                    </w:tabs>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56FFFDF3">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2000根</w:t>
                  </w:r>
                </w:p>
              </w:tc>
              <w:tc>
                <w:tcPr>
                  <w:tcW w:w="703" w:type="pct"/>
                  <w:tcBorders>
                    <w:tl2br w:val="nil"/>
                    <w:tr2bl w:val="nil"/>
                  </w:tcBorders>
                  <w:noWrap w:val="0"/>
                  <w:vAlign w:val="center"/>
                </w:tcPr>
                <w:p w14:paraId="23F4B436">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DN200~1000mm</w:t>
                  </w:r>
                </w:p>
              </w:tc>
              <w:tc>
                <w:tcPr>
                  <w:tcW w:w="410" w:type="pct"/>
                  <w:vMerge w:val="continue"/>
                  <w:tcBorders>
                    <w:tl2br w:val="nil"/>
                    <w:tr2bl w:val="nil"/>
                  </w:tcBorders>
                  <w:noWrap w:val="0"/>
                  <w:vAlign w:val="center"/>
                </w:tcPr>
                <w:p w14:paraId="3527BCC8">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rPr>
                  </w:pPr>
                </w:p>
              </w:tc>
            </w:tr>
            <w:tr w14:paraId="11736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6C8D54F6">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聚乙烯套管</w:t>
                  </w:r>
                </w:p>
              </w:tc>
              <w:tc>
                <w:tcPr>
                  <w:tcW w:w="437" w:type="pct"/>
                  <w:tcBorders>
                    <w:tl2br w:val="nil"/>
                    <w:tr2bl w:val="nil"/>
                  </w:tcBorders>
                  <w:noWrap w:val="0"/>
                  <w:vAlign w:val="center"/>
                </w:tcPr>
                <w:p w14:paraId="3C555BE3">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3A505A63">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450t/a</w:t>
                  </w:r>
                </w:p>
              </w:tc>
              <w:tc>
                <w:tcPr>
                  <w:tcW w:w="721" w:type="pct"/>
                  <w:tcBorders>
                    <w:tl2br w:val="nil"/>
                    <w:tr2bl w:val="nil"/>
                  </w:tcBorders>
                  <w:noWrap w:val="0"/>
                  <w:vAlign w:val="center"/>
                </w:tcPr>
                <w:p w14:paraId="16B27B4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450t/a</w:t>
                  </w:r>
                </w:p>
              </w:tc>
              <w:tc>
                <w:tcPr>
                  <w:tcW w:w="639" w:type="pct"/>
                  <w:tcBorders>
                    <w:tl2br w:val="nil"/>
                    <w:tr2bl w:val="nil"/>
                  </w:tcBorders>
                  <w:noWrap w:val="0"/>
                  <w:vAlign w:val="center"/>
                </w:tcPr>
                <w:p w14:paraId="77D90C29">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6E33CF12">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575693B9">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DN20-1000mm</w:t>
                  </w:r>
                </w:p>
              </w:tc>
              <w:tc>
                <w:tcPr>
                  <w:tcW w:w="410" w:type="pct"/>
                  <w:vMerge w:val="continue"/>
                  <w:tcBorders>
                    <w:tl2br w:val="nil"/>
                    <w:tr2bl w:val="nil"/>
                  </w:tcBorders>
                  <w:noWrap w:val="0"/>
                  <w:vAlign w:val="center"/>
                </w:tcPr>
                <w:p w14:paraId="37F2AA67">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p>
              </w:tc>
            </w:tr>
            <w:tr w14:paraId="61B66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12DC5DAB">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铁丝</w:t>
                  </w:r>
                </w:p>
              </w:tc>
              <w:tc>
                <w:tcPr>
                  <w:tcW w:w="437" w:type="pct"/>
                  <w:tcBorders>
                    <w:tl2br w:val="nil"/>
                    <w:tr2bl w:val="nil"/>
                  </w:tcBorders>
                  <w:noWrap w:val="0"/>
                  <w:vAlign w:val="center"/>
                </w:tcPr>
                <w:p w14:paraId="15D48003">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5E46E84D">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少量</w:t>
                  </w:r>
                </w:p>
              </w:tc>
              <w:tc>
                <w:tcPr>
                  <w:tcW w:w="721" w:type="pct"/>
                  <w:tcBorders>
                    <w:tl2br w:val="nil"/>
                    <w:tr2bl w:val="nil"/>
                  </w:tcBorders>
                  <w:noWrap w:val="0"/>
                  <w:vAlign w:val="center"/>
                </w:tcPr>
                <w:p w14:paraId="1FFD738C">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c>
                <w:tcPr>
                  <w:tcW w:w="639" w:type="pct"/>
                  <w:tcBorders>
                    <w:tl2br w:val="nil"/>
                    <w:tr2bl w:val="nil"/>
                  </w:tcBorders>
                  <w:noWrap w:val="0"/>
                  <w:vAlign w:val="center"/>
                </w:tcPr>
                <w:p w14:paraId="24F21A44">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4A6326F0">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07E82001">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6711A181">
                  <w:pPr>
                    <w:tabs>
                      <w:tab w:val="center" w:pos="4153"/>
                      <w:tab w:val="right" w:pos="8306"/>
                    </w:tabs>
                    <w:snapToGrid w:val="0"/>
                    <w:jc w:val="center"/>
                    <w:rPr>
                      <w:rFonts w:hint="default" w:ascii="Times New Roman" w:hAnsi="Times New Roman" w:cs="Times New Roman"/>
                      <w:color w:val="auto"/>
                      <w:sz w:val="21"/>
                      <w:szCs w:val="21"/>
                    </w:rPr>
                  </w:pPr>
                </w:p>
              </w:tc>
            </w:tr>
            <w:tr w14:paraId="6226F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7044C36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木块</w:t>
                  </w:r>
                </w:p>
              </w:tc>
              <w:tc>
                <w:tcPr>
                  <w:tcW w:w="437" w:type="pct"/>
                  <w:tcBorders>
                    <w:tl2br w:val="nil"/>
                    <w:tr2bl w:val="nil"/>
                  </w:tcBorders>
                  <w:noWrap w:val="0"/>
                  <w:vAlign w:val="center"/>
                </w:tcPr>
                <w:p w14:paraId="7299F526">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5F14D884">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少量</w:t>
                  </w:r>
                </w:p>
              </w:tc>
              <w:tc>
                <w:tcPr>
                  <w:tcW w:w="721" w:type="pct"/>
                  <w:tcBorders>
                    <w:tl2br w:val="nil"/>
                    <w:tr2bl w:val="nil"/>
                  </w:tcBorders>
                  <w:noWrap w:val="0"/>
                  <w:vAlign w:val="center"/>
                </w:tcPr>
                <w:p w14:paraId="0351B283">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c>
                <w:tcPr>
                  <w:tcW w:w="639" w:type="pct"/>
                  <w:tcBorders>
                    <w:tl2br w:val="nil"/>
                    <w:tr2bl w:val="nil"/>
                  </w:tcBorders>
                  <w:noWrap w:val="0"/>
                  <w:vAlign w:val="center"/>
                </w:tcPr>
                <w:p w14:paraId="3DBD122E">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1CCCC62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347DA648">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3A3E9B20">
                  <w:pPr>
                    <w:tabs>
                      <w:tab w:val="center" w:pos="4153"/>
                      <w:tab w:val="right" w:pos="8306"/>
                    </w:tabs>
                    <w:snapToGrid w:val="0"/>
                    <w:jc w:val="center"/>
                    <w:rPr>
                      <w:rFonts w:hint="default" w:ascii="Times New Roman" w:hAnsi="Times New Roman" w:cs="Times New Roman"/>
                      <w:color w:val="auto"/>
                      <w:sz w:val="21"/>
                      <w:szCs w:val="21"/>
                    </w:rPr>
                  </w:pPr>
                </w:p>
              </w:tc>
            </w:tr>
            <w:tr w14:paraId="14066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4BCD0300">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机油</w:t>
                  </w:r>
                </w:p>
              </w:tc>
              <w:tc>
                <w:tcPr>
                  <w:tcW w:w="437" w:type="pct"/>
                  <w:tcBorders>
                    <w:tl2br w:val="nil"/>
                    <w:tr2bl w:val="nil"/>
                  </w:tcBorders>
                  <w:noWrap w:val="0"/>
                  <w:vAlign w:val="center"/>
                </w:tcPr>
                <w:p w14:paraId="43877717">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w:t>
                  </w:r>
                </w:p>
              </w:tc>
              <w:tc>
                <w:tcPr>
                  <w:tcW w:w="753" w:type="pct"/>
                  <w:tcBorders>
                    <w:tl2br w:val="nil"/>
                    <w:tr2bl w:val="nil"/>
                  </w:tcBorders>
                  <w:noWrap w:val="0"/>
                  <w:vAlign w:val="center"/>
                </w:tcPr>
                <w:p w14:paraId="5406EF8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0.5t/a</w:t>
                  </w:r>
                </w:p>
              </w:tc>
              <w:tc>
                <w:tcPr>
                  <w:tcW w:w="721" w:type="pct"/>
                  <w:tcBorders>
                    <w:tl2br w:val="nil"/>
                    <w:tr2bl w:val="nil"/>
                  </w:tcBorders>
                  <w:noWrap w:val="0"/>
                  <w:vAlign w:val="center"/>
                </w:tcPr>
                <w:p w14:paraId="34123ECD">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0.5t/a</w:t>
                  </w:r>
                </w:p>
              </w:tc>
              <w:tc>
                <w:tcPr>
                  <w:tcW w:w="639" w:type="pct"/>
                  <w:tcBorders>
                    <w:tl2br w:val="nil"/>
                    <w:tr2bl w:val="nil"/>
                  </w:tcBorders>
                  <w:noWrap w:val="0"/>
                  <w:vAlign w:val="center"/>
                </w:tcPr>
                <w:p w14:paraId="278DC933">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50CBCD40">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0.32t</w:t>
                  </w:r>
                </w:p>
              </w:tc>
              <w:tc>
                <w:tcPr>
                  <w:tcW w:w="703" w:type="pct"/>
                  <w:tcBorders>
                    <w:tl2br w:val="nil"/>
                    <w:tr2bl w:val="nil"/>
                  </w:tcBorders>
                  <w:noWrap w:val="0"/>
                  <w:vAlign w:val="center"/>
                </w:tcPr>
                <w:p w14:paraId="0ADD4F8C">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160kg/桶</w:t>
                  </w:r>
                </w:p>
              </w:tc>
              <w:tc>
                <w:tcPr>
                  <w:tcW w:w="410" w:type="pct"/>
                  <w:vMerge w:val="restart"/>
                  <w:tcBorders>
                    <w:tl2br w:val="nil"/>
                    <w:tr2bl w:val="nil"/>
                  </w:tcBorders>
                  <w:noWrap w:val="0"/>
                  <w:vAlign w:val="center"/>
                </w:tcPr>
                <w:p w14:paraId="4026F462">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21"/>
                    </w:rPr>
                    <w:t>其</w:t>
                  </w:r>
                  <w:r>
                    <w:rPr>
                      <w:rFonts w:hint="eastAsia" w:ascii="Times New Roman" w:hAnsi="Times New Roman" w:cs="Times New Roman"/>
                      <w:b/>
                      <w:color w:val="auto"/>
                      <w:sz w:val="21"/>
                      <w:szCs w:val="21"/>
                      <w:lang w:val="en-US" w:eastAsia="zh-CN"/>
                    </w:rPr>
                    <w:t>它</w:t>
                  </w:r>
                </w:p>
              </w:tc>
            </w:tr>
            <w:tr w14:paraId="79303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7DF4B7B">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活性炭</w:t>
                  </w:r>
                </w:p>
              </w:tc>
              <w:tc>
                <w:tcPr>
                  <w:tcW w:w="437" w:type="pct"/>
                  <w:tcBorders>
                    <w:tl2br w:val="nil"/>
                    <w:tr2bl w:val="nil"/>
                  </w:tcBorders>
                  <w:noWrap w:val="0"/>
                  <w:vAlign w:val="center"/>
                </w:tcPr>
                <w:p w14:paraId="10376B3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35A744C0">
                  <w:pPr>
                    <w:tabs>
                      <w:tab w:val="center" w:pos="4153"/>
                      <w:tab w:val="right" w:pos="8306"/>
                    </w:tabs>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Cs w:val="21"/>
                    </w:rPr>
                    <w:t>0.</w:t>
                  </w:r>
                  <w:r>
                    <w:rPr>
                      <w:rFonts w:hint="eastAsia" w:ascii="Times New Roman" w:hAnsi="Times New Roman"/>
                      <w:color w:val="auto"/>
                      <w:szCs w:val="21"/>
                    </w:rPr>
                    <w:t>8</w:t>
                  </w:r>
                  <w:r>
                    <w:rPr>
                      <w:rFonts w:ascii="Times New Roman" w:hAnsi="Times New Roman"/>
                      <w:color w:val="auto"/>
                      <w:szCs w:val="21"/>
                    </w:rPr>
                    <w:t>t/a</w:t>
                  </w:r>
                </w:p>
              </w:tc>
              <w:tc>
                <w:tcPr>
                  <w:tcW w:w="721" w:type="pct"/>
                  <w:tcBorders>
                    <w:tl2br w:val="nil"/>
                    <w:tr2bl w:val="nil"/>
                  </w:tcBorders>
                  <w:noWrap w:val="0"/>
                  <w:vAlign w:val="center"/>
                </w:tcPr>
                <w:p w14:paraId="76D7C2F8">
                  <w:pPr>
                    <w:tabs>
                      <w:tab w:val="center" w:pos="4153"/>
                      <w:tab w:val="right" w:pos="8306"/>
                    </w:tabs>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1.35</w:t>
                  </w:r>
                  <w:r>
                    <w:rPr>
                      <w:rFonts w:hint="default" w:ascii="Times New Roman" w:hAnsi="Times New Roman" w:cs="Times New Roman"/>
                      <w:color w:val="auto"/>
                      <w:sz w:val="21"/>
                      <w:szCs w:val="21"/>
                    </w:rPr>
                    <w:t>t/a</w:t>
                  </w:r>
                </w:p>
              </w:tc>
              <w:tc>
                <w:tcPr>
                  <w:tcW w:w="639" w:type="pct"/>
                  <w:tcBorders>
                    <w:tl2br w:val="nil"/>
                    <w:tr2bl w:val="nil"/>
                  </w:tcBorders>
                  <w:noWrap w:val="0"/>
                  <w:vAlign w:val="center"/>
                </w:tcPr>
                <w:p w14:paraId="700CA15B">
                  <w:pPr>
                    <w:tabs>
                      <w:tab w:val="center" w:pos="4153"/>
                      <w:tab w:val="right" w:pos="8306"/>
                    </w:tabs>
                    <w:snapToGrid w:val="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+0.55</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0BF0AD99">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厂内不储存</w:t>
                  </w:r>
                </w:p>
              </w:tc>
              <w:tc>
                <w:tcPr>
                  <w:tcW w:w="703" w:type="pct"/>
                  <w:tcBorders>
                    <w:tl2br w:val="nil"/>
                    <w:tr2bl w:val="nil"/>
                  </w:tcBorders>
                  <w:noWrap w:val="0"/>
                  <w:vAlign w:val="center"/>
                </w:tcPr>
                <w:p w14:paraId="2513A4DA">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50765B8F">
                  <w:pPr>
                    <w:tabs>
                      <w:tab w:val="center" w:pos="4153"/>
                      <w:tab w:val="right" w:pos="8306"/>
                    </w:tabs>
                    <w:snapToGrid w:val="0"/>
                    <w:jc w:val="center"/>
                    <w:rPr>
                      <w:rFonts w:hint="default" w:ascii="Times New Roman" w:hAnsi="Times New Roman" w:eastAsia="宋体" w:cs="Times New Roman"/>
                      <w:color w:val="auto"/>
                      <w:sz w:val="21"/>
                      <w:szCs w:val="21"/>
                    </w:rPr>
                  </w:pPr>
                </w:p>
              </w:tc>
            </w:tr>
            <w:tr w14:paraId="3BE62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6EBFE13D">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水</w:t>
                  </w:r>
                </w:p>
              </w:tc>
              <w:tc>
                <w:tcPr>
                  <w:tcW w:w="437" w:type="pct"/>
                  <w:tcBorders>
                    <w:tl2br w:val="nil"/>
                    <w:tr2bl w:val="nil"/>
                  </w:tcBorders>
                  <w:noWrap w:val="0"/>
                  <w:vAlign w:val="center"/>
                </w:tcPr>
                <w:p w14:paraId="5323A8A2">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3" w:type="pct"/>
                  <w:tcBorders>
                    <w:tl2br w:val="nil"/>
                    <w:tr2bl w:val="nil"/>
                  </w:tcBorders>
                  <w:shd w:val="clear" w:color="auto" w:fill="auto"/>
                  <w:noWrap w:val="0"/>
                  <w:vAlign w:val="center"/>
                </w:tcPr>
                <w:p w14:paraId="04DAE17A">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300</w:t>
                  </w:r>
                  <w:r>
                    <w:rPr>
                      <w:rFonts w:ascii="Times New Roman" w:hAnsi="Times New Roman"/>
                      <w:color w:val="auto"/>
                      <w:szCs w:val="21"/>
                    </w:rPr>
                    <w:t>t/a</w:t>
                  </w:r>
                </w:p>
              </w:tc>
              <w:tc>
                <w:tcPr>
                  <w:tcW w:w="721" w:type="pct"/>
                  <w:tcBorders>
                    <w:tl2br w:val="nil"/>
                    <w:tr2bl w:val="nil"/>
                  </w:tcBorders>
                  <w:noWrap w:val="0"/>
                  <w:vAlign w:val="center"/>
                </w:tcPr>
                <w:p w14:paraId="046B90F9">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403.8</w:t>
                  </w:r>
                  <w:r>
                    <w:rPr>
                      <w:rFonts w:hint="default" w:ascii="Times New Roman" w:hAnsi="Times New Roman" w:cs="Times New Roman"/>
                      <w:color w:val="auto"/>
                      <w:sz w:val="21"/>
                      <w:szCs w:val="21"/>
                    </w:rPr>
                    <w:t>t/a</w:t>
                  </w:r>
                </w:p>
              </w:tc>
              <w:tc>
                <w:tcPr>
                  <w:tcW w:w="639" w:type="pct"/>
                  <w:tcBorders>
                    <w:tl2br w:val="nil"/>
                    <w:tr2bl w:val="nil"/>
                  </w:tcBorders>
                  <w:noWrap w:val="0"/>
                  <w:vAlign w:val="center"/>
                </w:tcPr>
                <w:p w14:paraId="3A68533B">
                  <w:pPr>
                    <w:tabs>
                      <w:tab w:val="center" w:pos="4153"/>
                      <w:tab w:val="right" w:pos="8306"/>
                    </w:tabs>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+103.8</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33B900C3">
                  <w:pPr>
                    <w:tabs>
                      <w:tab w:val="center" w:pos="4153"/>
                      <w:tab w:val="right" w:pos="8306"/>
                    </w:tabs>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28CD6A0A">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7430F3ED">
                  <w:pPr>
                    <w:tabs>
                      <w:tab w:val="center" w:pos="4153"/>
                      <w:tab w:val="right" w:pos="8306"/>
                    </w:tabs>
                    <w:snapToGrid w:val="0"/>
                    <w:jc w:val="center"/>
                    <w:rPr>
                      <w:rFonts w:hint="default" w:ascii="Times New Roman" w:hAnsi="Times New Roman" w:cs="Times New Roman"/>
                      <w:color w:val="auto"/>
                      <w:sz w:val="21"/>
                      <w:szCs w:val="21"/>
                    </w:rPr>
                  </w:pPr>
                </w:p>
              </w:tc>
            </w:tr>
            <w:tr w14:paraId="3FC34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D267CFF">
                  <w:pPr>
                    <w:tabs>
                      <w:tab w:val="center" w:pos="4153"/>
                      <w:tab w:val="right" w:pos="8306"/>
                    </w:tabs>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w:t>
                  </w:r>
                </w:p>
              </w:tc>
              <w:tc>
                <w:tcPr>
                  <w:tcW w:w="437" w:type="pct"/>
                  <w:tcBorders>
                    <w:tl2br w:val="nil"/>
                    <w:tr2bl w:val="nil"/>
                  </w:tcBorders>
                  <w:noWrap w:val="0"/>
                  <w:vAlign w:val="center"/>
                </w:tcPr>
                <w:p w14:paraId="6BA50FBA">
                  <w:pPr>
                    <w:tabs>
                      <w:tab w:val="center" w:pos="4153"/>
                      <w:tab w:val="right" w:pos="8306"/>
                    </w:tabs>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53" w:type="pct"/>
                  <w:tcBorders>
                    <w:tl2br w:val="nil"/>
                    <w:tr2bl w:val="nil"/>
                  </w:tcBorders>
                  <w:shd w:val="clear" w:color="auto" w:fill="auto"/>
                  <w:noWrap w:val="0"/>
                  <w:vAlign w:val="center"/>
                </w:tcPr>
                <w:p w14:paraId="75AB8BB5">
                  <w:pPr>
                    <w:tabs>
                      <w:tab w:val="center" w:pos="4153"/>
                      <w:tab w:val="right" w:pos="8306"/>
                    </w:tabs>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24</w:t>
                  </w:r>
                  <w:r>
                    <w:rPr>
                      <w:rFonts w:ascii="Times New Roman" w:hAnsi="Times New Roman"/>
                      <w:color w:val="auto"/>
                      <w:szCs w:val="21"/>
                    </w:rPr>
                    <w:t>万度/a</w:t>
                  </w:r>
                </w:p>
              </w:tc>
              <w:tc>
                <w:tcPr>
                  <w:tcW w:w="721" w:type="pct"/>
                  <w:tcBorders>
                    <w:tl2br w:val="nil"/>
                    <w:tr2bl w:val="nil"/>
                  </w:tcBorders>
                  <w:noWrap w:val="0"/>
                  <w:vAlign w:val="center"/>
                </w:tcPr>
                <w:p w14:paraId="499C3D63">
                  <w:pPr>
                    <w:tabs>
                      <w:tab w:val="center" w:pos="4153"/>
                      <w:tab w:val="right" w:pos="8306"/>
                    </w:tabs>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r>
                    <w:rPr>
                      <w:rFonts w:hint="default" w:ascii="Times New Roman" w:hAnsi="Times New Roman" w:cs="Times New Roman"/>
                      <w:color w:val="auto"/>
                      <w:sz w:val="21"/>
                      <w:szCs w:val="21"/>
                      <w:highlight w:val="none"/>
                      <w:lang w:val="en-US" w:eastAsia="zh-CN"/>
                    </w:rPr>
                    <w:t>万度</w:t>
                  </w:r>
                  <w:r>
                    <w:rPr>
                      <w:rFonts w:hint="eastAsia" w:ascii="Times New Roman" w:hAnsi="Times New Roman" w:cs="Times New Roman"/>
                      <w:color w:val="auto"/>
                      <w:sz w:val="21"/>
                      <w:szCs w:val="21"/>
                      <w:highlight w:val="none"/>
                      <w:lang w:val="en-US" w:eastAsia="zh-CN"/>
                    </w:rPr>
                    <w:t>/a</w:t>
                  </w:r>
                </w:p>
              </w:tc>
              <w:tc>
                <w:tcPr>
                  <w:tcW w:w="639" w:type="pct"/>
                  <w:tcBorders>
                    <w:tl2br w:val="nil"/>
                    <w:tr2bl w:val="nil"/>
                  </w:tcBorders>
                  <w:noWrap w:val="0"/>
                  <w:vAlign w:val="center"/>
                </w:tcPr>
                <w:p w14:paraId="361D85C5">
                  <w:pPr>
                    <w:tabs>
                      <w:tab w:val="center" w:pos="4153"/>
                      <w:tab w:val="right" w:pos="8306"/>
                    </w:tabs>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万度</w:t>
                  </w:r>
                  <w:r>
                    <w:rPr>
                      <w:rFonts w:hint="eastAsia" w:ascii="Times New Roman" w:hAnsi="Times New Roman" w:cs="Times New Roman"/>
                      <w:color w:val="auto"/>
                      <w:sz w:val="21"/>
                      <w:szCs w:val="21"/>
                      <w:highlight w:val="none"/>
                      <w:lang w:val="en-US" w:eastAsia="zh-CN"/>
                    </w:rPr>
                    <w:t>/a</w:t>
                  </w:r>
                </w:p>
              </w:tc>
              <w:tc>
                <w:tcPr>
                  <w:tcW w:w="611" w:type="pct"/>
                  <w:tcBorders>
                    <w:tl2br w:val="nil"/>
                    <w:tr2bl w:val="nil"/>
                  </w:tcBorders>
                  <w:noWrap w:val="0"/>
                  <w:vAlign w:val="center"/>
                </w:tcPr>
                <w:p w14:paraId="09B3AA28">
                  <w:pPr>
                    <w:tabs>
                      <w:tab w:val="center" w:pos="4153"/>
                      <w:tab w:val="right" w:pos="8306"/>
                    </w:tabs>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03" w:type="pct"/>
                  <w:tcBorders>
                    <w:tl2br w:val="nil"/>
                    <w:tr2bl w:val="nil"/>
                  </w:tcBorders>
                  <w:noWrap w:val="0"/>
                  <w:vAlign w:val="center"/>
                </w:tcPr>
                <w:p w14:paraId="368BD4FC">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224A0736">
                  <w:pPr>
                    <w:tabs>
                      <w:tab w:val="center" w:pos="4153"/>
                      <w:tab w:val="right" w:pos="8306"/>
                    </w:tabs>
                    <w:snapToGrid w:val="0"/>
                    <w:jc w:val="center"/>
                    <w:rPr>
                      <w:rFonts w:hint="default" w:ascii="Times New Roman" w:hAnsi="Times New Roman" w:cs="Times New Roman"/>
                      <w:color w:val="auto"/>
                      <w:sz w:val="21"/>
                      <w:szCs w:val="21"/>
                    </w:rPr>
                  </w:pPr>
                </w:p>
              </w:tc>
            </w:tr>
          </w:tbl>
          <w:p w14:paraId="3FDC92BF">
            <w:pPr>
              <w:spacing w:before="120" w:beforeLines="50" w:line="360" w:lineRule="auto"/>
              <w:ind w:firstLine="480" w:firstLineChars="200"/>
              <w:rPr>
                <w:rFonts w:hint="eastAsia"/>
                <w:color w:val="auto"/>
                <w:sz w:val="24"/>
              </w:rPr>
            </w:pPr>
            <w:r>
              <w:rPr>
                <w:rFonts w:hint="eastAsia"/>
                <w:color w:val="auto"/>
                <w:sz w:val="24"/>
              </w:rPr>
              <w:t>（2）主要原辅材料理化性质</w:t>
            </w:r>
          </w:p>
          <w:p w14:paraId="149876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4"/>
              </w:rPr>
            </w:pPr>
            <w:r>
              <w:rPr>
                <w:rFonts w:hint="eastAsia"/>
                <w:b/>
                <w:bCs/>
                <w:color w:val="auto"/>
                <w:sz w:val="24"/>
              </w:rPr>
              <w:t>表2-</w:t>
            </w:r>
            <w:r>
              <w:rPr>
                <w:rFonts w:hint="eastAsia"/>
                <w:b/>
                <w:bCs/>
                <w:color w:val="auto"/>
                <w:sz w:val="24"/>
                <w:lang w:val="en-US" w:eastAsia="zh-CN"/>
              </w:rPr>
              <w:t>4</w:t>
            </w:r>
            <w:r>
              <w:rPr>
                <w:rFonts w:hint="eastAsia"/>
                <w:b/>
                <w:bCs/>
                <w:color w:val="auto"/>
                <w:sz w:val="24"/>
              </w:rPr>
              <w:t xml:space="preserve">  项目主要原辅材料理化性质一览表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7124"/>
            </w:tblGrid>
            <w:tr w14:paraId="798FB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7" w:type="dxa"/>
                  <w:noWrap w:val="0"/>
                  <w:vAlign w:val="center"/>
                </w:tcPr>
                <w:p w14:paraId="25A03CB6">
                  <w:pPr>
                    <w:jc w:val="center"/>
                    <w:rPr>
                      <w:b/>
                      <w:bCs/>
                      <w:color w:val="auto"/>
                      <w:szCs w:val="21"/>
                    </w:rPr>
                  </w:pPr>
                  <w:r>
                    <w:rPr>
                      <w:rFonts w:hint="eastAsia"/>
                      <w:b/>
                      <w:bCs/>
                      <w:color w:val="auto"/>
                      <w:szCs w:val="21"/>
                    </w:rPr>
                    <w:t>名称</w:t>
                  </w:r>
                </w:p>
              </w:tc>
              <w:tc>
                <w:tcPr>
                  <w:tcW w:w="7124" w:type="dxa"/>
                  <w:noWrap w:val="0"/>
                  <w:vAlign w:val="center"/>
                </w:tcPr>
                <w:p w14:paraId="4FEF7156">
                  <w:pPr>
                    <w:jc w:val="center"/>
                    <w:rPr>
                      <w:b/>
                      <w:bCs/>
                      <w:color w:val="auto"/>
                      <w:szCs w:val="21"/>
                    </w:rPr>
                  </w:pPr>
                  <w:r>
                    <w:rPr>
                      <w:rFonts w:hint="eastAsia"/>
                      <w:b/>
                      <w:bCs/>
                      <w:color w:val="auto"/>
                      <w:szCs w:val="21"/>
                    </w:rPr>
                    <w:t>理化性质</w:t>
                  </w:r>
                </w:p>
              </w:tc>
            </w:tr>
            <w:tr w14:paraId="2380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7" w:type="dxa"/>
                  <w:noWrap w:val="0"/>
                  <w:vAlign w:val="center"/>
                </w:tcPr>
                <w:p w14:paraId="0C01F37B">
                  <w:pPr>
                    <w:jc w:val="center"/>
                    <w:rPr>
                      <w:rFonts w:hint="default" w:eastAsia="宋体"/>
                      <w:color w:val="auto"/>
                      <w:szCs w:val="21"/>
                      <w:lang w:val="en-US" w:eastAsia="zh-CN"/>
                    </w:rPr>
                  </w:pPr>
                  <w:r>
                    <w:rPr>
                      <w:rFonts w:hint="eastAsia" w:eastAsia="宋体"/>
                      <w:color w:val="auto"/>
                      <w:szCs w:val="21"/>
                      <w:lang w:val="en-US" w:eastAsia="zh-CN"/>
                    </w:rPr>
                    <w:t>高密度聚乙烯</w:t>
                  </w:r>
                </w:p>
              </w:tc>
              <w:tc>
                <w:tcPr>
                  <w:tcW w:w="7124" w:type="dxa"/>
                  <w:noWrap w:val="0"/>
                  <w:vAlign w:val="center"/>
                </w:tcPr>
                <w:p w14:paraId="15F05C88">
                  <w:pPr>
                    <w:rPr>
                      <w:rFonts w:hint="eastAsia" w:eastAsia="宋体"/>
                      <w:color w:val="auto"/>
                      <w:szCs w:val="21"/>
                      <w:lang w:eastAsia="zh-CN"/>
                    </w:rPr>
                  </w:pPr>
                  <w:r>
                    <w:rPr>
                      <w:rFonts w:hint="eastAsia"/>
                      <w:color w:val="auto"/>
                      <w:szCs w:val="21"/>
                    </w:rPr>
                    <w:t>（简称为“HDPE”），是一种结晶度高、非极性的热塑性树脂。高密度聚乙烯是种白色粉末颗粒状产品，无毒、无味，密度在0.940~0.976 g/cm3范围内；结晶度为80%~90%，软化点为125~135℃，使用温度可达100℃；熔化温度120~160℃，对于分子较大的材料，建议熔化温度范围在200~250℃之间。</w:t>
                  </w:r>
                </w:p>
              </w:tc>
            </w:tr>
            <w:tr w14:paraId="54186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7" w:type="dxa"/>
                  <w:noWrap w:val="0"/>
                  <w:vAlign w:val="center"/>
                </w:tcPr>
                <w:p w14:paraId="617BD1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Cs w:val="21"/>
                    </w:rPr>
                    <w:t>异氰酸酯</w:t>
                  </w:r>
                </w:p>
              </w:tc>
              <w:tc>
                <w:tcPr>
                  <w:tcW w:w="7124" w:type="dxa"/>
                  <w:noWrap w:val="0"/>
                  <w:vAlign w:val="center"/>
                </w:tcPr>
                <w:p w14:paraId="2DC880B4">
                  <w:pPr>
                    <w:rPr>
                      <w:rFonts w:hint="default" w:eastAsia="宋体"/>
                      <w:color w:val="auto"/>
                      <w:szCs w:val="21"/>
                      <w:lang w:val="en-US" w:eastAsia="zh-CN"/>
                    </w:rPr>
                  </w:pPr>
                  <w:r>
                    <w:rPr>
                      <w:rFonts w:hint="default" w:eastAsia="宋体"/>
                      <w:color w:val="auto"/>
                      <w:szCs w:val="21"/>
                      <w:lang w:val="en-US" w:eastAsia="zh-CN"/>
                    </w:rPr>
                    <w:t>是异氰酸的各种酯的总称，本项目使用多亚甲基多苯基异氰酸酯，简称PAPI，CAS号9016-87-9，棕色粘稠液体，有刺激性气味，密度1.22-1.15g/cm</w:t>
                  </w:r>
                  <w:r>
                    <w:rPr>
                      <w:rFonts w:hint="default" w:eastAsia="宋体"/>
                      <w:color w:val="auto"/>
                      <w:szCs w:val="21"/>
                      <w:vertAlign w:val="superscript"/>
                      <w:lang w:val="en-US" w:eastAsia="zh-CN"/>
                    </w:rPr>
                    <w:t>3</w:t>
                  </w:r>
                  <w:r>
                    <w:rPr>
                      <w:rFonts w:hint="default" w:eastAsia="宋体"/>
                      <w:color w:val="auto"/>
                      <w:szCs w:val="21"/>
                      <w:lang w:val="en-US" w:eastAsia="zh-CN"/>
                    </w:rPr>
                    <w:t>，自然点534℃，升温时能发生自聚作用。溶于氯苯、邻二氯苯、甲苯等。</w:t>
                  </w:r>
                </w:p>
              </w:tc>
            </w:tr>
            <w:tr w14:paraId="498AB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87" w:type="dxa"/>
                  <w:noWrap w:val="0"/>
                  <w:vAlign w:val="center"/>
                </w:tcPr>
                <w:p w14:paraId="4BA17D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eastAsia="宋体"/>
                      <w:color w:val="auto"/>
                      <w:szCs w:val="21"/>
                      <w:lang w:val="en-US" w:eastAsia="zh-CN"/>
                    </w:rPr>
                    <w:t>聚醚组合料</w:t>
                  </w:r>
                </w:p>
              </w:tc>
              <w:tc>
                <w:tcPr>
                  <w:tcW w:w="7124" w:type="dxa"/>
                  <w:noWrap w:val="0"/>
                  <w:vAlign w:val="center"/>
                </w:tcPr>
                <w:p w14:paraId="47AEB1B9">
                  <w:pPr>
                    <w:rPr>
                      <w:rFonts w:hint="default" w:eastAsia="宋体"/>
                      <w:color w:val="auto"/>
                      <w:szCs w:val="21"/>
                      <w:lang w:val="en-US" w:eastAsia="zh-CN"/>
                    </w:rPr>
                  </w:pPr>
                  <w:r>
                    <w:rPr>
                      <w:rFonts w:hint="default" w:eastAsia="宋体"/>
                      <w:color w:val="auto"/>
                      <w:szCs w:val="21"/>
                      <w:lang w:val="en-US" w:eastAsia="zh-CN"/>
                    </w:rPr>
                    <w:t>淡黄色半透明粘稠液体，稍有刺激性气味，相对密度1.07。主要成分为聚醚多元醇（90%）、环戊烷（3%）、三乙烯二胺（4%）、辛酸亚锡（1%）、硅油（1%）和水（2%）。其中环戊烷为发泡剂，三乙烯二胺为交联剂，发泡过程中参与反应，生产CO</w:t>
                  </w:r>
                  <w:r>
                    <w:rPr>
                      <w:rFonts w:hint="default" w:eastAsia="宋体"/>
                      <w:color w:val="auto"/>
                      <w:szCs w:val="21"/>
                      <w:vertAlign w:val="subscript"/>
                      <w:lang w:val="en-US" w:eastAsia="zh-CN"/>
                    </w:rPr>
                    <w:t>2</w:t>
                  </w:r>
                  <w:r>
                    <w:rPr>
                      <w:rFonts w:hint="default" w:eastAsia="宋体"/>
                      <w:color w:val="auto"/>
                      <w:szCs w:val="21"/>
                      <w:lang w:val="en-US" w:eastAsia="zh-CN"/>
                    </w:rPr>
                    <w:t>；辛酸亚锡为催化剂，加速聚氨酯的形成，缩短固化时间，提高发泡质量；硅油为泡沫稳定剂，控制表面张力，提高气泡壁稳定性，使制品泡孔均匀细密，具有良好的机械性能。</w:t>
                  </w:r>
                </w:p>
              </w:tc>
            </w:tr>
          </w:tbl>
          <w:p w14:paraId="5EC89C7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rPr>
            </w:pPr>
            <w:r>
              <w:rPr>
                <w:rFonts w:hint="eastAsia"/>
                <w:b/>
                <w:bCs/>
                <w:color w:val="auto"/>
                <w:sz w:val="24"/>
                <w:lang w:val="en-US" w:eastAsia="zh-CN"/>
              </w:rPr>
              <w:t>4</w:t>
            </w:r>
            <w:r>
              <w:rPr>
                <w:b/>
                <w:bCs/>
                <w:color w:val="auto"/>
                <w:sz w:val="24"/>
              </w:rPr>
              <w:t>、主要设备</w:t>
            </w:r>
          </w:p>
          <w:p w14:paraId="6214293C">
            <w:pPr>
              <w:spacing w:line="360" w:lineRule="auto"/>
              <w:ind w:firstLine="480" w:firstLineChars="200"/>
              <w:rPr>
                <w:rFonts w:hint="eastAsia"/>
                <w:color w:val="auto"/>
                <w:sz w:val="24"/>
              </w:rPr>
            </w:pPr>
            <w:r>
              <w:rPr>
                <w:rFonts w:hint="eastAsia"/>
                <w:color w:val="auto"/>
                <w:sz w:val="24"/>
                <w:lang w:val="en-US" w:eastAsia="zh-CN"/>
              </w:rPr>
              <w:t>本项目主要设备</w:t>
            </w:r>
            <w:r>
              <w:rPr>
                <w:color w:val="auto"/>
                <w:sz w:val="24"/>
              </w:rPr>
              <w:t>具体见下表：</w:t>
            </w:r>
          </w:p>
          <w:p w14:paraId="23C4EF91">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2-</w:t>
            </w:r>
            <w:r>
              <w:rPr>
                <w:rFonts w:hint="eastAsia" w:hAnsi="Times New Roman" w:cs="Times New Roman"/>
                <w:b/>
                <w:bCs/>
                <w:color w:val="auto"/>
                <w:kern w:val="21"/>
                <w:szCs w:val="24"/>
                <w:lang w:val="en-US" w:eastAsia="zh-CN"/>
              </w:rPr>
              <w:t>5</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w:t>
            </w:r>
            <w:r>
              <w:rPr>
                <w:rFonts w:hAnsi="Times New Roman" w:cs="Times New Roman"/>
                <w:b/>
                <w:bCs/>
                <w:color w:val="auto"/>
                <w:kern w:val="21"/>
                <w:szCs w:val="24"/>
              </w:rPr>
              <w:t>项目主要设备一览表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545"/>
              <w:gridCol w:w="2259"/>
              <w:gridCol w:w="1855"/>
              <w:gridCol w:w="974"/>
              <w:gridCol w:w="974"/>
              <w:gridCol w:w="802"/>
              <w:gridCol w:w="802"/>
            </w:tblGrid>
            <w:tr w14:paraId="6740A06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4B1DE397">
                  <w:pPr>
                    <w:adjustRightInd w:val="0"/>
                    <w:snapToGrid w:val="0"/>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375" w:type="pct"/>
                  <w:tcBorders>
                    <w:tl2br w:val="nil"/>
                    <w:tr2bl w:val="nil"/>
                  </w:tcBorders>
                  <w:noWrap w:val="0"/>
                  <w:vAlign w:val="center"/>
                </w:tcPr>
                <w:p w14:paraId="5D8D4201">
                  <w:pPr>
                    <w:adjustRightInd w:val="0"/>
                    <w:snapToGrid w:val="0"/>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129" w:type="pct"/>
                  <w:tcBorders>
                    <w:tl2br w:val="nil"/>
                    <w:tr2bl w:val="nil"/>
                  </w:tcBorders>
                  <w:noWrap w:val="0"/>
                  <w:vAlign w:val="center"/>
                </w:tcPr>
                <w:p w14:paraId="413A96AB">
                  <w:pPr>
                    <w:adjustRightInd w:val="0"/>
                    <w:snapToGrid w:val="0"/>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型号/参数</w:t>
                  </w:r>
                </w:p>
              </w:tc>
              <w:tc>
                <w:tcPr>
                  <w:tcW w:w="593" w:type="pct"/>
                  <w:tcBorders>
                    <w:tl2br w:val="nil"/>
                    <w:tr2bl w:val="nil"/>
                  </w:tcBorders>
                  <w:noWrap w:val="0"/>
                  <w:vAlign w:val="center"/>
                </w:tcPr>
                <w:p w14:paraId="441C6770">
                  <w:pPr>
                    <w:adjustRightInd w:val="0"/>
                    <w:snapToGrid w:val="0"/>
                    <w:ind w:left="-105" w:leftChars="-50" w:right="-105" w:rightChars="-50"/>
                    <w:jc w:val="center"/>
                    <w:rPr>
                      <w:rFonts w:hint="default" w:cs="Times New Roman"/>
                      <w:b/>
                      <w:color w:val="auto"/>
                      <w:sz w:val="21"/>
                      <w:szCs w:val="21"/>
                      <w:lang w:val="en-US" w:eastAsia="zh-CN"/>
                    </w:rPr>
                  </w:pPr>
                  <w:r>
                    <w:rPr>
                      <w:rFonts w:hint="eastAsia" w:cs="Times New Roman"/>
                      <w:b/>
                      <w:color w:val="auto"/>
                      <w:sz w:val="21"/>
                      <w:szCs w:val="21"/>
                      <w:lang w:val="en-US" w:eastAsia="zh-CN"/>
                    </w:rPr>
                    <w:t>迁建前数量</w:t>
                  </w:r>
                </w:p>
              </w:tc>
              <w:tc>
                <w:tcPr>
                  <w:tcW w:w="593" w:type="pct"/>
                  <w:tcBorders>
                    <w:tl2br w:val="nil"/>
                    <w:tr2bl w:val="nil"/>
                  </w:tcBorders>
                  <w:noWrap w:val="0"/>
                  <w:vAlign w:val="center"/>
                </w:tcPr>
                <w:p w14:paraId="43625835">
                  <w:pPr>
                    <w:adjustRightInd w:val="0"/>
                    <w:snapToGrid w:val="0"/>
                    <w:ind w:left="-105" w:leftChars="-50" w:right="-105" w:rightChars="-50"/>
                    <w:jc w:val="center"/>
                    <w:rPr>
                      <w:rFonts w:hint="eastAsia" w:ascii="Times New Roman" w:hAnsi="Times New Roman" w:cs="Times New Roman"/>
                      <w:b/>
                      <w:color w:val="auto"/>
                      <w:sz w:val="21"/>
                      <w:szCs w:val="21"/>
                      <w:lang w:val="en-US" w:eastAsia="zh-CN"/>
                    </w:rPr>
                  </w:pPr>
                  <w:r>
                    <w:rPr>
                      <w:rFonts w:hint="eastAsia" w:cs="Times New Roman"/>
                      <w:b/>
                      <w:color w:val="auto"/>
                      <w:sz w:val="21"/>
                      <w:szCs w:val="21"/>
                      <w:lang w:val="en-US" w:eastAsia="zh-CN"/>
                    </w:rPr>
                    <w:t>迁建后数量</w:t>
                  </w:r>
                </w:p>
              </w:tc>
              <w:tc>
                <w:tcPr>
                  <w:tcW w:w="488" w:type="pct"/>
                  <w:tcBorders>
                    <w:tl2br w:val="nil"/>
                    <w:tr2bl w:val="nil"/>
                  </w:tcBorders>
                  <w:noWrap w:val="0"/>
                  <w:vAlign w:val="center"/>
                </w:tcPr>
                <w:p w14:paraId="4CBFE170">
                  <w:pPr>
                    <w:adjustRightInd w:val="0"/>
                    <w:snapToGrid w:val="0"/>
                    <w:ind w:left="-105" w:leftChars="-50" w:right="-105" w:rightChars="-50"/>
                    <w:jc w:val="center"/>
                    <w:rPr>
                      <w:rFonts w:hint="default" w:cs="Times New Roman"/>
                      <w:b/>
                      <w:color w:val="auto"/>
                      <w:sz w:val="21"/>
                      <w:szCs w:val="21"/>
                      <w:lang w:val="en-US" w:eastAsia="zh-CN"/>
                    </w:rPr>
                  </w:pPr>
                  <w:r>
                    <w:rPr>
                      <w:rFonts w:hint="eastAsia" w:cs="Times New Roman"/>
                      <w:b/>
                      <w:color w:val="auto"/>
                      <w:sz w:val="21"/>
                      <w:szCs w:val="21"/>
                      <w:lang w:val="en-US" w:eastAsia="zh-CN"/>
                    </w:rPr>
                    <w:t>变化量</w:t>
                  </w:r>
                </w:p>
              </w:tc>
              <w:tc>
                <w:tcPr>
                  <w:tcW w:w="488" w:type="pct"/>
                  <w:tcBorders>
                    <w:tl2br w:val="nil"/>
                    <w:tr2bl w:val="nil"/>
                  </w:tcBorders>
                  <w:noWrap w:val="0"/>
                  <w:vAlign w:val="center"/>
                </w:tcPr>
                <w:p w14:paraId="443D2A0B">
                  <w:pPr>
                    <w:adjustRightInd w:val="0"/>
                    <w:snapToGrid w:val="0"/>
                    <w:ind w:left="-105" w:leftChars="-50" w:right="-105" w:rightChars="-5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备注</w:t>
                  </w:r>
                </w:p>
              </w:tc>
            </w:tr>
            <w:tr w14:paraId="69C71CE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C1A65F3">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375" w:type="pct"/>
                  <w:tcBorders>
                    <w:tl2br w:val="nil"/>
                    <w:tr2bl w:val="nil"/>
                  </w:tcBorders>
                  <w:noWrap w:val="0"/>
                  <w:vAlign w:val="center"/>
                </w:tcPr>
                <w:p w14:paraId="1A4A44AC">
                  <w:pPr>
                    <w:widowControl/>
                    <w:ind w:left="-105" w:leftChars="-50" w:right="-105" w:rightChars="-5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挤出机</w:t>
                  </w:r>
                </w:p>
              </w:tc>
              <w:tc>
                <w:tcPr>
                  <w:tcW w:w="1129" w:type="pct"/>
                  <w:tcBorders>
                    <w:tl2br w:val="nil"/>
                    <w:tr2bl w:val="nil"/>
                  </w:tcBorders>
                  <w:noWrap w:val="0"/>
                  <w:vAlign w:val="center"/>
                </w:tcPr>
                <w:p w14:paraId="443BE504">
                  <w:pPr>
                    <w:widowControl/>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SJ-1</w:t>
                  </w:r>
                  <w:r>
                    <w:rPr>
                      <w:rFonts w:hint="eastAsia" w:ascii="Times New Roman" w:hAnsi="Times New Roman" w:cs="Times New Roman"/>
                      <w:color w:val="auto"/>
                      <w:spacing w:val="6"/>
                      <w:sz w:val="21"/>
                      <w:szCs w:val="21"/>
                      <w:lang w:val="en-US" w:eastAsia="zh-CN"/>
                    </w:rPr>
                    <w:t>5</w:t>
                  </w:r>
                  <w:r>
                    <w:rPr>
                      <w:rFonts w:hint="default" w:ascii="Times New Roman" w:hAnsi="Times New Roman" w:cs="Times New Roman"/>
                      <w:color w:val="auto"/>
                      <w:spacing w:val="6"/>
                      <w:sz w:val="21"/>
                      <w:szCs w:val="21"/>
                    </w:rPr>
                    <w:t>0、SJ-120、SJ-90</w:t>
                  </w:r>
                </w:p>
              </w:tc>
              <w:tc>
                <w:tcPr>
                  <w:tcW w:w="593" w:type="pct"/>
                  <w:tcBorders>
                    <w:tl2br w:val="nil"/>
                    <w:tr2bl w:val="nil"/>
                  </w:tcBorders>
                  <w:noWrap w:val="0"/>
                  <w:vAlign w:val="center"/>
                </w:tcPr>
                <w:p w14:paraId="21BA9707">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w:t>
                  </w:r>
                </w:p>
              </w:tc>
              <w:tc>
                <w:tcPr>
                  <w:tcW w:w="593" w:type="pct"/>
                  <w:tcBorders>
                    <w:tl2br w:val="nil"/>
                    <w:tr2bl w:val="nil"/>
                  </w:tcBorders>
                  <w:noWrap w:val="0"/>
                  <w:vAlign w:val="center"/>
                </w:tcPr>
                <w:p w14:paraId="214D0000">
                  <w:pPr>
                    <w:widowControl/>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 w:val="21"/>
                      <w:szCs w:val="21"/>
                      <w:lang w:bidi="ar"/>
                    </w:rPr>
                    <w:t>3</w:t>
                  </w:r>
                </w:p>
              </w:tc>
              <w:tc>
                <w:tcPr>
                  <w:tcW w:w="488" w:type="pct"/>
                  <w:tcBorders>
                    <w:tl2br w:val="nil"/>
                    <w:tr2bl w:val="nil"/>
                  </w:tcBorders>
                  <w:noWrap w:val="0"/>
                  <w:vAlign w:val="center"/>
                </w:tcPr>
                <w:p w14:paraId="17434F10">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488" w:type="pct"/>
                  <w:tcBorders>
                    <w:tl2br w:val="nil"/>
                    <w:tr2bl w:val="nil"/>
                  </w:tcBorders>
                  <w:noWrap w:val="0"/>
                  <w:vAlign w:val="center"/>
                </w:tcPr>
                <w:p w14:paraId="20CA071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搬迁2台，新增1台</w:t>
                  </w:r>
                </w:p>
              </w:tc>
            </w:tr>
            <w:tr w14:paraId="1CA4048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223D72ED">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1375" w:type="pct"/>
                  <w:tcBorders>
                    <w:tl2br w:val="nil"/>
                    <w:tr2bl w:val="nil"/>
                  </w:tcBorders>
                  <w:noWrap w:val="0"/>
                  <w:vAlign w:val="center"/>
                </w:tcPr>
                <w:p w14:paraId="60451AB4">
                  <w:pPr>
                    <w:widowControl/>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真空定径装置</w:t>
                  </w:r>
                </w:p>
              </w:tc>
              <w:tc>
                <w:tcPr>
                  <w:tcW w:w="1129" w:type="pct"/>
                  <w:tcBorders>
                    <w:tl2br w:val="nil"/>
                    <w:tr2bl w:val="nil"/>
                  </w:tcBorders>
                  <w:noWrap w:val="0"/>
                  <w:vAlign w:val="center"/>
                </w:tcPr>
                <w:p w14:paraId="2063738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6000mm×2400mm</w:t>
                  </w:r>
                </w:p>
              </w:tc>
              <w:tc>
                <w:tcPr>
                  <w:tcW w:w="593" w:type="pct"/>
                  <w:tcBorders>
                    <w:tl2br w:val="nil"/>
                    <w:tr2bl w:val="nil"/>
                  </w:tcBorders>
                  <w:shd w:val="clear" w:color="auto" w:fill="auto"/>
                  <w:noWrap w:val="0"/>
                  <w:vAlign w:val="center"/>
                </w:tcPr>
                <w:p w14:paraId="2CB7568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783DB34E">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24587B20">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restart"/>
                  <w:tcBorders>
                    <w:tl2br w:val="nil"/>
                    <w:tr2bl w:val="nil"/>
                  </w:tcBorders>
                  <w:noWrap w:val="0"/>
                  <w:vAlign w:val="center"/>
                </w:tcPr>
                <w:p w14:paraId="7E9F7CDE">
                  <w:pPr>
                    <w:widowControl/>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搬迁</w:t>
                  </w:r>
                </w:p>
              </w:tc>
            </w:tr>
            <w:tr w14:paraId="647D883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EABCA22">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p>
              </w:tc>
              <w:tc>
                <w:tcPr>
                  <w:tcW w:w="1375" w:type="pct"/>
                  <w:tcBorders>
                    <w:tl2br w:val="nil"/>
                    <w:tr2bl w:val="nil"/>
                  </w:tcBorders>
                  <w:noWrap w:val="0"/>
                  <w:vAlign w:val="center"/>
                </w:tcPr>
                <w:p w14:paraId="5A0EB23E">
                  <w:pPr>
                    <w:widowControl/>
                    <w:ind w:left="-105" w:leftChars="-50" w:right="-105" w:rightChars="-5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搅拌上料一体机</w:t>
                  </w:r>
                </w:p>
              </w:tc>
              <w:tc>
                <w:tcPr>
                  <w:tcW w:w="1129" w:type="pct"/>
                  <w:tcBorders>
                    <w:tl2br w:val="nil"/>
                    <w:tr2bl w:val="nil"/>
                  </w:tcBorders>
                  <w:noWrap w:val="0"/>
                  <w:vAlign w:val="center"/>
                </w:tcPr>
                <w:p w14:paraId="08E1D7AA">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D86C4B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0AD1F952">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197B437B">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21CB195">
                  <w:pPr>
                    <w:widowControl/>
                    <w:jc w:val="center"/>
                    <w:textAlignment w:val="center"/>
                    <w:rPr>
                      <w:rFonts w:hint="default" w:ascii="Times New Roman" w:hAnsi="Times New Roman" w:cs="Times New Roman"/>
                      <w:color w:val="auto"/>
                      <w:kern w:val="0"/>
                      <w:sz w:val="21"/>
                      <w:szCs w:val="21"/>
                      <w:lang w:bidi="ar"/>
                    </w:rPr>
                  </w:pPr>
                </w:p>
              </w:tc>
            </w:tr>
            <w:tr w14:paraId="06AC923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A2BD168">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1375" w:type="pct"/>
                  <w:tcBorders>
                    <w:tl2br w:val="nil"/>
                    <w:tr2bl w:val="nil"/>
                  </w:tcBorders>
                  <w:noWrap w:val="0"/>
                  <w:vAlign w:val="center"/>
                </w:tcPr>
                <w:p w14:paraId="1FA5B5B6">
                  <w:pPr>
                    <w:widowControl/>
                    <w:ind w:left="-105" w:leftChars="-50" w:right="-105" w:rightChars="-5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pacing w:val="6"/>
                      <w:sz w:val="21"/>
                      <w:szCs w:val="21"/>
                    </w:rPr>
                    <w:t>切割锯</w:t>
                  </w:r>
                </w:p>
              </w:tc>
              <w:tc>
                <w:tcPr>
                  <w:tcW w:w="1129" w:type="pct"/>
                  <w:tcBorders>
                    <w:tl2br w:val="nil"/>
                    <w:tr2bl w:val="nil"/>
                  </w:tcBorders>
                  <w:noWrap w:val="0"/>
                  <w:vAlign w:val="center"/>
                </w:tcPr>
                <w:p w14:paraId="5A3C56EF">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4000mm×3300mm</w:t>
                  </w:r>
                </w:p>
              </w:tc>
              <w:tc>
                <w:tcPr>
                  <w:tcW w:w="593" w:type="pct"/>
                  <w:tcBorders>
                    <w:tl2br w:val="nil"/>
                    <w:tr2bl w:val="nil"/>
                  </w:tcBorders>
                  <w:shd w:val="clear" w:color="auto" w:fill="auto"/>
                  <w:noWrap w:val="0"/>
                  <w:vAlign w:val="center"/>
                </w:tcPr>
                <w:p w14:paraId="2F2F54D0">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7BA3CC61">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55950A9E">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DA21532">
                  <w:pPr>
                    <w:widowControl/>
                    <w:jc w:val="center"/>
                    <w:textAlignment w:val="center"/>
                    <w:rPr>
                      <w:rFonts w:hint="default" w:ascii="Times New Roman" w:hAnsi="Times New Roman" w:cs="Times New Roman"/>
                      <w:color w:val="auto"/>
                      <w:kern w:val="0"/>
                      <w:sz w:val="21"/>
                      <w:szCs w:val="21"/>
                      <w:lang w:bidi="ar"/>
                    </w:rPr>
                  </w:pPr>
                </w:p>
              </w:tc>
            </w:tr>
            <w:tr w14:paraId="38EE6D9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1FF5A0FC">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375" w:type="pct"/>
                  <w:tcBorders>
                    <w:tl2br w:val="nil"/>
                    <w:tr2bl w:val="nil"/>
                  </w:tcBorders>
                  <w:noWrap w:val="0"/>
                  <w:vAlign w:val="center"/>
                </w:tcPr>
                <w:p w14:paraId="0491A4BA">
                  <w:pPr>
                    <w:widowControl/>
                    <w:ind w:left="-105" w:leftChars="-50" w:right="-105" w:rightChars="-5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牵引机</w:t>
                  </w:r>
                </w:p>
              </w:tc>
              <w:tc>
                <w:tcPr>
                  <w:tcW w:w="1129" w:type="pct"/>
                  <w:tcBorders>
                    <w:tl2br w:val="nil"/>
                    <w:tr2bl w:val="nil"/>
                  </w:tcBorders>
                  <w:noWrap w:val="0"/>
                  <w:vAlign w:val="center"/>
                </w:tcPr>
                <w:p w14:paraId="217E6CD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3600mm×4000mm</w:t>
                  </w:r>
                </w:p>
              </w:tc>
              <w:tc>
                <w:tcPr>
                  <w:tcW w:w="593" w:type="pct"/>
                  <w:tcBorders>
                    <w:tl2br w:val="nil"/>
                    <w:tr2bl w:val="nil"/>
                  </w:tcBorders>
                  <w:shd w:val="clear" w:color="auto" w:fill="auto"/>
                  <w:noWrap w:val="0"/>
                  <w:vAlign w:val="center"/>
                </w:tcPr>
                <w:p w14:paraId="365C5A5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4B830AA0">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564B9CD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3BB288B6">
                  <w:pPr>
                    <w:widowControl/>
                    <w:jc w:val="center"/>
                    <w:textAlignment w:val="center"/>
                    <w:rPr>
                      <w:rFonts w:hint="default" w:ascii="Times New Roman" w:hAnsi="Times New Roman" w:cs="Times New Roman"/>
                      <w:color w:val="auto"/>
                      <w:kern w:val="0"/>
                      <w:sz w:val="21"/>
                      <w:szCs w:val="21"/>
                      <w:lang w:bidi="ar"/>
                    </w:rPr>
                  </w:pPr>
                </w:p>
              </w:tc>
            </w:tr>
            <w:tr w14:paraId="161F563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020475E7">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w:t>
                  </w:r>
                </w:p>
              </w:tc>
              <w:tc>
                <w:tcPr>
                  <w:tcW w:w="1375" w:type="pct"/>
                  <w:tcBorders>
                    <w:tl2br w:val="nil"/>
                    <w:tr2bl w:val="nil"/>
                  </w:tcBorders>
                  <w:noWrap w:val="0"/>
                  <w:vAlign w:val="center"/>
                </w:tcPr>
                <w:p w14:paraId="4C5860BD">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手持电锯</w:t>
                  </w:r>
                </w:p>
              </w:tc>
              <w:tc>
                <w:tcPr>
                  <w:tcW w:w="1129" w:type="pct"/>
                  <w:tcBorders>
                    <w:tl2br w:val="nil"/>
                    <w:tr2bl w:val="nil"/>
                  </w:tcBorders>
                  <w:noWrap w:val="0"/>
                  <w:vAlign w:val="center"/>
                </w:tcPr>
                <w:p w14:paraId="665CDDE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18C4FAA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29C2709F">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0D0D268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721EF67">
                  <w:pPr>
                    <w:widowControl/>
                    <w:jc w:val="center"/>
                    <w:textAlignment w:val="center"/>
                    <w:rPr>
                      <w:rFonts w:hint="default" w:ascii="Times New Roman" w:hAnsi="Times New Roman" w:cs="Times New Roman"/>
                      <w:color w:val="auto"/>
                      <w:kern w:val="0"/>
                      <w:sz w:val="21"/>
                      <w:szCs w:val="21"/>
                      <w:lang w:bidi="ar"/>
                    </w:rPr>
                  </w:pPr>
                </w:p>
              </w:tc>
            </w:tr>
            <w:tr w14:paraId="1C5074F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07C9428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w:t>
                  </w:r>
                </w:p>
              </w:tc>
              <w:tc>
                <w:tcPr>
                  <w:tcW w:w="1375" w:type="pct"/>
                  <w:tcBorders>
                    <w:tl2br w:val="nil"/>
                    <w:tr2bl w:val="nil"/>
                  </w:tcBorders>
                  <w:noWrap w:val="0"/>
                  <w:vAlign w:val="center"/>
                </w:tcPr>
                <w:p w14:paraId="1FBFB5E8">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手持小型电钻</w:t>
                  </w:r>
                </w:p>
              </w:tc>
              <w:tc>
                <w:tcPr>
                  <w:tcW w:w="1129" w:type="pct"/>
                  <w:tcBorders>
                    <w:tl2br w:val="nil"/>
                    <w:tr2bl w:val="nil"/>
                  </w:tcBorders>
                  <w:noWrap w:val="0"/>
                  <w:vAlign w:val="center"/>
                </w:tcPr>
                <w:p w14:paraId="2F03BA3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F8AECB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2986B6B3">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70706EAF">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478D902">
                  <w:pPr>
                    <w:widowControl/>
                    <w:jc w:val="center"/>
                    <w:textAlignment w:val="center"/>
                    <w:rPr>
                      <w:rFonts w:hint="default" w:ascii="Times New Roman" w:hAnsi="Times New Roman" w:cs="Times New Roman"/>
                      <w:color w:val="auto"/>
                      <w:kern w:val="0"/>
                      <w:sz w:val="21"/>
                      <w:szCs w:val="21"/>
                      <w:lang w:bidi="ar"/>
                    </w:rPr>
                  </w:pPr>
                </w:p>
              </w:tc>
            </w:tr>
            <w:tr w14:paraId="63E14A4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1E8665F8">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8</w:t>
                  </w:r>
                </w:p>
              </w:tc>
              <w:tc>
                <w:tcPr>
                  <w:tcW w:w="1375" w:type="pct"/>
                  <w:tcBorders>
                    <w:tl2br w:val="nil"/>
                    <w:tr2bl w:val="nil"/>
                  </w:tcBorders>
                  <w:noWrap w:val="0"/>
                  <w:vAlign w:val="center"/>
                </w:tcPr>
                <w:p w14:paraId="4B04AD61">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发泡生产机组</w:t>
                  </w:r>
                </w:p>
              </w:tc>
              <w:tc>
                <w:tcPr>
                  <w:tcW w:w="1129" w:type="pct"/>
                  <w:tcBorders>
                    <w:tl2br w:val="nil"/>
                    <w:tr2bl w:val="nil"/>
                  </w:tcBorders>
                  <w:noWrap w:val="0"/>
                  <w:vAlign w:val="center"/>
                </w:tcPr>
                <w:p w14:paraId="64CC7AB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09E88A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593" w:type="pct"/>
                  <w:tcBorders>
                    <w:tl2br w:val="nil"/>
                    <w:tr2bl w:val="nil"/>
                  </w:tcBorders>
                  <w:noWrap w:val="0"/>
                  <w:vAlign w:val="center"/>
                </w:tcPr>
                <w:p w14:paraId="6BF4EDE6">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488" w:type="pct"/>
                  <w:tcBorders>
                    <w:tl2br w:val="nil"/>
                    <w:tr2bl w:val="nil"/>
                  </w:tcBorders>
                  <w:noWrap w:val="0"/>
                  <w:vAlign w:val="center"/>
                </w:tcPr>
                <w:p w14:paraId="5228298E">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36DB767B">
                  <w:pPr>
                    <w:widowControl/>
                    <w:jc w:val="center"/>
                    <w:textAlignment w:val="center"/>
                    <w:rPr>
                      <w:rFonts w:hint="default" w:ascii="Times New Roman" w:hAnsi="Times New Roman" w:cs="Times New Roman"/>
                      <w:color w:val="auto"/>
                      <w:kern w:val="0"/>
                      <w:sz w:val="21"/>
                      <w:szCs w:val="21"/>
                      <w:lang w:bidi="ar"/>
                    </w:rPr>
                  </w:pPr>
                </w:p>
              </w:tc>
            </w:tr>
            <w:tr w14:paraId="2CC976B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04B338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p>
              </w:tc>
              <w:tc>
                <w:tcPr>
                  <w:tcW w:w="1375" w:type="pct"/>
                  <w:tcBorders>
                    <w:tl2br w:val="nil"/>
                    <w:tr2bl w:val="nil"/>
                  </w:tcBorders>
                  <w:noWrap w:val="0"/>
                  <w:vAlign w:val="center"/>
                </w:tcPr>
                <w:p w14:paraId="021C7708">
                  <w:pPr>
                    <w:widowControl/>
                    <w:ind w:left="-105" w:leftChars="-50" w:right="-105" w:rightChars="-50"/>
                    <w:jc w:val="center"/>
                    <w:textAlignment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pacing w:val="6"/>
                      <w:sz w:val="21"/>
                      <w:szCs w:val="21"/>
                    </w:rPr>
                    <w:t>穿管机</w:t>
                  </w:r>
                  <w:r>
                    <w:rPr>
                      <w:rFonts w:hint="default" w:ascii="Times New Roman" w:hAnsi="Times New Roman" w:cs="Times New Roman"/>
                      <w:color w:val="auto"/>
                      <w:spacing w:val="6"/>
                      <w:sz w:val="21"/>
                      <w:szCs w:val="21"/>
                      <w:lang w:eastAsia="zh-CN"/>
                    </w:rPr>
                    <w:t>（</w:t>
                  </w:r>
                  <w:r>
                    <w:rPr>
                      <w:rFonts w:hint="default" w:ascii="Times New Roman" w:hAnsi="Times New Roman" w:cs="Times New Roman"/>
                      <w:color w:val="auto"/>
                      <w:sz w:val="21"/>
                      <w:szCs w:val="21"/>
                    </w:rPr>
                    <w:t>自带穿管平台</w:t>
                  </w:r>
                  <w:r>
                    <w:rPr>
                      <w:rFonts w:hint="default" w:ascii="Times New Roman" w:hAnsi="Times New Roman" w:cs="Times New Roman"/>
                      <w:color w:val="auto"/>
                      <w:spacing w:val="6"/>
                      <w:sz w:val="21"/>
                      <w:szCs w:val="21"/>
                      <w:lang w:eastAsia="zh-CN"/>
                    </w:rPr>
                    <w:t>）</w:t>
                  </w:r>
                </w:p>
              </w:tc>
              <w:tc>
                <w:tcPr>
                  <w:tcW w:w="1129" w:type="pct"/>
                  <w:tcBorders>
                    <w:tl2br w:val="nil"/>
                    <w:tr2bl w:val="nil"/>
                  </w:tcBorders>
                  <w:noWrap w:val="0"/>
                  <w:vAlign w:val="center"/>
                </w:tcPr>
                <w:p w14:paraId="2FE3CD1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4D8184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43846DC1">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445DB0BF">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5139ECA">
                  <w:pPr>
                    <w:widowControl/>
                    <w:jc w:val="center"/>
                    <w:textAlignment w:val="center"/>
                    <w:rPr>
                      <w:rFonts w:hint="default" w:ascii="Times New Roman" w:hAnsi="Times New Roman" w:cs="Times New Roman"/>
                      <w:color w:val="auto"/>
                      <w:kern w:val="0"/>
                      <w:sz w:val="21"/>
                      <w:szCs w:val="21"/>
                      <w:lang w:bidi="ar"/>
                    </w:rPr>
                  </w:pPr>
                </w:p>
              </w:tc>
            </w:tr>
            <w:tr w14:paraId="363DD40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04B67DA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w:t>
                  </w:r>
                </w:p>
              </w:tc>
              <w:tc>
                <w:tcPr>
                  <w:tcW w:w="1375" w:type="pct"/>
                  <w:tcBorders>
                    <w:tl2br w:val="nil"/>
                    <w:tr2bl w:val="nil"/>
                  </w:tcBorders>
                  <w:noWrap w:val="0"/>
                  <w:vAlign w:val="center"/>
                </w:tcPr>
                <w:p w14:paraId="5EDC9715">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下管机</w:t>
                  </w:r>
                </w:p>
              </w:tc>
              <w:tc>
                <w:tcPr>
                  <w:tcW w:w="1129" w:type="pct"/>
                  <w:tcBorders>
                    <w:tl2br w:val="nil"/>
                    <w:tr2bl w:val="nil"/>
                  </w:tcBorders>
                  <w:noWrap w:val="0"/>
                  <w:vAlign w:val="center"/>
                </w:tcPr>
                <w:p w14:paraId="366FC63F">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50BCD59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17B9F7F1">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6AD25E8B">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5E1A3F7">
                  <w:pPr>
                    <w:widowControl/>
                    <w:jc w:val="center"/>
                    <w:textAlignment w:val="center"/>
                    <w:rPr>
                      <w:rFonts w:hint="default" w:ascii="Times New Roman" w:hAnsi="Times New Roman" w:cs="Times New Roman"/>
                      <w:color w:val="auto"/>
                      <w:kern w:val="0"/>
                      <w:sz w:val="21"/>
                      <w:szCs w:val="21"/>
                      <w:lang w:bidi="ar"/>
                    </w:rPr>
                  </w:pPr>
                </w:p>
              </w:tc>
            </w:tr>
            <w:tr w14:paraId="3E63CD2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DAD559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w:t>
                  </w:r>
                </w:p>
              </w:tc>
              <w:tc>
                <w:tcPr>
                  <w:tcW w:w="1375" w:type="pct"/>
                  <w:tcBorders>
                    <w:tl2br w:val="nil"/>
                    <w:tr2bl w:val="nil"/>
                  </w:tcBorders>
                  <w:noWrap w:val="0"/>
                  <w:vAlign w:val="center"/>
                </w:tcPr>
                <w:p w14:paraId="1E55CA17">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上管机</w:t>
                  </w:r>
                </w:p>
              </w:tc>
              <w:tc>
                <w:tcPr>
                  <w:tcW w:w="1129" w:type="pct"/>
                  <w:tcBorders>
                    <w:tl2br w:val="nil"/>
                    <w:tr2bl w:val="nil"/>
                  </w:tcBorders>
                  <w:noWrap w:val="0"/>
                  <w:vAlign w:val="center"/>
                </w:tcPr>
                <w:p w14:paraId="5010BB13">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7399827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6EEADE6D">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646E69E6">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4F2CF91">
                  <w:pPr>
                    <w:widowControl/>
                    <w:jc w:val="center"/>
                    <w:textAlignment w:val="center"/>
                    <w:rPr>
                      <w:rFonts w:hint="default" w:ascii="Times New Roman" w:hAnsi="Times New Roman" w:cs="Times New Roman"/>
                      <w:color w:val="auto"/>
                      <w:kern w:val="0"/>
                      <w:sz w:val="21"/>
                      <w:szCs w:val="21"/>
                      <w:lang w:bidi="ar"/>
                    </w:rPr>
                  </w:pPr>
                </w:p>
              </w:tc>
            </w:tr>
            <w:tr w14:paraId="3E3B72D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4FFDB5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12</w:t>
                  </w:r>
                </w:p>
              </w:tc>
              <w:tc>
                <w:tcPr>
                  <w:tcW w:w="1375" w:type="pct"/>
                  <w:tcBorders>
                    <w:tl2br w:val="nil"/>
                    <w:tr2bl w:val="nil"/>
                  </w:tcBorders>
                  <w:noWrap w:val="0"/>
                  <w:vAlign w:val="center"/>
                </w:tcPr>
                <w:p w14:paraId="3044FDAD">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全自动液压纠偏机</w:t>
                  </w:r>
                </w:p>
              </w:tc>
              <w:tc>
                <w:tcPr>
                  <w:tcW w:w="1129" w:type="pct"/>
                  <w:tcBorders>
                    <w:tl2br w:val="nil"/>
                    <w:tr2bl w:val="nil"/>
                  </w:tcBorders>
                  <w:noWrap w:val="0"/>
                  <w:vAlign w:val="center"/>
                </w:tcPr>
                <w:p w14:paraId="22E190C5">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0F3E25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593" w:type="pct"/>
                  <w:tcBorders>
                    <w:tl2br w:val="nil"/>
                    <w:tr2bl w:val="nil"/>
                  </w:tcBorders>
                  <w:noWrap w:val="0"/>
                  <w:vAlign w:val="center"/>
                </w:tcPr>
                <w:p w14:paraId="070BE463">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488" w:type="pct"/>
                  <w:tcBorders>
                    <w:tl2br w:val="nil"/>
                    <w:tr2bl w:val="nil"/>
                  </w:tcBorders>
                  <w:noWrap w:val="0"/>
                  <w:vAlign w:val="center"/>
                </w:tcPr>
                <w:p w14:paraId="165A3F62">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5086B2ED">
                  <w:pPr>
                    <w:widowControl/>
                    <w:jc w:val="center"/>
                    <w:textAlignment w:val="center"/>
                    <w:rPr>
                      <w:rFonts w:hint="default" w:ascii="Times New Roman" w:hAnsi="Times New Roman" w:cs="Times New Roman"/>
                      <w:color w:val="auto"/>
                      <w:kern w:val="0"/>
                      <w:sz w:val="21"/>
                      <w:szCs w:val="21"/>
                      <w:lang w:bidi="ar"/>
                    </w:rPr>
                  </w:pPr>
                </w:p>
              </w:tc>
            </w:tr>
            <w:tr w14:paraId="7F131D3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60EAFA2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13</w:t>
                  </w:r>
                </w:p>
              </w:tc>
              <w:tc>
                <w:tcPr>
                  <w:tcW w:w="1375" w:type="pct"/>
                  <w:tcBorders>
                    <w:tl2br w:val="nil"/>
                    <w:tr2bl w:val="nil"/>
                  </w:tcBorders>
                  <w:noWrap w:val="0"/>
                  <w:vAlign w:val="center"/>
                </w:tcPr>
                <w:p w14:paraId="0022A8CF">
                  <w:pPr>
                    <w:widowControl/>
                    <w:ind w:left="-105" w:leftChars="-50" w:right="-105" w:rightChars="-50"/>
                    <w:jc w:val="center"/>
                    <w:textAlignment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除锈机（配套除尘器）</w:t>
                  </w:r>
                </w:p>
              </w:tc>
              <w:tc>
                <w:tcPr>
                  <w:tcW w:w="1129" w:type="pct"/>
                  <w:tcBorders>
                    <w:tl2br w:val="nil"/>
                    <w:tr2bl w:val="nil"/>
                  </w:tcBorders>
                  <w:noWrap w:val="0"/>
                  <w:vAlign w:val="center"/>
                </w:tcPr>
                <w:p w14:paraId="30499B11">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475809A">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593" w:type="pct"/>
                  <w:tcBorders>
                    <w:tl2br w:val="nil"/>
                    <w:tr2bl w:val="nil"/>
                  </w:tcBorders>
                  <w:noWrap w:val="0"/>
                  <w:vAlign w:val="center"/>
                </w:tcPr>
                <w:p w14:paraId="5DFA4D49">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488" w:type="pct"/>
                  <w:tcBorders>
                    <w:tl2br w:val="nil"/>
                    <w:tr2bl w:val="nil"/>
                  </w:tcBorders>
                  <w:noWrap w:val="0"/>
                  <w:vAlign w:val="center"/>
                </w:tcPr>
                <w:p w14:paraId="7FC75965">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49242A2D">
                  <w:pPr>
                    <w:widowControl/>
                    <w:jc w:val="center"/>
                    <w:textAlignment w:val="center"/>
                    <w:rPr>
                      <w:rFonts w:hint="default" w:ascii="Times New Roman" w:hAnsi="Times New Roman" w:cs="Times New Roman"/>
                      <w:color w:val="auto"/>
                      <w:kern w:val="0"/>
                      <w:sz w:val="21"/>
                      <w:szCs w:val="21"/>
                      <w:lang w:val="en-US" w:eastAsia="zh-CN" w:bidi="ar"/>
                    </w:rPr>
                  </w:pPr>
                </w:p>
              </w:tc>
            </w:tr>
            <w:tr w14:paraId="0347354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28C6F84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14</w:t>
                  </w:r>
                </w:p>
              </w:tc>
              <w:tc>
                <w:tcPr>
                  <w:tcW w:w="1375" w:type="pct"/>
                  <w:tcBorders>
                    <w:tl2br w:val="nil"/>
                    <w:tr2bl w:val="nil"/>
                  </w:tcBorders>
                  <w:noWrap w:val="0"/>
                  <w:vAlign w:val="center"/>
                </w:tcPr>
                <w:p w14:paraId="2B5D33FF">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叉车</w:t>
                  </w:r>
                </w:p>
              </w:tc>
              <w:tc>
                <w:tcPr>
                  <w:tcW w:w="1129" w:type="pct"/>
                  <w:tcBorders>
                    <w:tl2br w:val="nil"/>
                    <w:tr2bl w:val="nil"/>
                  </w:tcBorders>
                  <w:noWrap w:val="0"/>
                  <w:vAlign w:val="center"/>
                </w:tcPr>
                <w:p w14:paraId="1385928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009ADD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3</w:t>
                  </w:r>
                </w:p>
              </w:tc>
              <w:tc>
                <w:tcPr>
                  <w:tcW w:w="593" w:type="pct"/>
                  <w:tcBorders>
                    <w:tl2br w:val="nil"/>
                    <w:tr2bl w:val="nil"/>
                  </w:tcBorders>
                  <w:noWrap w:val="0"/>
                  <w:vAlign w:val="center"/>
                </w:tcPr>
                <w:p w14:paraId="683BBE0C">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3</w:t>
                  </w:r>
                </w:p>
              </w:tc>
              <w:tc>
                <w:tcPr>
                  <w:tcW w:w="488" w:type="pct"/>
                  <w:tcBorders>
                    <w:tl2br w:val="nil"/>
                    <w:tr2bl w:val="nil"/>
                  </w:tcBorders>
                  <w:noWrap w:val="0"/>
                  <w:vAlign w:val="center"/>
                </w:tcPr>
                <w:p w14:paraId="4130DBA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29ED2B14">
                  <w:pPr>
                    <w:widowControl/>
                    <w:jc w:val="center"/>
                    <w:textAlignment w:val="center"/>
                    <w:rPr>
                      <w:rFonts w:hint="default" w:ascii="Times New Roman" w:hAnsi="Times New Roman" w:cs="Times New Roman"/>
                      <w:color w:val="auto"/>
                      <w:kern w:val="0"/>
                      <w:sz w:val="21"/>
                      <w:szCs w:val="21"/>
                      <w:lang w:bidi="ar"/>
                    </w:rPr>
                  </w:pPr>
                </w:p>
              </w:tc>
            </w:tr>
            <w:tr w14:paraId="39F715F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6C68F56A">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1375" w:type="pct"/>
                  <w:tcBorders>
                    <w:tl2br w:val="nil"/>
                    <w:tr2bl w:val="nil"/>
                  </w:tcBorders>
                  <w:noWrap w:val="0"/>
                  <w:vAlign w:val="center"/>
                </w:tcPr>
                <w:p w14:paraId="7C310ABD">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电子天平测试仪</w:t>
                  </w:r>
                </w:p>
              </w:tc>
              <w:tc>
                <w:tcPr>
                  <w:tcW w:w="1129" w:type="pct"/>
                  <w:tcBorders>
                    <w:tl2br w:val="nil"/>
                    <w:tr2bl w:val="nil"/>
                  </w:tcBorders>
                  <w:noWrap w:val="0"/>
                  <w:vAlign w:val="center"/>
                </w:tcPr>
                <w:p w14:paraId="4CD0AF0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A65733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30BEC47C">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79507107">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3F68ADB3">
                  <w:pPr>
                    <w:widowControl/>
                    <w:jc w:val="center"/>
                    <w:textAlignment w:val="center"/>
                    <w:rPr>
                      <w:rFonts w:hint="default" w:ascii="Times New Roman" w:hAnsi="Times New Roman" w:cs="Times New Roman"/>
                      <w:color w:val="auto"/>
                      <w:kern w:val="0"/>
                      <w:sz w:val="21"/>
                      <w:szCs w:val="21"/>
                      <w:lang w:bidi="ar"/>
                    </w:rPr>
                  </w:pPr>
                </w:p>
              </w:tc>
            </w:tr>
            <w:tr w14:paraId="10DDB2A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175AB4A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w:t>
                  </w:r>
                </w:p>
              </w:tc>
              <w:tc>
                <w:tcPr>
                  <w:tcW w:w="1375" w:type="pct"/>
                  <w:tcBorders>
                    <w:tl2br w:val="nil"/>
                    <w:tr2bl w:val="nil"/>
                  </w:tcBorders>
                  <w:noWrap w:val="0"/>
                  <w:vAlign w:val="center"/>
                </w:tcPr>
                <w:p w14:paraId="29C830FC">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千分尺</w:t>
                  </w:r>
                </w:p>
              </w:tc>
              <w:tc>
                <w:tcPr>
                  <w:tcW w:w="1129" w:type="pct"/>
                  <w:tcBorders>
                    <w:tl2br w:val="nil"/>
                    <w:tr2bl w:val="nil"/>
                  </w:tcBorders>
                  <w:noWrap w:val="0"/>
                  <w:vAlign w:val="center"/>
                </w:tcPr>
                <w:p w14:paraId="26ADA681">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DB3383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292255F0">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0062AC5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56107CA5">
                  <w:pPr>
                    <w:widowControl/>
                    <w:jc w:val="center"/>
                    <w:textAlignment w:val="center"/>
                    <w:rPr>
                      <w:rFonts w:hint="default" w:ascii="Times New Roman" w:hAnsi="Times New Roman" w:cs="Times New Roman"/>
                      <w:color w:val="auto"/>
                      <w:kern w:val="0"/>
                      <w:sz w:val="21"/>
                      <w:szCs w:val="21"/>
                      <w:lang w:bidi="ar"/>
                    </w:rPr>
                  </w:pPr>
                </w:p>
              </w:tc>
            </w:tr>
            <w:tr w14:paraId="1409F29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6F28CD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17</w:t>
                  </w:r>
                </w:p>
              </w:tc>
              <w:tc>
                <w:tcPr>
                  <w:tcW w:w="1375" w:type="pct"/>
                  <w:tcBorders>
                    <w:tl2br w:val="nil"/>
                    <w:tr2bl w:val="nil"/>
                  </w:tcBorders>
                  <w:noWrap w:val="0"/>
                  <w:vAlign w:val="center"/>
                </w:tcPr>
                <w:p w14:paraId="1C71B484">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高温干燥箱</w:t>
                  </w:r>
                </w:p>
              </w:tc>
              <w:tc>
                <w:tcPr>
                  <w:tcW w:w="1129" w:type="pct"/>
                  <w:tcBorders>
                    <w:tl2br w:val="nil"/>
                    <w:tr2bl w:val="nil"/>
                  </w:tcBorders>
                  <w:noWrap w:val="0"/>
                  <w:vAlign w:val="center"/>
                </w:tcPr>
                <w:p w14:paraId="0FDD342A">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74042C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3A67042E">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07C13A2D">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1E53B292">
                  <w:pPr>
                    <w:widowControl/>
                    <w:jc w:val="center"/>
                    <w:textAlignment w:val="center"/>
                    <w:rPr>
                      <w:rFonts w:hint="default" w:ascii="Times New Roman" w:hAnsi="Times New Roman" w:cs="Times New Roman"/>
                      <w:color w:val="auto"/>
                      <w:kern w:val="0"/>
                      <w:sz w:val="21"/>
                      <w:szCs w:val="21"/>
                      <w:lang w:bidi="ar"/>
                    </w:rPr>
                  </w:pPr>
                </w:p>
              </w:tc>
            </w:tr>
            <w:tr w14:paraId="7EF3DBB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21A98BF8">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p>
              </w:tc>
              <w:tc>
                <w:tcPr>
                  <w:tcW w:w="1375" w:type="pct"/>
                  <w:tcBorders>
                    <w:tl2br w:val="nil"/>
                    <w:tr2bl w:val="nil"/>
                  </w:tcBorders>
                  <w:noWrap w:val="0"/>
                  <w:vAlign w:val="center"/>
                </w:tcPr>
                <w:p w14:paraId="761613FA">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水泵</w:t>
                  </w:r>
                </w:p>
              </w:tc>
              <w:tc>
                <w:tcPr>
                  <w:tcW w:w="1129" w:type="pct"/>
                  <w:tcBorders>
                    <w:tl2br w:val="nil"/>
                    <w:tr2bl w:val="nil"/>
                  </w:tcBorders>
                  <w:noWrap w:val="0"/>
                  <w:vAlign w:val="center"/>
                </w:tcPr>
                <w:p w14:paraId="78482CD9">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D7D1C1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5EE0D428">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183A74F2">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21BD75C4">
                  <w:pPr>
                    <w:widowControl/>
                    <w:jc w:val="center"/>
                    <w:textAlignment w:val="center"/>
                    <w:rPr>
                      <w:rFonts w:hint="default" w:ascii="Times New Roman" w:hAnsi="Times New Roman" w:cs="Times New Roman"/>
                      <w:color w:val="auto"/>
                      <w:kern w:val="0"/>
                      <w:sz w:val="21"/>
                      <w:szCs w:val="21"/>
                      <w:lang w:bidi="ar"/>
                    </w:rPr>
                  </w:pPr>
                </w:p>
              </w:tc>
            </w:tr>
            <w:tr w14:paraId="330F55E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FCD200E">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19</w:t>
                  </w:r>
                </w:p>
              </w:tc>
              <w:tc>
                <w:tcPr>
                  <w:tcW w:w="1375" w:type="pct"/>
                  <w:tcBorders>
                    <w:tl2br w:val="nil"/>
                    <w:tr2bl w:val="nil"/>
                  </w:tcBorders>
                  <w:noWrap w:val="0"/>
                  <w:vAlign w:val="center"/>
                </w:tcPr>
                <w:p w14:paraId="66262EF8">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eastAsia" w:ascii="Times New Roman" w:hAnsi="Times New Roman" w:cs="Times New Roman"/>
                      <w:color w:val="auto"/>
                      <w:sz w:val="21"/>
                      <w:szCs w:val="21"/>
                      <w:lang w:val="en-US" w:eastAsia="zh-CN"/>
                    </w:rPr>
                    <w:t>活性炭处理装置</w:t>
                  </w:r>
                  <w:r>
                    <w:rPr>
                      <w:rFonts w:hint="default" w:ascii="Times New Roman" w:hAnsi="Times New Roman" w:cs="Times New Roman"/>
                      <w:color w:val="auto"/>
                      <w:sz w:val="21"/>
                      <w:szCs w:val="21"/>
                    </w:rPr>
                    <w:t>风机</w:t>
                  </w:r>
                </w:p>
              </w:tc>
              <w:tc>
                <w:tcPr>
                  <w:tcW w:w="1129" w:type="pct"/>
                  <w:tcBorders>
                    <w:tl2br w:val="nil"/>
                    <w:tr2bl w:val="nil"/>
                  </w:tcBorders>
                  <w:noWrap w:val="0"/>
                  <w:vAlign w:val="center"/>
                </w:tcPr>
                <w:p w14:paraId="45138E23">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8AF82E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593" w:type="pct"/>
                  <w:tcBorders>
                    <w:tl2br w:val="nil"/>
                    <w:tr2bl w:val="nil"/>
                  </w:tcBorders>
                  <w:noWrap w:val="0"/>
                  <w:vAlign w:val="center"/>
                </w:tcPr>
                <w:p w14:paraId="5F09D326">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488" w:type="pct"/>
                  <w:tcBorders>
                    <w:tl2br w:val="nil"/>
                    <w:tr2bl w:val="nil"/>
                  </w:tcBorders>
                  <w:noWrap w:val="0"/>
                  <w:vAlign w:val="center"/>
                </w:tcPr>
                <w:p w14:paraId="5ED44AD4">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96BE47E">
                  <w:pPr>
                    <w:widowControl/>
                    <w:jc w:val="center"/>
                    <w:textAlignment w:val="center"/>
                    <w:rPr>
                      <w:rFonts w:hint="default" w:ascii="Times New Roman" w:hAnsi="Times New Roman" w:cs="Times New Roman"/>
                      <w:color w:val="auto"/>
                      <w:kern w:val="0"/>
                      <w:sz w:val="21"/>
                      <w:szCs w:val="21"/>
                      <w:lang w:bidi="ar"/>
                    </w:rPr>
                  </w:pPr>
                </w:p>
              </w:tc>
            </w:tr>
          </w:tbl>
          <w:p w14:paraId="29F4A40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color w:val="auto"/>
                <w:sz w:val="24"/>
              </w:rPr>
            </w:pPr>
            <w:r>
              <w:rPr>
                <w:rFonts w:hint="eastAsia"/>
                <w:b/>
                <w:bCs/>
                <w:color w:val="auto"/>
                <w:sz w:val="24"/>
              </w:rPr>
              <w:t>5</w:t>
            </w:r>
            <w:r>
              <w:rPr>
                <w:b/>
                <w:bCs/>
                <w:color w:val="auto"/>
                <w:sz w:val="24"/>
              </w:rPr>
              <w:t>、平面布置</w:t>
            </w:r>
          </w:p>
          <w:p w14:paraId="063E58B0">
            <w:pPr>
              <w:widowControl/>
              <w:adjustRightInd w:val="0"/>
              <w:snapToGrid w:val="0"/>
              <w:spacing w:line="360" w:lineRule="auto"/>
              <w:ind w:firstLine="480" w:firstLineChars="200"/>
              <w:rPr>
                <w:rFonts w:hint="eastAsia"/>
                <w:color w:val="auto"/>
                <w:sz w:val="24"/>
              </w:rPr>
            </w:pPr>
            <w:r>
              <w:rPr>
                <w:rFonts w:hint="eastAsia"/>
                <w:color w:val="auto"/>
                <w:sz w:val="24"/>
              </w:rPr>
              <w:t>本项目建设租赁陕西宝信金属科技有限公司空置厂房作为生产厂房，车间内部设备布置根据产品生产工艺流程、物流等需要合理布局，划分为聚氨酯保温管生产区、外护管生产区、</w:t>
            </w:r>
            <w:r>
              <w:rPr>
                <w:rFonts w:hint="eastAsia"/>
                <w:color w:val="auto"/>
                <w:sz w:val="24"/>
                <w:lang w:val="en-US" w:eastAsia="zh-CN"/>
              </w:rPr>
              <w:t>原辅料</w:t>
            </w:r>
            <w:r>
              <w:rPr>
                <w:rFonts w:hint="eastAsia"/>
                <w:color w:val="auto"/>
                <w:sz w:val="24"/>
              </w:rPr>
              <w:t>区和成品</w:t>
            </w:r>
            <w:r>
              <w:rPr>
                <w:rFonts w:hint="eastAsia"/>
                <w:color w:val="auto"/>
                <w:sz w:val="24"/>
                <w:lang w:val="en-US" w:eastAsia="zh-CN"/>
              </w:rPr>
              <w:t>堆放</w:t>
            </w:r>
            <w:r>
              <w:rPr>
                <w:rFonts w:hint="eastAsia"/>
                <w:color w:val="auto"/>
                <w:sz w:val="24"/>
              </w:rPr>
              <w:t>区，既满足生产又便于管理，尽量使设备排列合理、流畅、操作方便。平面布置功能分区明确，工艺流程顺畅，交通运输顺畅。</w:t>
            </w:r>
          </w:p>
          <w:p w14:paraId="4A9199FF">
            <w:pPr>
              <w:widowControl/>
              <w:adjustRightInd w:val="0"/>
              <w:snapToGrid w:val="0"/>
              <w:spacing w:line="360" w:lineRule="auto"/>
              <w:ind w:firstLine="480" w:firstLineChars="200"/>
              <w:rPr>
                <w:rFonts w:hint="eastAsia"/>
                <w:color w:val="auto"/>
                <w:sz w:val="24"/>
              </w:rPr>
            </w:pPr>
            <w:r>
              <w:rPr>
                <w:rFonts w:hint="eastAsia"/>
                <w:color w:val="auto"/>
                <w:sz w:val="24"/>
              </w:rPr>
              <w:t>从总体来看，项目总平面布置合理，具体平面布置见附图2。</w:t>
            </w:r>
          </w:p>
          <w:p w14:paraId="3E73C54F">
            <w:pPr>
              <w:adjustRightInd w:val="0"/>
              <w:snapToGrid w:val="0"/>
              <w:spacing w:line="360" w:lineRule="auto"/>
              <w:ind w:firstLine="482" w:firstLineChars="200"/>
              <w:rPr>
                <w:b/>
                <w:color w:val="auto"/>
                <w:sz w:val="24"/>
              </w:rPr>
            </w:pPr>
            <w:r>
              <w:rPr>
                <w:rFonts w:hint="eastAsia"/>
                <w:b/>
                <w:color w:val="auto"/>
                <w:sz w:val="24"/>
              </w:rPr>
              <w:t>6</w:t>
            </w:r>
            <w:r>
              <w:rPr>
                <w:b/>
                <w:color w:val="auto"/>
                <w:sz w:val="24"/>
              </w:rPr>
              <w:t>、</w:t>
            </w:r>
            <w:r>
              <w:rPr>
                <w:rFonts w:hint="eastAsia"/>
                <w:b/>
                <w:color w:val="auto"/>
                <w:sz w:val="24"/>
              </w:rPr>
              <w:t>劳动定员</w:t>
            </w:r>
            <w:r>
              <w:rPr>
                <w:b/>
                <w:color w:val="auto"/>
                <w:sz w:val="24"/>
              </w:rPr>
              <w:t>及工作制度</w:t>
            </w:r>
          </w:p>
          <w:p w14:paraId="21F4BBA3">
            <w:pPr>
              <w:adjustRightInd w:val="0"/>
              <w:snapToGrid w:val="0"/>
              <w:spacing w:line="360" w:lineRule="auto"/>
              <w:ind w:firstLine="480" w:firstLineChars="200"/>
              <w:jc w:val="left"/>
              <w:rPr>
                <w:rFonts w:hint="eastAsia"/>
                <w:color w:val="auto"/>
                <w:sz w:val="24"/>
              </w:rPr>
            </w:pPr>
            <w:r>
              <w:rPr>
                <w:rFonts w:hint="eastAsia"/>
                <w:color w:val="auto"/>
                <w:sz w:val="24"/>
                <w:lang w:val="en-US" w:eastAsia="zh-CN"/>
              </w:rPr>
              <w:t>工作制度：</w:t>
            </w:r>
            <w:r>
              <w:rPr>
                <w:color w:val="auto"/>
                <w:sz w:val="24"/>
              </w:rPr>
              <w:t>年</w:t>
            </w:r>
            <w:r>
              <w:rPr>
                <w:rFonts w:hint="eastAsia"/>
                <w:color w:val="auto"/>
                <w:sz w:val="24"/>
                <w:lang w:val="en-US" w:eastAsia="zh-CN"/>
              </w:rPr>
              <w:t>工作300天</w:t>
            </w:r>
            <w:r>
              <w:rPr>
                <w:color w:val="auto"/>
                <w:sz w:val="24"/>
              </w:rPr>
              <w:t>，</w:t>
            </w:r>
            <w:r>
              <w:rPr>
                <w:rFonts w:hint="eastAsia"/>
                <w:color w:val="auto"/>
                <w:sz w:val="24"/>
              </w:rPr>
              <w:t>每天工作时间为</w:t>
            </w:r>
            <w:r>
              <w:rPr>
                <w:rFonts w:hint="eastAsia"/>
                <w:color w:val="auto"/>
                <w:sz w:val="24"/>
                <w:lang w:val="en-US" w:eastAsia="zh-CN"/>
              </w:rPr>
              <w:t>8</w:t>
            </w:r>
            <w:r>
              <w:rPr>
                <w:rFonts w:hint="eastAsia"/>
                <w:color w:val="auto"/>
                <w:sz w:val="24"/>
              </w:rPr>
              <w:t>h（</w:t>
            </w:r>
            <w:r>
              <w:rPr>
                <w:rFonts w:hint="eastAsia"/>
                <w:color w:val="auto"/>
                <w:sz w:val="24"/>
                <w:lang w:val="en-US" w:eastAsia="zh-CN"/>
              </w:rPr>
              <w:t>1</w:t>
            </w:r>
            <w:r>
              <w:rPr>
                <w:rFonts w:hint="eastAsia"/>
                <w:color w:val="auto"/>
                <w:sz w:val="24"/>
              </w:rPr>
              <w:t>班制）。</w:t>
            </w:r>
          </w:p>
          <w:p w14:paraId="6C9B34FA">
            <w:pPr>
              <w:adjustRightInd w:val="0"/>
              <w:snapToGrid w:val="0"/>
              <w:spacing w:line="360" w:lineRule="auto"/>
              <w:ind w:firstLine="480" w:firstLineChars="200"/>
              <w:jc w:val="left"/>
              <w:rPr>
                <w:rFonts w:hint="eastAsia"/>
                <w:color w:val="auto"/>
                <w:sz w:val="24"/>
              </w:rPr>
            </w:pPr>
            <w:r>
              <w:rPr>
                <w:rFonts w:hint="eastAsia"/>
                <w:color w:val="auto"/>
                <w:sz w:val="24"/>
                <w:lang w:val="en-US" w:eastAsia="zh-CN"/>
              </w:rPr>
              <w:t>劳动定员：</w:t>
            </w:r>
            <w:r>
              <w:rPr>
                <w:color w:val="auto"/>
                <w:sz w:val="24"/>
              </w:rPr>
              <w:t>本项目</w:t>
            </w:r>
            <w:r>
              <w:rPr>
                <w:rFonts w:hint="eastAsia"/>
                <w:color w:val="auto"/>
                <w:sz w:val="24"/>
                <w:lang w:val="en-US" w:eastAsia="zh-CN"/>
              </w:rPr>
              <w:t>劳动定员15</w:t>
            </w:r>
            <w:r>
              <w:rPr>
                <w:color w:val="auto"/>
                <w:sz w:val="24"/>
              </w:rPr>
              <w:t>人，</w:t>
            </w:r>
            <w:r>
              <w:rPr>
                <w:rFonts w:hint="eastAsia"/>
                <w:color w:val="auto"/>
                <w:sz w:val="24"/>
              </w:rPr>
              <w:t>厂房内不设食堂，设置住宿。</w:t>
            </w:r>
          </w:p>
          <w:p w14:paraId="4573ECC8">
            <w:pPr>
              <w:adjustRightInd w:val="0"/>
              <w:snapToGrid w:val="0"/>
              <w:spacing w:line="360" w:lineRule="auto"/>
              <w:ind w:firstLine="480" w:firstLineChars="200"/>
              <w:jc w:val="left"/>
              <w:rPr>
                <w:color w:val="auto"/>
                <w:sz w:val="24"/>
              </w:rPr>
            </w:pPr>
            <w:r>
              <w:rPr>
                <w:rFonts w:hint="eastAsia"/>
                <w:color w:val="auto"/>
                <w:sz w:val="24"/>
              </w:rPr>
              <w:t>迁建前后劳动定员、工作制度不发生变化。</w:t>
            </w:r>
          </w:p>
          <w:p w14:paraId="456284FE">
            <w:pPr>
              <w:spacing w:line="360" w:lineRule="auto"/>
              <w:ind w:firstLine="482" w:firstLineChars="200"/>
              <w:rPr>
                <w:b/>
                <w:bCs/>
                <w:color w:val="auto"/>
                <w:sz w:val="24"/>
              </w:rPr>
            </w:pPr>
            <w:r>
              <w:rPr>
                <w:rFonts w:hint="eastAsia"/>
                <w:b/>
                <w:bCs/>
                <w:color w:val="auto"/>
                <w:sz w:val="24"/>
              </w:rPr>
              <w:t>7</w:t>
            </w:r>
            <w:r>
              <w:rPr>
                <w:b/>
                <w:bCs/>
                <w:color w:val="auto"/>
                <w:sz w:val="24"/>
              </w:rPr>
              <w:t>、</w:t>
            </w:r>
            <w:r>
              <w:rPr>
                <w:rFonts w:hint="eastAsia"/>
                <w:b/>
                <w:bCs/>
                <w:color w:val="auto"/>
                <w:sz w:val="24"/>
              </w:rPr>
              <w:t>公用工程</w:t>
            </w:r>
          </w:p>
          <w:p w14:paraId="09019BA6">
            <w:pPr>
              <w:pStyle w:val="65"/>
              <w:spacing w:line="360" w:lineRule="auto"/>
              <w:rPr>
                <w:rFonts w:hAnsi="Times New Roman" w:cs="Times New Roman"/>
                <w:color w:val="auto"/>
                <w:szCs w:val="24"/>
              </w:rPr>
            </w:pPr>
            <w:r>
              <w:rPr>
                <w:rFonts w:hAnsi="Times New Roman" w:cs="Times New Roman"/>
                <w:color w:val="auto"/>
                <w:szCs w:val="24"/>
              </w:rPr>
              <w:t>（1）给</w:t>
            </w:r>
            <w:r>
              <w:rPr>
                <w:rFonts w:hint="eastAsia" w:hAnsi="Times New Roman" w:cs="Times New Roman"/>
                <w:color w:val="auto"/>
                <w:szCs w:val="24"/>
                <w:lang w:val="en-US" w:eastAsia="zh-CN"/>
              </w:rPr>
              <w:t>排</w:t>
            </w:r>
            <w:r>
              <w:rPr>
                <w:rFonts w:hAnsi="Times New Roman" w:cs="Times New Roman"/>
                <w:color w:val="auto"/>
                <w:szCs w:val="24"/>
              </w:rPr>
              <w:t>水</w:t>
            </w:r>
          </w:p>
          <w:p w14:paraId="56080639">
            <w:pPr>
              <w:pStyle w:val="65"/>
              <w:spacing w:line="360" w:lineRule="auto"/>
              <w:rPr>
                <w:color w:val="auto"/>
                <w:kern w:val="0"/>
              </w:rPr>
            </w:pPr>
            <w:r>
              <w:rPr>
                <w:rFonts w:hint="eastAsia"/>
                <w:color w:val="auto"/>
                <w:kern w:val="0"/>
              </w:rPr>
              <w:t>本项目用水由市政供水管网提供，营运期用水主要包括生活用水和生产用水</w:t>
            </w:r>
            <w:r>
              <w:rPr>
                <w:rFonts w:hint="eastAsia"/>
                <w:color w:val="auto"/>
                <w:kern w:val="0"/>
                <w:lang w:eastAsia="zh-CN"/>
              </w:rPr>
              <w:t>（</w:t>
            </w:r>
            <w:r>
              <w:rPr>
                <w:rFonts w:hint="eastAsia"/>
                <w:color w:val="auto"/>
                <w:kern w:val="0"/>
                <w:lang w:val="en-US" w:eastAsia="zh-CN"/>
              </w:rPr>
              <w:t>冷却用水</w:t>
            </w:r>
            <w:r>
              <w:rPr>
                <w:rFonts w:hint="eastAsia"/>
                <w:color w:val="auto"/>
                <w:kern w:val="0"/>
                <w:lang w:eastAsia="zh-CN"/>
              </w:rPr>
              <w:t>）</w:t>
            </w:r>
            <w:r>
              <w:rPr>
                <w:rFonts w:hint="eastAsia"/>
                <w:color w:val="auto"/>
                <w:kern w:val="0"/>
              </w:rPr>
              <w:t>。</w:t>
            </w:r>
            <w:r>
              <w:rPr>
                <w:rFonts w:hint="eastAsia"/>
                <w:color w:val="auto"/>
                <w:kern w:val="0"/>
                <w:lang w:val="en-US" w:eastAsia="zh-CN"/>
              </w:rPr>
              <w:t>废水主要为生活污水和真空定径装置水箱排污废水</w:t>
            </w:r>
            <w:r>
              <w:rPr>
                <w:rFonts w:hint="eastAsia"/>
                <w:color w:val="auto"/>
                <w:kern w:val="0"/>
              </w:rPr>
              <w:t>。</w:t>
            </w:r>
          </w:p>
          <w:p w14:paraId="4A410BCB">
            <w:pPr>
              <w:pStyle w:val="65"/>
              <w:spacing w:line="360" w:lineRule="auto"/>
              <w:rPr>
                <w:rFonts w:hint="default" w:hAnsi="Times New Roman" w:eastAsia="宋体" w:cs="Times New Roman"/>
                <w:color w:val="auto"/>
                <w:szCs w:val="24"/>
                <w:lang w:val="en-US" w:eastAsia="zh-CN"/>
              </w:rPr>
            </w:pPr>
            <w:r>
              <w:rPr>
                <w:rFonts w:hint="eastAsia" w:hAnsi="Times New Roman" w:cs="Times New Roman"/>
                <w:color w:val="auto"/>
                <w:szCs w:val="24"/>
                <w:lang w:val="en-US" w:eastAsia="zh-CN"/>
              </w:rPr>
              <w:t>1）用水</w:t>
            </w:r>
          </w:p>
          <w:p w14:paraId="4CE55ED9">
            <w:pPr>
              <w:pStyle w:val="65"/>
              <w:spacing w:line="360" w:lineRule="auto"/>
              <w:rPr>
                <w:rFonts w:hAnsi="Times New Roman" w:cs="Times New Roman"/>
                <w:color w:val="auto"/>
                <w:szCs w:val="24"/>
              </w:rPr>
            </w:pPr>
            <w:r>
              <w:rPr>
                <w:rFonts w:hint="eastAsia" w:hAnsi="Times New Roman" w:cs="Times New Roman"/>
                <w:color w:val="auto"/>
                <w:szCs w:val="24"/>
              </w:rPr>
              <w:t>①生活用水</w:t>
            </w:r>
          </w:p>
          <w:p w14:paraId="03831DEC">
            <w:pPr>
              <w:pStyle w:val="65"/>
              <w:spacing w:line="360" w:lineRule="auto"/>
              <w:rPr>
                <w:rFonts w:hint="eastAsia" w:eastAsia="宋体"/>
                <w:color w:val="auto"/>
                <w:spacing w:val="-2"/>
                <w:lang w:val="en-US" w:eastAsia="zh-CN"/>
              </w:rPr>
            </w:pPr>
            <w:r>
              <w:rPr>
                <w:rFonts w:hint="eastAsia" w:hAnsi="Times New Roman" w:cs="Times New Roman"/>
                <w:color w:val="auto"/>
                <w:szCs w:val="24"/>
              </w:rPr>
              <w:t>项目运营期</w:t>
            </w:r>
            <w:r>
              <w:rPr>
                <w:rFonts w:hint="eastAsia"/>
                <w:color w:val="auto"/>
                <w:sz w:val="24"/>
                <w:lang w:val="en-US" w:eastAsia="zh-CN"/>
              </w:rPr>
              <w:t>劳动定员</w:t>
            </w:r>
            <w:r>
              <w:rPr>
                <w:rFonts w:hint="eastAsia" w:hAnsi="Times New Roman" w:cs="Times New Roman"/>
                <w:color w:val="auto"/>
                <w:szCs w:val="24"/>
                <w:lang w:val="en-US" w:eastAsia="zh-CN"/>
              </w:rPr>
              <w:t>15</w:t>
            </w:r>
            <w:r>
              <w:rPr>
                <w:rFonts w:hint="eastAsia" w:hAnsi="Times New Roman" w:cs="Times New Roman"/>
                <w:color w:val="auto"/>
                <w:szCs w:val="24"/>
              </w:rPr>
              <w:t>人，年工作3</w:t>
            </w:r>
            <w:r>
              <w:rPr>
                <w:rFonts w:hint="eastAsia" w:hAnsi="Times New Roman" w:cs="Times New Roman"/>
                <w:color w:val="auto"/>
                <w:szCs w:val="24"/>
                <w:lang w:val="en-US" w:eastAsia="zh-CN"/>
              </w:rPr>
              <w:t>00</w:t>
            </w:r>
            <w:r>
              <w:rPr>
                <w:rFonts w:hint="eastAsia" w:hAnsi="Times New Roman" w:cs="Times New Roman"/>
                <w:color w:val="auto"/>
                <w:szCs w:val="24"/>
              </w:rPr>
              <w:t>天</w:t>
            </w:r>
            <w:r>
              <w:rPr>
                <w:rFonts w:hAnsi="Times New Roman" w:cs="Times New Roman"/>
                <w:color w:val="auto"/>
                <w:szCs w:val="24"/>
              </w:rPr>
              <w:t>。</w:t>
            </w:r>
            <w:r>
              <w:rPr>
                <w:rFonts w:hint="eastAsia" w:hAnsi="Times New Roman" w:cs="Times New Roman"/>
                <w:color w:val="auto"/>
                <w:szCs w:val="24"/>
              </w:rPr>
              <w:t>根据</w:t>
            </w:r>
            <w:r>
              <w:rPr>
                <w:rFonts w:hAnsi="Times New Roman" w:cs="Times New Roman"/>
                <w:snapToGrid w:val="0"/>
                <w:color w:val="auto"/>
                <w:szCs w:val="24"/>
              </w:rPr>
              <w:t>陕西省《行业用水定额》（DB 61/T 943-2020）</w:t>
            </w:r>
            <w:r>
              <w:rPr>
                <w:rFonts w:hint="eastAsia" w:hAnsi="Times New Roman" w:cs="Times New Roman"/>
                <w:snapToGrid w:val="0"/>
                <w:color w:val="auto"/>
                <w:szCs w:val="24"/>
              </w:rPr>
              <w:t>中表B.17，行政办公用水通用值定额为</w:t>
            </w:r>
            <w:r>
              <w:rPr>
                <w:rFonts w:hint="eastAsia" w:hAnsi="Times New Roman" w:cs="Times New Roman"/>
                <w:snapToGrid w:val="0"/>
                <w:color w:val="auto"/>
                <w:szCs w:val="24"/>
                <w:lang w:val="en-US" w:eastAsia="zh-CN"/>
              </w:rPr>
              <w:t>25</w:t>
            </w:r>
            <w:r>
              <w:rPr>
                <w:rFonts w:hint="eastAsia" w:hAnsi="Times New Roman" w:cs="Times New Roman"/>
                <w:snapToGrid w:val="0"/>
                <w:color w:val="auto"/>
                <w:szCs w:val="24"/>
              </w:rPr>
              <w:t>m</w:t>
            </w:r>
            <w:r>
              <w:rPr>
                <w:rFonts w:hint="eastAsia" w:hAnsi="Times New Roman" w:cs="Times New Roman"/>
                <w:snapToGrid w:val="0"/>
                <w:color w:val="auto"/>
                <w:szCs w:val="24"/>
                <w:vertAlign w:val="superscript"/>
              </w:rPr>
              <w:t>3</w:t>
            </w:r>
            <w:r>
              <w:rPr>
                <w:rFonts w:hint="eastAsia" w:hAnsi="Times New Roman" w:cs="Times New Roman"/>
                <w:snapToGrid w:val="0"/>
                <w:color w:val="auto"/>
                <w:szCs w:val="24"/>
              </w:rPr>
              <w:t>/（人·a），则本</w:t>
            </w:r>
            <w:r>
              <w:rPr>
                <w:rFonts w:hAnsi="Times New Roman" w:cs="Times New Roman"/>
                <w:color w:val="auto"/>
              </w:rPr>
              <w:t>项目生活用水量为</w:t>
            </w:r>
            <w:r>
              <w:rPr>
                <w:rFonts w:hint="eastAsia" w:hAnsi="Times New Roman" w:cs="Times New Roman"/>
                <w:snapToGrid w:val="0"/>
                <w:color w:val="auto"/>
                <w:szCs w:val="24"/>
                <w:lang w:val="en-US" w:eastAsia="zh-CN"/>
              </w:rPr>
              <w:t>1</w:t>
            </w:r>
            <w:r>
              <w:rPr>
                <w:rFonts w:hint="eastAsia" w:hAnsi="Times New Roman" w:cs="Times New Roman"/>
                <w:snapToGrid w:val="0"/>
                <w:color w:val="auto"/>
                <w:szCs w:val="24"/>
              </w:rPr>
              <w:t>.</w:t>
            </w:r>
            <w:r>
              <w:rPr>
                <w:rFonts w:hint="eastAsia" w:hAnsi="Times New Roman" w:cs="Times New Roman"/>
                <w:snapToGrid w:val="0"/>
                <w:color w:val="auto"/>
                <w:szCs w:val="24"/>
                <w:lang w:val="en-US" w:eastAsia="zh-CN"/>
              </w:rPr>
              <w:t>25</w:t>
            </w:r>
            <w:r>
              <w:rPr>
                <w:rFonts w:hAnsi="Times New Roman" w:cs="Times New Roman"/>
                <w:snapToGrid w:val="0"/>
                <w:color w:val="auto"/>
                <w:szCs w:val="24"/>
              </w:rPr>
              <w:t>m</w:t>
            </w:r>
            <w:r>
              <w:rPr>
                <w:rFonts w:hAnsi="Times New Roman" w:cs="Times New Roman"/>
                <w:snapToGrid w:val="0"/>
                <w:color w:val="auto"/>
                <w:szCs w:val="24"/>
                <w:vertAlign w:val="superscript"/>
              </w:rPr>
              <w:t>3</w:t>
            </w:r>
            <w:r>
              <w:rPr>
                <w:rFonts w:hAnsi="Times New Roman" w:cs="Times New Roman"/>
                <w:snapToGrid w:val="0"/>
                <w:color w:val="auto"/>
                <w:szCs w:val="24"/>
              </w:rPr>
              <w:t>/d</w:t>
            </w:r>
            <w:r>
              <w:rPr>
                <w:rFonts w:hint="eastAsia" w:hAnsi="Times New Roman" w:cs="Times New Roman"/>
                <w:snapToGrid w:val="0"/>
                <w:color w:val="auto"/>
                <w:szCs w:val="24"/>
              </w:rPr>
              <w:t>（</w:t>
            </w:r>
            <w:r>
              <w:rPr>
                <w:rFonts w:hint="eastAsia" w:hAnsi="Times New Roman" w:cs="Times New Roman"/>
                <w:snapToGrid w:val="0"/>
                <w:color w:val="auto"/>
                <w:szCs w:val="24"/>
                <w:lang w:val="en-US" w:eastAsia="zh-CN"/>
              </w:rPr>
              <w:t>375</w:t>
            </w:r>
            <w:r>
              <w:rPr>
                <w:rFonts w:hAnsi="Times New Roman" w:cs="Times New Roman"/>
                <w:snapToGrid w:val="0"/>
                <w:color w:val="auto"/>
                <w:szCs w:val="24"/>
              </w:rPr>
              <w:t>m</w:t>
            </w:r>
            <w:r>
              <w:rPr>
                <w:rFonts w:hAnsi="Times New Roman" w:cs="Times New Roman"/>
                <w:snapToGrid w:val="0"/>
                <w:color w:val="auto"/>
                <w:szCs w:val="24"/>
                <w:vertAlign w:val="superscript"/>
              </w:rPr>
              <w:t>3</w:t>
            </w:r>
            <w:r>
              <w:rPr>
                <w:rFonts w:hAnsi="Times New Roman" w:cs="Times New Roman"/>
                <w:snapToGrid w:val="0"/>
                <w:color w:val="auto"/>
                <w:szCs w:val="24"/>
              </w:rPr>
              <w:t>/a</w:t>
            </w:r>
            <w:r>
              <w:rPr>
                <w:rFonts w:hint="eastAsia" w:hAnsi="Times New Roman" w:cs="Times New Roman"/>
                <w:snapToGrid w:val="0"/>
                <w:color w:val="auto"/>
                <w:szCs w:val="24"/>
              </w:rPr>
              <w:t>）</w:t>
            </w:r>
            <w:r>
              <w:rPr>
                <w:rFonts w:hAnsi="Times New Roman" w:cs="Times New Roman"/>
                <w:snapToGrid w:val="0"/>
                <w:color w:val="auto"/>
                <w:szCs w:val="24"/>
              </w:rPr>
              <w:t>。</w:t>
            </w:r>
          </w:p>
          <w:p w14:paraId="2F5DEE7D">
            <w:pPr>
              <w:spacing w:line="360" w:lineRule="auto"/>
              <w:ind w:firstLine="480" w:firstLineChars="200"/>
              <w:rPr>
                <w:rFonts w:hint="default" w:eastAsia="宋体"/>
                <w:color w:val="auto"/>
                <w:lang w:val="en-US" w:eastAsia="zh-CN"/>
              </w:rPr>
            </w:pPr>
            <w:r>
              <w:rPr>
                <w:rFonts w:hint="eastAsia" w:ascii="Times New Roman" w:hAnsi="Times New Roman" w:eastAsia="宋体" w:cs="Times New Roman"/>
                <w:color w:val="auto"/>
                <w:kern w:val="2"/>
                <w:sz w:val="24"/>
                <w:szCs w:val="24"/>
                <w:lang w:val="en-US" w:eastAsia="zh-CN" w:bidi="ar-SA"/>
              </w:rPr>
              <w:t>②</w:t>
            </w:r>
            <w:r>
              <w:rPr>
                <w:rFonts w:hint="eastAsia"/>
                <w:color w:val="auto"/>
                <w:sz w:val="24"/>
                <w:lang w:val="en-US" w:eastAsia="zh-CN"/>
              </w:rPr>
              <w:t>冷却用水</w:t>
            </w:r>
          </w:p>
          <w:p w14:paraId="6D3B0013">
            <w:pPr>
              <w:pStyle w:val="65"/>
              <w:spacing w:line="360" w:lineRule="auto"/>
              <w:rPr>
                <w:rFonts w:hint="eastAsia"/>
                <w:color w:val="auto"/>
                <w:lang w:eastAsia="zh-CN"/>
              </w:rPr>
            </w:pPr>
            <w:r>
              <w:rPr>
                <w:rFonts w:hint="eastAsia"/>
                <w:color w:val="auto"/>
                <w:sz w:val="24"/>
                <w:lang w:val="en-US" w:eastAsia="zh-CN"/>
              </w:rPr>
              <w:t>项目外护管挤出后定型时需要喷淋冷却，真空定径装置自带水箱，冷却水经水箱冷却后循环使用，需定期补充新鲜水。冷却水循环量为4m</w:t>
            </w:r>
            <w:r>
              <w:rPr>
                <w:rFonts w:hint="eastAsia"/>
                <w:color w:val="auto"/>
                <w:sz w:val="24"/>
                <w:vertAlign w:val="superscript"/>
                <w:lang w:val="en-US" w:eastAsia="zh-CN"/>
              </w:rPr>
              <w:t>3</w:t>
            </w:r>
            <w:r>
              <w:rPr>
                <w:rFonts w:hint="eastAsia"/>
                <w:color w:val="auto"/>
                <w:sz w:val="24"/>
                <w:lang w:val="en-US" w:eastAsia="zh-CN"/>
              </w:rPr>
              <w:t>/h，新鲜水补充量为循环量的0.3%，则新鲜水补充水量为0.096m</w:t>
            </w:r>
            <w:r>
              <w:rPr>
                <w:rFonts w:hint="eastAsia"/>
                <w:color w:val="auto"/>
                <w:sz w:val="24"/>
                <w:vertAlign w:val="superscript"/>
                <w:lang w:val="en-US" w:eastAsia="zh-CN"/>
              </w:rPr>
              <w:t>3</w:t>
            </w:r>
            <w:r>
              <w:rPr>
                <w:rFonts w:hint="eastAsia"/>
                <w:color w:val="auto"/>
                <w:sz w:val="24"/>
                <w:lang w:val="en-US" w:eastAsia="zh-CN"/>
              </w:rPr>
              <w:t>/d、28.8m</w:t>
            </w:r>
            <w:r>
              <w:rPr>
                <w:rFonts w:hint="eastAsia"/>
                <w:color w:val="auto"/>
                <w:sz w:val="24"/>
                <w:vertAlign w:val="superscript"/>
                <w:lang w:val="en-US" w:eastAsia="zh-CN"/>
              </w:rPr>
              <w:t>3</w:t>
            </w:r>
            <w:r>
              <w:rPr>
                <w:rFonts w:hint="eastAsia"/>
                <w:color w:val="auto"/>
                <w:sz w:val="24"/>
                <w:lang w:val="en-US" w:eastAsia="zh-CN"/>
              </w:rPr>
              <w:t>/a。</w:t>
            </w:r>
          </w:p>
          <w:p w14:paraId="14166620">
            <w:pPr>
              <w:pStyle w:val="65"/>
              <w:spacing w:line="360" w:lineRule="auto"/>
              <w:rPr>
                <w:rFonts w:hint="default" w:hAnsi="Times New Roman" w:cs="Times New Roman"/>
                <w:color w:val="auto"/>
                <w:szCs w:val="24"/>
                <w:lang w:val="en-US" w:eastAsia="zh-CN"/>
              </w:rPr>
            </w:pPr>
            <w:r>
              <w:rPr>
                <w:rFonts w:hint="eastAsia" w:hAnsi="Times New Roman" w:cs="Times New Roman"/>
                <w:color w:val="auto"/>
                <w:szCs w:val="24"/>
                <w:lang w:val="en-US" w:eastAsia="zh-CN"/>
              </w:rPr>
              <w:t>总用水量为403.8</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p>
          <w:p w14:paraId="4CE230EC">
            <w:pPr>
              <w:pStyle w:val="65"/>
              <w:spacing w:line="360" w:lineRule="auto"/>
              <w:rPr>
                <w:rFonts w:hint="default" w:hAnsi="Times New Roman" w:eastAsia="宋体" w:cs="Times New Roman"/>
                <w:color w:val="auto"/>
                <w:szCs w:val="24"/>
                <w:lang w:val="en-US" w:eastAsia="zh-CN"/>
              </w:rPr>
            </w:pPr>
            <w:r>
              <w:rPr>
                <w:rFonts w:hint="eastAsia" w:hAnsi="Times New Roman" w:cs="Times New Roman"/>
                <w:color w:val="auto"/>
                <w:szCs w:val="24"/>
                <w:lang w:val="en-US" w:eastAsia="zh-CN"/>
              </w:rPr>
              <w:t>2）排水</w:t>
            </w:r>
          </w:p>
          <w:p w14:paraId="1C9D603C">
            <w:pPr>
              <w:pStyle w:val="65"/>
              <w:spacing w:line="360" w:lineRule="auto"/>
              <w:rPr>
                <w:rFonts w:hint="eastAsia" w:hAnsi="Times New Roman" w:cs="Times New Roman"/>
                <w:color w:val="auto"/>
                <w:lang w:val="en-US" w:eastAsia="zh-CN"/>
              </w:rPr>
            </w:pPr>
            <w:r>
              <w:rPr>
                <w:rFonts w:hint="eastAsia" w:hAnsi="Times New Roman" w:cs="Times New Roman"/>
                <w:color w:val="auto"/>
                <w:lang w:val="en-US" w:eastAsia="zh-CN"/>
              </w:rPr>
              <w:t>①生活污水</w:t>
            </w:r>
          </w:p>
          <w:p w14:paraId="171154BD">
            <w:pPr>
              <w:pStyle w:val="65"/>
              <w:spacing w:line="360" w:lineRule="auto"/>
              <w:rPr>
                <w:rFonts w:hAnsi="Times New Roman" w:cs="Times New Roman"/>
                <w:snapToGrid w:val="0"/>
                <w:color w:val="auto"/>
                <w:szCs w:val="24"/>
              </w:rPr>
            </w:pPr>
            <w:r>
              <w:rPr>
                <w:rFonts w:hAnsi="Times New Roman" w:cs="Times New Roman"/>
                <w:color w:val="auto"/>
              </w:rPr>
              <w:t>生活污水产生量按照新鲜用水量的80%计算，则生活污水量为</w:t>
            </w:r>
            <w:r>
              <w:rPr>
                <w:rFonts w:hint="eastAsia" w:hAnsi="Times New Roman" w:cs="Times New Roman"/>
                <w:color w:val="auto"/>
                <w:lang w:val="en-US" w:eastAsia="zh-CN"/>
              </w:rPr>
              <w:t>1.0</w:t>
            </w:r>
            <w:r>
              <w:rPr>
                <w:rFonts w:hAnsi="Times New Roman" w:cs="Times New Roman"/>
                <w:color w:val="auto"/>
              </w:rPr>
              <w:t>m</w:t>
            </w:r>
            <w:r>
              <w:rPr>
                <w:rFonts w:hAnsi="Times New Roman" w:cs="Times New Roman"/>
                <w:color w:val="auto"/>
                <w:vertAlign w:val="superscript"/>
              </w:rPr>
              <w:t>3</w:t>
            </w:r>
            <w:r>
              <w:rPr>
                <w:rFonts w:hAnsi="Times New Roman" w:cs="Times New Roman"/>
                <w:color w:val="auto"/>
              </w:rPr>
              <w:t>/d（</w:t>
            </w:r>
            <w:r>
              <w:rPr>
                <w:rFonts w:hint="eastAsia" w:hAnsi="Times New Roman" w:cs="Times New Roman"/>
                <w:color w:val="auto"/>
                <w:lang w:val="en-US" w:eastAsia="zh-CN"/>
              </w:rPr>
              <w:t>300</w:t>
            </w:r>
            <w:r>
              <w:rPr>
                <w:rFonts w:hAnsi="Times New Roman" w:cs="Times New Roman"/>
                <w:color w:val="auto"/>
              </w:rPr>
              <w:t>m</w:t>
            </w:r>
            <w:r>
              <w:rPr>
                <w:rFonts w:hAnsi="Times New Roman" w:cs="Times New Roman"/>
                <w:color w:val="auto"/>
                <w:vertAlign w:val="superscript"/>
              </w:rPr>
              <w:t>3</w:t>
            </w:r>
            <w:r>
              <w:rPr>
                <w:rFonts w:hAnsi="Times New Roman" w:cs="Times New Roman"/>
                <w:color w:val="auto"/>
              </w:rPr>
              <w:t>/a）。主要污染物为COD、BOD</w:t>
            </w:r>
            <w:r>
              <w:rPr>
                <w:rFonts w:hAnsi="Times New Roman" w:cs="Times New Roman"/>
                <w:color w:val="auto"/>
                <w:vertAlign w:val="subscript"/>
              </w:rPr>
              <w:t>5</w:t>
            </w:r>
            <w:r>
              <w:rPr>
                <w:rFonts w:hAnsi="Times New Roman" w:cs="Times New Roman"/>
                <w:color w:val="auto"/>
              </w:rPr>
              <w:t>、SS、氨氮</w:t>
            </w:r>
            <w:r>
              <w:rPr>
                <w:rFonts w:hint="eastAsia" w:hAnsi="Times New Roman" w:cs="Times New Roman"/>
                <w:color w:val="auto"/>
              </w:rPr>
              <w:t>、TN、TP</w:t>
            </w:r>
            <w:r>
              <w:rPr>
                <w:rFonts w:hAnsi="Times New Roman" w:cs="Times New Roman"/>
                <w:color w:val="auto"/>
              </w:rPr>
              <w:t>等。生活污水</w:t>
            </w:r>
            <w:r>
              <w:rPr>
                <w:rFonts w:hint="eastAsia" w:hAnsi="Times New Roman" w:cs="Times New Roman"/>
                <w:color w:val="auto"/>
              </w:rPr>
              <w:t>依托租赁产业园</w:t>
            </w:r>
            <w:r>
              <w:rPr>
                <w:rFonts w:hAnsi="Times New Roman" w:cs="Times New Roman"/>
                <w:color w:val="auto"/>
              </w:rPr>
              <w:t>化粪池</w:t>
            </w:r>
            <w:r>
              <w:rPr>
                <w:rFonts w:hint="eastAsia" w:hAnsi="Times New Roman" w:cs="Times New Roman"/>
                <w:color w:val="auto"/>
              </w:rPr>
              <w:t>处理后经市政污水管网排入泾河新城第二污水处理厂处理</w:t>
            </w:r>
            <w:r>
              <w:rPr>
                <w:rFonts w:hAnsi="Times New Roman" w:cs="Times New Roman"/>
                <w:color w:val="auto"/>
              </w:rPr>
              <w:t>。</w:t>
            </w:r>
          </w:p>
          <w:p w14:paraId="0E0A3E01">
            <w:pPr>
              <w:pStyle w:val="65"/>
              <w:spacing w:line="360" w:lineRule="auto"/>
              <w:rPr>
                <w:rFonts w:hint="default" w:ascii="Times New Roman" w:hAnsi="Times New Roman" w:eastAsia="宋体" w:cs="Times New Roman"/>
                <w:color w:val="auto"/>
                <w:sz w:val="24"/>
                <w:lang w:val="en-US" w:eastAsia="zh-CN"/>
              </w:rPr>
            </w:pPr>
            <w:r>
              <w:rPr>
                <w:rFonts w:hint="eastAsia" w:hAnsi="Times New Roman" w:cs="Times New Roman"/>
                <w:color w:val="auto"/>
                <w:sz w:val="24"/>
                <w:lang w:val="en-US" w:eastAsia="zh-CN"/>
              </w:rPr>
              <w:t>②</w:t>
            </w:r>
            <w:r>
              <w:rPr>
                <w:rFonts w:hint="eastAsia"/>
                <w:color w:val="auto"/>
                <w:sz w:val="24"/>
              </w:rPr>
              <w:t>真空定径装置水箱定期排污废水</w:t>
            </w:r>
          </w:p>
          <w:p w14:paraId="55776FC6">
            <w:pPr>
              <w:pStyle w:val="65"/>
              <w:spacing w:line="360" w:lineRule="auto"/>
              <w:rPr>
                <w:rFonts w:hint="default" w:ascii="Times New Roman" w:hAnsi="Times New Roman" w:cs="Times New Roman"/>
                <w:color w:val="auto"/>
                <w:sz w:val="24"/>
              </w:rPr>
            </w:pPr>
            <w:r>
              <w:rPr>
                <w:rFonts w:hint="eastAsia"/>
                <w:color w:val="auto"/>
                <w:sz w:val="24"/>
                <w:lang w:val="en-US" w:eastAsia="zh-CN"/>
              </w:rPr>
              <w:t>水经蒸发浓缩后水中离子浓度增加，pH值和温度等因素发生变化致使离子过饱和而生成水垢，排污量按循环量的0.1%计，则排污量为0.032m</w:t>
            </w:r>
            <w:r>
              <w:rPr>
                <w:rFonts w:hint="eastAsia"/>
                <w:color w:val="auto"/>
                <w:sz w:val="24"/>
                <w:vertAlign w:val="superscript"/>
                <w:lang w:val="en-US" w:eastAsia="zh-CN"/>
              </w:rPr>
              <w:t>3</w:t>
            </w:r>
            <w:r>
              <w:rPr>
                <w:rFonts w:hint="eastAsia"/>
                <w:color w:val="auto"/>
                <w:sz w:val="24"/>
                <w:lang w:val="en-US" w:eastAsia="zh-CN"/>
              </w:rPr>
              <w:t>/d、9.6m</w:t>
            </w:r>
            <w:r>
              <w:rPr>
                <w:rFonts w:hint="eastAsia"/>
                <w:color w:val="auto"/>
                <w:sz w:val="24"/>
                <w:vertAlign w:val="superscript"/>
                <w:lang w:val="en-US" w:eastAsia="zh-CN"/>
              </w:rPr>
              <w:t>3</w:t>
            </w:r>
            <w:r>
              <w:rPr>
                <w:rFonts w:hint="eastAsia"/>
                <w:color w:val="auto"/>
                <w:sz w:val="24"/>
                <w:lang w:val="en-US" w:eastAsia="zh-CN"/>
              </w:rPr>
              <w:t>/a。</w:t>
            </w:r>
            <w:r>
              <w:rPr>
                <w:rFonts w:hint="eastAsia" w:ascii="Times New Roman" w:hAnsi="Times New Roman" w:eastAsia="宋体" w:cs="Times New Roman"/>
                <w:color w:val="auto"/>
                <w:sz w:val="24"/>
                <w:lang w:val="en-US" w:eastAsia="zh-CN"/>
              </w:rPr>
              <w:t>冷却排污水</w:t>
            </w:r>
            <w:r>
              <w:rPr>
                <w:rFonts w:hint="default" w:ascii="Times New Roman" w:hAnsi="Times New Roman" w:cs="Times New Roman"/>
                <w:color w:val="auto"/>
                <w:sz w:val="24"/>
              </w:rPr>
              <w:t>为高浓度含盐废水，废水量较少，排污水用于厂房洒水降尘。</w:t>
            </w:r>
          </w:p>
          <w:p w14:paraId="778DF5B0">
            <w:pPr>
              <w:pStyle w:val="65"/>
              <w:spacing w:line="360" w:lineRule="auto"/>
              <w:rPr>
                <w:rFonts w:hint="default" w:hAnsi="Times New Roman" w:eastAsia="宋体" w:cs="Times New Roman"/>
                <w:color w:val="auto"/>
                <w:szCs w:val="24"/>
                <w:lang w:val="en-US" w:eastAsia="zh-CN"/>
              </w:rPr>
            </w:pPr>
            <w:r>
              <w:rPr>
                <w:rFonts w:hint="eastAsia" w:hAnsi="Times New Roman" w:cs="Times New Roman"/>
                <w:color w:val="auto"/>
                <w:szCs w:val="24"/>
                <w:lang w:val="en-US" w:eastAsia="zh-CN"/>
              </w:rPr>
              <w:t>总排水量为309.6</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p>
          <w:p w14:paraId="101F08F0">
            <w:pPr>
              <w:pStyle w:val="65"/>
              <w:spacing w:line="360" w:lineRule="auto"/>
              <w:rPr>
                <w:rFonts w:hint="eastAsia" w:hAnsi="Times New Roman" w:cs="Times New Roman"/>
                <w:color w:val="auto"/>
                <w:szCs w:val="24"/>
              </w:rPr>
            </w:pPr>
            <w:r>
              <w:rPr>
                <w:rFonts w:hint="eastAsia" w:hAnsi="Times New Roman" w:cs="Times New Roman"/>
                <w:color w:val="auto"/>
                <w:szCs w:val="24"/>
              </w:rPr>
              <w:t>项目用水、排水情况见表2-</w:t>
            </w:r>
            <w:r>
              <w:rPr>
                <w:rFonts w:hint="eastAsia" w:hAnsi="Times New Roman" w:cs="Times New Roman"/>
                <w:color w:val="auto"/>
                <w:szCs w:val="24"/>
                <w:lang w:val="en-US" w:eastAsia="zh-CN"/>
              </w:rPr>
              <w:t>6</w:t>
            </w:r>
            <w:r>
              <w:rPr>
                <w:rFonts w:hint="eastAsia" w:hAnsi="Times New Roman" w:cs="Times New Roman"/>
                <w:color w:val="auto"/>
                <w:szCs w:val="24"/>
              </w:rPr>
              <w:t>，水平衡图见图2-</w:t>
            </w:r>
            <w:r>
              <w:rPr>
                <w:rFonts w:hint="eastAsia" w:hAnsi="Times New Roman" w:cs="Times New Roman"/>
                <w:color w:val="auto"/>
                <w:szCs w:val="24"/>
                <w:lang w:val="en-US" w:eastAsia="zh-CN"/>
              </w:rPr>
              <w:t>1</w:t>
            </w:r>
            <w:r>
              <w:rPr>
                <w:rFonts w:hint="eastAsia" w:hAnsi="Times New Roman" w:cs="Times New Roman"/>
                <w:color w:val="auto"/>
                <w:szCs w:val="24"/>
              </w:rPr>
              <w:t>：</w:t>
            </w:r>
          </w:p>
          <w:p w14:paraId="45F36BEC">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2</w:t>
            </w:r>
            <w:r>
              <w:rPr>
                <w:rFonts w:hint="eastAsia" w:hAnsi="Times New Roman" w:cs="Times New Roman"/>
                <w:b/>
                <w:bCs/>
                <w:color w:val="auto"/>
                <w:kern w:val="21"/>
                <w:szCs w:val="24"/>
                <w:lang w:val="en-US" w:eastAsia="zh-CN"/>
              </w:rPr>
              <w:t>-6</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w:t>
            </w:r>
            <w:r>
              <w:rPr>
                <w:rFonts w:hAnsi="Times New Roman" w:cs="Times New Roman"/>
                <w:b/>
                <w:bCs/>
                <w:color w:val="auto"/>
                <w:kern w:val="21"/>
                <w:szCs w:val="24"/>
              </w:rPr>
              <w:t>项目给排水情况一览表</w:t>
            </w:r>
          </w:p>
          <w:tbl>
            <w:tblPr>
              <w:tblStyle w:val="27"/>
              <w:tblW w:w="50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621"/>
              <w:gridCol w:w="1537"/>
              <w:gridCol w:w="1536"/>
              <w:gridCol w:w="1543"/>
            </w:tblGrid>
            <w:tr w14:paraId="26AB6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vMerge w:val="restart"/>
                  <w:noWrap w:val="0"/>
                  <w:vAlign w:val="center"/>
                </w:tcPr>
                <w:p w14:paraId="18578668">
                  <w:pPr>
                    <w:adjustRightInd w:val="0"/>
                    <w:snapToGrid w:val="0"/>
                    <w:jc w:val="center"/>
                    <w:rPr>
                      <w:b/>
                      <w:bCs/>
                      <w:snapToGrid w:val="0"/>
                      <w:color w:val="auto"/>
                      <w:szCs w:val="21"/>
                    </w:rPr>
                  </w:pPr>
                  <w:r>
                    <w:rPr>
                      <w:rFonts w:hint="eastAsia"/>
                      <w:b/>
                      <w:bCs/>
                      <w:snapToGrid w:val="0"/>
                      <w:color w:val="auto"/>
                      <w:szCs w:val="21"/>
                    </w:rPr>
                    <w:t>用水环节</w:t>
                  </w:r>
                </w:p>
              </w:tc>
              <w:tc>
                <w:tcPr>
                  <w:tcW w:w="1923" w:type="pct"/>
                  <w:gridSpan w:val="2"/>
                  <w:noWrap w:val="0"/>
                  <w:vAlign w:val="center"/>
                </w:tcPr>
                <w:p w14:paraId="274B6F35">
                  <w:pPr>
                    <w:adjustRightInd w:val="0"/>
                    <w:snapToGrid w:val="0"/>
                    <w:jc w:val="center"/>
                    <w:rPr>
                      <w:rFonts w:hint="eastAsia"/>
                      <w:b/>
                      <w:bCs/>
                      <w:snapToGrid w:val="0"/>
                      <w:color w:val="auto"/>
                      <w:szCs w:val="21"/>
                    </w:rPr>
                  </w:pPr>
                  <w:r>
                    <w:rPr>
                      <w:rFonts w:hint="eastAsia"/>
                      <w:b/>
                      <w:bCs/>
                      <w:snapToGrid w:val="0"/>
                      <w:color w:val="auto"/>
                      <w:szCs w:val="21"/>
                      <w:lang w:val="en-US" w:eastAsia="zh-CN"/>
                    </w:rPr>
                    <w:t>用水</w:t>
                  </w:r>
                  <w:r>
                    <w:rPr>
                      <w:rFonts w:hint="eastAsia"/>
                      <w:b/>
                      <w:bCs/>
                      <w:snapToGrid w:val="0"/>
                      <w:color w:val="auto"/>
                      <w:szCs w:val="21"/>
                    </w:rPr>
                    <w:t>量</w:t>
                  </w:r>
                  <w:r>
                    <w:rPr>
                      <w:rFonts w:hint="eastAsia"/>
                      <w:b/>
                      <w:bCs/>
                      <w:color w:val="auto"/>
                      <w:szCs w:val="21"/>
                    </w:rPr>
                    <w:t>(</w:t>
                  </w:r>
                  <w:r>
                    <w:rPr>
                      <w:b/>
                      <w:bCs/>
                      <w:color w:val="auto"/>
                      <w:szCs w:val="21"/>
                    </w:rPr>
                    <w:t>m</w:t>
                  </w:r>
                  <w:r>
                    <w:rPr>
                      <w:b/>
                      <w:bCs/>
                      <w:color w:val="auto"/>
                      <w:szCs w:val="21"/>
                      <w:vertAlign w:val="superscript"/>
                    </w:rPr>
                    <w:t>3</w:t>
                  </w:r>
                  <w:r>
                    <w:rPr>
                      <w:b/>
                      <w:bCs/>
                      <w:color w:val="auto"/>
                      <w:szCs w:val="21"/>
                    </w:rPr>
                    <w:t>/</w:t>
                  </w:r>
                  <w:r>
                    <w:rPr>
                      <w:rFonts w:hint="eastAsia"/>
                      <w:b/>
                      <w:bCs/>
                      <w:color w:val="auto"/>
                      <w:szCs w:val="21"/>
                      <w:lang w:val="en-US" w:eastAsia="zh-CN"/>
                    </w:rPr>
                    <w:t>d</w:t>
                  </w:r>
                  <w:r>
                    <w:rPr>
                      <w:rFonts w:hint="eastAsia"/>
                      <w:b/>
                      <w:bCs/>
                      <w:color w:val="auto"/>
                      <w:szCs w:val="21"/>
                    </w:rPr>
                    <w:t>)</w:t>
                  </w:r>
                </w:p>
              </w:tc>
              <w:tc>
                <w:tcPr>
                  <w:tcW w:w="935" w:type="pct"/>
                  <w:vMerge w:val="restart"/>
                  <w:noWrap w:val="0"/>
                  <w:vAlign w:val="center"/>
                </w:tcPr>
                <w:p w14:paraId="3E21C9B3">
                  <w:pPr>
                    <w:adjustRightInd w:val="0"/>
                    <w:snapToGrid w:val="0"/>
                    <w:jc w:val="center"/>
                    <w:rPr>
                      <w:b/>
                      <w:bCs/>
                      <w:snapToGrid w:val="0"/>
                      <w:color w:val="auto"/>
                      <w:szCs w:val="21"/>
                    </w:rPr>
                  </w:pPr>
                  <w:r>
                    <w:rPr>
                      <w:rFonts w:hint="eastAsia"/>
                      <w:b/>
                      <w:bCs/>
                      <w:snapToGrid w:val="0"/>
                      <w:color w:val="auto"/>
                      <w:szCs w:val="21"/>
                    </w:rPr>
                    <w:t>损耗量</w:t>
                  </w:r>
                  <w:r>
                    <w:rPr>
                      <w:rFonts w:hint="eastAsia"/>
                      <w:b/>
                      <w:bCs/>
                      <w:color w:val="auto"/>
                      <w:szCs w:val="21"/>
                    </w:rPr>
                    <w:t>(</w:t>
                  </w:r>
                  <w:r>
                    <w:rPr>
                      <w:b/>
                      <w:bCs/>
                      <w:color w:val="auto"/>
                      <w:szCs w:val="21"/>
                    </w:rPr>
                    <w:t>m</w:t>
                  </w:r>
                  <w:r>
                    <w:rPr>
                      <w:b/>
                      <w:bCs/>
                      <w:color w:val="auto"/>
                      <w:szCs w:val="21"/>
                      <w:vertAlign w:val="superscript"/>
                    </w:rPr>
                    <w:t>3</w:t>
                  </w:r>
                  <w:r>
                    <w:rPr>
                      <w:b/>
                      <w:bCs/>
                      <w:color w:val="auto"/>
                      <w:szCs w:val="21"/>
                    </w:rPr>
                    <w:t>/</w:t>
                  </w:r>
                  <w:r>
                    <w:rPr>
                      <w:rFonts w:hint="eastAsia"/>
                      <w:b/>
                      <w:bCs/>
                      <w:color w:val="auto"/>
                      <w:szCs w:val="21"/>
                      <w:lang w:val="en-US" w:eastAsia="zh-CN"/>
                    </w:rPr>
                    <w:t>d</w:t>
                  </w:r>
                  <w:r>
                    <w:rPr>
                      <w:rFonts w:hint="eastAsia"/>
                      <w:b/>
                      <w:bCs/>
                      <w:color w:val="auto"/>
                      <w:szCs w:val="21"/>
                    </w:rPr>
                    <w:t>)</w:t>
                  </w:r>
                </w:p>
              </w:tc>
              <w:tc>
                <w:tcPr>
                  <w:tcW w:w="939" w:type="pct"/>
                  <w:vMerge w:val="restart"/>
                  <w:noWrap w:val="0"/>
                  <w:vAlign w:val="center"/>
                </w:tcPr>
                <w:p w14:paraId="3C1CB0C9">
                  <w:pPr>
                    <w:adjustRightInd w:val="0"/>
                    <w:snapToGrid w:val="0"/>
                    <w:jc w:val="center"/>
                    <w:rPr>
                      <w:b/>
                      <w:bCs/>
                      <w:snapToGrid w:val="0"/>
                      <w:color w:val="auto"/>
                      <w:szCs w:val="21"/>
                    </w:rPr>
                  </w:pPr>
                  <w:r>
                    <w:rPr>
                      <w:rFonts w:hint="eastAsia"/>
                      <w:b/>
                      <w:bCs/>
                      <w:snapToGrid w:val="0"/>
                      <w:color w:val="auto"/>
                      <w:szCs w:val="21"/>
                    </w:rPr>
                    <w:t>排水量</w:t>
                  </w:r>
                  <w:r>
                    <w:rPr>
                      <w:rFonts w:hint="eastAsia"/>
                      <w:b/>
                      <w:bCs/>
                      <w:color w:val="auto"/>
                      <w:szCs w:val="21"/>
                    </w:rPr>
                    <w:t>(</w:t>
                  </w:r>
                  <w:r>
                    <w:rPr>
                      <w:b/>
                      <w:bCs/>
                      <w:color w:val="auto"/>
                      <w:szCs w:val="21"/>
                    </w:rPr>
                    <w:t>m</w:t>
                  </w:r>
                  <w:r>
                    <w:rPr>
                      <w:b/>
                      <w:bCs/>
                      <w:color w:val="auto"/>
                      <w:szCs w:val="21"/>
                      <w:vertAlign w:val="superscript"/>
                    </w:rPr>
                    <w:t>3</w:t>
                  </w:r>
                  <w:r>
                    <w:rPr>
                      <w:b/>
                      <w:bCs/>
                      <w:color w:val="auto"/>
                      <w:szCs w:val="21"/>
                    </w:rPr>
                    <w:t>/</w:t>
                  </w:r>
                  <w:r>
                    <w:rPr>
                      <w:rFonts w:hint="eastAsia"/>
                      <w:b/>
                      <w:bCs/>
                      <w:color w:val="auto"/>
                      <w:szCs w:val="21"/>
                      <w:lang w:val="en-US" w:eastAsia="zh-CN"/>
                    </w:rPr>
                    <w:t>d</w:t>
                  </w:r>
                  <w:r>
                    <w:rPr>
                      <w:rFonts w:hint="eastAsia"/>
                      <w:b/>
                      <w:bCs/>
                      <w:color w:val="auto"/>
                      <w:szCs w:val="21"/>
                    </w:rPr>
                    <w:t>)</w:t>
                  </w:r>
                </w:p>
              </w:tc>
            </w:tr>
            <w:tr w14:paraId="2060B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vMerge w:val="continue"/>
                  <w:noWrap w:val="0"/>
                  <w:vAlign w:val="center"/>
                </w:tcPr>
                <w:p w14:paraId="5CC45E40">
                  <w:pPr>
                    <w:adjustRightInd w:val="0"/>
                    <w:snapToGrid w:val="0"/>
                    <w:jc w:val="center"/>
                    <w:rPr>
                      <w:rFonts w:hint="eastAsia"/>
                      <w:b/>
                      <w:bCs/>
                      <w:snapToGrid w:val="0"/>
                      <w:color w:val="auto"/>
                      <w:szCs w:val="21"/>
                    </w:rPr>
                  </w:pPr>
                </w:p>
              </w:tc>
              <w:tc>
                <w:tcPr>
                  <w:tcW w:w="987" w:type="pct"/>
                  <w:noWrap w:val="0"/>
                  <w:vAlign w:val="center"/>
                </w:tcPr>
                <w:p w14:paraId="5D3A1B1B">
                  <w:pPr>
                    <w:adjustRightInd w:val="0"/>
                    <w:snapToGrid w:val="0"/>
                    <w:jc w:val="center"/>
                    <w:rPr>
                      <w:rFonts w:hint="eastAsia"/>
                      <w:b/>
                      <w:bCs/>
                      <w:snapToGrid w:val="0"/>
                      <w:color w:val="auto"/>
                      <w:szCs w:val="21"/>
                    </w:rPr>
                  </w:pPr>
                  <w:r>
                    <w:rPr>
                      <w:rFonts w:hint="eastAsia"/>
                      <w:b/>
                      <w:bCs/>
                      <w:snapToGrid w:val="0"/>
                      <w:color w:val="auto"/>
                      <w:szCs w:val="21"/>
                    </w:rPr>
                    <w:t>新鲜水</w:t>
                  </w:r>
                </w:p>
              </w:tc>
              <w:tc>
                <w:tcPr>
                  <w:tcW w:w="935" w:type="pct"/>
                  <w:noWrap w:val="0"/>
                  <w:vAlign w:val="center"/>
                </w:tcPr>
                <w:p w14:paraId="2B61E875">
                  <w:pPr>
                    <w:adjustRightInd w:val="0"/>
                    <w:snapToGrid w:val="0"/>
                    <w:jc w:val="center"/>
                    <w:rPr>
                      <w:rFonts w:hint="default" w:eastAsia="宋体"/>
                      <w:b/>
                      <w:bCs/>
                      <w:snapToGrid w:val="0"/>
                      <w:color w:val="auto"/>
                      <w:szCs w:val="21"/>
                      <w:lang w:val="en-US" w:eastAsia="zh-CN"/>
                    </w:rPr>
                  </w:pPr>
                  <w:r>
                    <w:rPr>
                      <w:rFonts w:hint="eastAsia"/>
                      <w:b/>
                      <w:bCs/>
                      <w:snapToGrid w:val="0"/>
                      <w:color w:val="auto"/>
                      <w:szCs w:val="21"/>
                      <w:lang w:val="en-US" w:eastAsia="zh-CN"/>
                    </w:rPr>
                    <w:t>循环水</w:t>
                  </w:r>
                </w:p>
              </w:tc>
              <w:tc>
                <w:tcPr>
                  <w:tcW w:w="935" w:type="pct"/>
                  <w:vMerge w:val="continue"/>
                  <w:noWrap w:val="0"/>
                  <w:vAlign w:val="center"/>
                </w:tcPr>
                <w:p w14:paraId="27CF4C14">
                  <w:pPr>
                    <w:adjustRightInd w:val="0"/>
                    <w:snapToGrid w:val="0"/>
                    <w:jc w:val="center"/>
                    <w:rPr>
                      <w:rFonts w:hint="eastAsia"/>
                      <w:b/>
                      <w:bCs/>
                      <w:snapToGrid w:val="0"/>
                      <w:color w:val="auto"/>
                      <w:szCs w:val="21"/>
                    </w:rPr>
                  </w:pPr>
                </w:p>
              </w:tc>
              <w:tc>
                <w:tcPr>
                  <w:tcW w:w="939" w:type="pct"/>
                  <w:vMerge w:val="continue"/>
                  <w:noWrap w:val="0"/>
                  <w:vAlign w:val="center"/>
                </w:tcPr>
                <w:p w14:paraId="3750AA5A">
                  <w:pPr>
                    <w:adjustRightInd w:val="0"/>
                    <w:snapToGrid w:val="0"/>
                    <w:jc w:val="center"/>
                    <w:rPr>
                      <w:rFonts w:hint="eastAsia"/>
                      <w:b/>
                      <w:bCs/>
                      <w:snapToGrid w:val="0"/>
                      <w:color w:val="auto"/>
                      <w:szCs w:val="21"/>
                    </w:rPr>
                  </w:pPr>
                </w:p>
              </w:tc>
            </w:tr>
            <w:tr w14:paraId="36986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shd w:val="clear" w:color="auto" w:fill="auto"/>
                  <w:noWrap w:val="0"/>
                  <w:vAlign w:val="center"/>
                </w:tcPr>
                <w:p w14:paraId="041D6BCE">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生活用水</w:t>
                  </w:r>
                </w:p>
              </w:tc>
              <w:tc>
                <w:tcPr>
                  <w:tcW w:w="987" w:type="pct"/>
                  <w:shd w:val="clear" w:color="auto" w:fill="auto"/>
                  <w:noWrap w:val="0"/>
                  <w:vAlign w:val="center"/>
                </w:tcPr>
                <w:p w14:paraId="3DDCDFD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1.25</w:t>
                  </w:r>
                </w:p>
              </w:tc>
              <w:tc>
                <w:tcPr>
                  <w:tcW w:w="935" w:type="pct"/>
                  <w:shd w:val="clear" w:color="auto" w:fill="auto"/>
                  <w:noWrap w:val="0"/>
                  <w:vAlign w:val="center"/>
                </w:tcPr>
                <w:p w14:paraId="31AE2CC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0</w:t>
                  </w:r>
                </w:p>
              </w:tc>
              <w:tc>
                <w:tcPr>
                  <w:tcW w:w="935" w:type="pct"/>
                  <w:shd w:val="clear" w:color="auto" w:fill="auto"/>
                  <w:noWrap w:val="0"/>
                  <w:vAlign w:val="center"/>
                </w:tcPr>
                <w:p w14:paraId="037C7DD0">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0.25</w:t>
                  </w:r>
                </w:p>
              </w:tc>
              <w:tc>
                <w:tcPr>
                  <w:tcW w:w="939" w:type="pct"/>
                  <w:shd w:val="clear" w:color="auto" w:fill="auto"/>
                  <w:noWrap w:val="0"/>
                  <w:vAlign w:val="center"/>
                </w:tcPr>
                <w:p w14:paraId="5DCDD10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w:t>
                  </w:r>
                </w:p>
              </w:tc>
            </w:tr>
            <w:tr w14:paraId="4E999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shd w:val="clear" w:color="auto" w:fill="auto"/>
                  <w:noWrap w:val="0"/>
                  <w:vAlign w:val="center"/>
                </w:tcPr>
                <w:p w14:paraId="63C4873D">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冷却用水</w:t>
                  </w:r>
                </w:p>
              </w:tc>
              <w:tc>
                <w:tcPr>
                  <w:tcW w:w="987" w:type="pct"/>
                  <w:shd w:val="clear" w:color="auto" w:fill="auto"/>
                  <w:noWrap w:val="0"/>
                  <w:vAlign w:val="center"/>
                </w:tcPr>
                <w:p w14:paraId="46B3C600">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0.096</w:t>
                  </w:r>
                </w:p>
              </w:tc>
              <w:tc>
                <w:tcPr>
                  <w:tcW w:w="935" w:type="pct"/>
                  <w:shd w:val="clear" w:color="auto" w:fill="auto"/>
                  <w:noWrap w:val="0"/>
                  <w:vAlign w:val="center"/>
                </w:tcPr>
                <w:p w14:paraId="154E553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32</w:t>
                  </w:r>
                </w:p>
              </w:tc>
              <w:tc>
                <w:tcPr>
                  <w:tcW w:w="935" w:type="pct"/>
                  <w:shd w:val="clear" w:color="auto" w:fill="auto"/>
                  <w:noWrap w:val="0"/>
                  <w:vAlign w:val="center"/>
                </w:tcPr>
                <w:p w14:paraId="0A26ECED">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0.064</w:t>
                  </w:r>
                </w:p>
              </w:tc>
              <w:tc>
                <w:tcPr>
                  <w:tcW w:w="939" w:type="pct"/>
                  <w:shd w:val="clear" w:color="auto" w:fill="auto"/>
                  <w:noWrap w:val="0"/>
                  <w:vAlign w:val="center"/>
                </w:tcPr>
                <w:p w14:paraId="61194F3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0.032</w:t>
                  </w:r>
                </w:p>
              </w:tc>
            </w:tr>
            <w:tr w14:paraId="683F3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shd w:val="clear" w:color="auto" w:fill="auto"/>
                  <w:noWrap w:val="0"/>
                  <w:vAlign w:val="center"/>
                </w:tcPr>
                <w:p w14:paraId="5A9E6CCF">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合计</w:t>
                  </w:r>
                </w:p>
              </w:tc>
              <w:tc>
                <w:tcPr>
                  <w:tcW w:w="987" w:type="pct"/>
                  <w:shd w:val="clear" w:color="auto" w:fill="auto"/>
                  <w:noWrap w:val="0"/>
                  <w:vAlign w:val="center"/>
                </w:tcPr>
                <w:p w14:paraId="6E8D16B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1.346</w:t>
                  </w:r>
                </w:p>
              </w:tc>
              <w:tc>
                <w:tcPr>
                  <w:tcW w:w="935" w:type="pct"/>
                  <w:shd w:val="clear" w:color="auto" w:fill="auto"/>
                  <w:noWrap w:val="0"/>
                  <w:vAlign w:val="center"/>
                </w:tcPr>
                <w:p w14:paraId="1CB5F206">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32</w:t>
                  </w:r>
                </w:p>
              </w:tc>
              <w:tc>
                <w:tcPr>
                  <w:tcW w:w="935" w:type="pct"/>
                  <w:shd w:val="clear" w:color="auto" w:fill="auto"/>
                  <w:noWrap w:val="0"/>
                  <w:vAlign w:val="center"/>
                </w:tcPr>
                <w:p w14:paraId="25E0414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0.314</w:t>
                  </w:r>
                </w:p>
              </w:tc>
              <w:tc>
                <w:tcPr>
                  <w:tcW w:w="939" w:type="pct"/>
                  <w:shd w:val="clear" w:color="auto" w:fill="auto"/>
                  <w:noWrap w:val="0"/>
                  <w:vAlign w:val="center"/>
                </w:tcPr>
                <w:p w14:paraId="54DB33EF">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1.032</w:t>
                  </w:r>
                </w:p>
              </w:tc>
            </w:tr>
          </w:tbl>
          <w:p w14:paraId="3910B348">
            <w:pPr>
              <w:pStyle w:val="65"/>
              <w:spacing w:line="360" w:lineRule="auto"/>
              <w:ind w:firstLine="0" w:firstLineChars="0"/>
              <w:jc w:val="center"/>
              <w:rPr>
                <w:rFonts w:hint="eastAsia"/>
                <w:color w:val="auto"/>
              </w:rPr>
            </w:pPr>
          </w:p>
          <w:p w14:paraId="3F869B97">
            <w:pPr>
              <w:pStyle w:val="65"/>
              <w:spacing w:line="360" w:lineRule="auto"/>
              <w:ind w:firstLine="0" w:firstLineChars="0"/>
              <w:jc w:val="center"/>
              <w:rPr>
                <w:rFonts w:hint="eastAsia"/>
                <w:color w:val="auto"/>
              </w:rPr>
            </w:pPr>
            <w:r>
              <w:rPr>
                <w:rFonts w:hint="eastAsia"/>
                <w:color w:val="auto"/>
              </w:rPr>
              <w:object>
                <v:shape id="_x0000_i1025" o:spt="75" type="#_x0000_t75" style="height:119.05pt;width:336.35pt;" o:ole="t" filled="f" o:preferrelative="t" stroked="f" coordsize="21600,21600">
                  <v:path/>
                  <v:fill on="f" focussize="0,0"/>
                  <v:stroke on="f"/>
                  <v:imagedata r:id="rId12" cropright="1388f" cropbottom="32635f" o:title=""/>
                  <o:lock v:ext="edit" aspectratio="t"/>
                  <w10:wrap type="none"/>
                  <w10:anchorlock/>
                </v:shape>
                <o:OLEObject Type="Embed" ProgID="Visio.Drawing.11" ShapeID="_x0000_i1025" DrawAspect="Content" ObjectID="_1468075725" r:id="rId11">
                  <o:LockedField>false</o:LockedField>
                </o:OLEObject>
              </w:object>
            </w:r>
          </w:p>
          <w:p w14:paraId="711D4418">
            <w:pPr>
              <w:pStyle w:val="80"/>
              <w:ind w:firstLine="0" w:firstLineChars="0"/>
              <w:jc w:val="center"/>
              <w:rPr>
                <w:rFonts w:hint="eastAsia" w:eastAsia="宋体"/>
                <w:color w:val="auto"/>
                <w:lang w:val="en-US" w:eastAsia="zh-CN"/>
              </w:rPr>
            </w:pPr>
            <w:r>
              <w:rPr>
                <w:rFonts w:hint="eastAsia"/>
                <w:b/>
                <w:bCs/>
                <w:color w:val="auto"/>
              </w:rPr>
              <w:t>图2-</w:t>
            </w:r>
            <w:r>
              <w:rPr>
                <w:rFonts w:hint="eastAsia"/>
                <w:b/>
                <w:bCs/>
                <w:color w:val="auto"/>
                <w:lang w:val="en-US" w:eastAsia="zh-CN"/>
              </w:rPr>
              <w:t>1</w:t>
            </w:r>
            <w:r>
              <w:rPr>
                <w:b/>
                <w:bCs/>
                <w:color w:val="auto"/>
              </w:rPr>
              <w:t xml:space="preserve"> </w:t>
            </w:r>
            <w:r>
              <w:rPr>
                <w:rFonts w:hint="eastAsia"/>
                <w:b/>
                <w:bCs/>
                <w:color w:val="auto"/>
              </w:rPr>
              <w:t xml:space="preserve"> 项目水平衡图  单位：m</w:t>
            </w:r>
            <w:r>
              <w:rPr>
                <w:rFonts w:hint="eastAsia"/>
                <w:b/>
                <w:bCs/>
                <w:color w:val="auto"/>
                <w:vertAlign w:val="superscript"/>
              </w:rPr>
              <w:t>3</w:t>
            </w:r>
            <w:r>
              <w:rPr>
                <w:rFonts w:hint="eastAsia"/>
                <w:b/>
                <w:bCs/>
                <w:color w:val="auto"/>
              </w:rPr>
              <w:t>/</w:t>
            </w:r>
            <w:r>
              <w:rPr>
                <w:rFonts w:hint="eastAsia"/>
                <w:b/>
                <w:bCs/>
                <w:color w:val="auto"/>
                <w:lang w:val="en-US" w:eastAsia="zh-CN"/>
              </w:rPr>
              <w:t>d</w:t>
            </w:r>
          </w:p>
          <w:p w14:paraId="6E357FEB">
            <w:pPr>
              <w:pStyle w:val="80"/>
              <w:ind w:firstLine="480"/>
              <w:rPr>
                <w:color w:val="auto"/>
              </w:rPr>
            </w:pPr>
            <w:r>
              <w:rPr>
                <w:color w:val="auto"/>
              </w:rPr>
              <w:t>（2）供电</w:t>
            </w:r>
          </w:p>
          <w:p w14:paraId="2D781F62">
            <w:pPr>
              <w:pStyle w:val="80"/>
              <w:ind w:firstLine="480"/>
              <w:rPr>
                <w:color w:val="auto"/>
                <w:szCs w:val="21"/>
              </w:rPr>
            </w:pPr>
            <w:r>
              <w:rPr>
                <w:color w:val="auto"/>
              </w:rPr>
              <w:t>项目供电由市政</w:t>
            </w:r>
            <w:r>
              <w:rPr>
                <w:rFonts w:hint="eastAsia"/>
                <w:color w:val="auto"/>
              </w:rPr>
              <w:t>电网</w:t>
            </w:r>
            <w:r>
              <w:rPr>
                <w:color w:val="auto"/>
              </w:rPr>
              <w:t>供给</w:t>
            </w:r>
            <w:r>
              <w:rPr>
                <w:color w:val="auto"/>
                <w:szCs w:val="21"/>
              </w:rPr>
              <w:t>。</w:t>
            </w:r>
          </w:p>
          <w:p w14:paraId="50E2C969">
            <w:pPr>
              <w:pStyle w:val="80"/>
              <w:ind w:firstLine="480"/>
              <w:rPr>
                <w:color w:val="auto"/>
                <w:szCs w:val="21"/>
              </w:rPr>
            </w:pPr>
            <w:r>
              <w:rPr>
                <w:color w:val="auto"/>
                <w:szCs w:val="21"/>
              </w:rPr>
              <w:t>（3）</w:t>
            </w:r>
            <w:r>
              <w:rPr>
                <w:color w:val="auto"/>
              </w:rPr>
              <w:t>供暖制冷</w:t>
            </w:r>
          </w:p>
          <w:p w14:paraId="4ACD0F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sz w:val="24"/>
                <w:szCs w:val="32"/>
                <w:lang w:val="en-US" w:eastAsia="zh-CN"/>
              </w:rPr>
              <w:t>宿舍及办公采用分体式空调，生产区不需要制冷、供暖</w:t>
            </w:r>
            <w:r>
              <w:rPr>
                <w:color w:val="auto"/>
                <w:sz w:val="24"/>
                <w:szCs w:val="32"/>
              </w:rPr>
              <w:t>。</w:t>
            </w:r>
          </w:p>
        </w:tc>
      </w:tr>
      <w:tr w14:paraId="5EB5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dxa"/>
            <w:noWrap w:val="0"/>
            <w:vAlign w:val="center"/>
          </w:tcPr>
          <w:p w14:paraId="55BC51D8">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346" w:type="dxa"/>
            <w:noWrap w:val="0"/>
            <w:vAlign w:val="top"/>
          </w:tcPr>
          <w:p w14:paraId="2D3FA91A">
            <w:pPr>
              <w:pStyle w:val="65"/>
              <w:spacing w:before="120" w:beforeLines="50" w:line="360" w:lineRule="auto"/>
              <w:ind w:firstLine="482"/>
              <w:rPr>
                <w:rFonts w:hAnsi="Times New Roman" w:cs="Times New Roman"/>
                <w:b/>
                <w:bCs/>
                <w:color w:val="auto"/>
                <w:szCs w:val="24"/>
              </w:rPr>
            </w:pPr>
            <w:r>
              <w:rPr>
                <w:rFonts w:hint="eastAsia" w:hAnsi="Times New Roman" w:cs="Times New Roman"/>
                <w:b/>
                <w:bCs/>
                <w:color w:val="auto"/>
                <w:szCs w:val="24"/>
              </w:rPr>
              <w:t>1</w:t>
            </w:r>
            <w:r>
              <w:rPr>
                <w:rFonts w:hAnsi="Times New Roman" w:cs="Times New Roman"/>
                <w:b/>
                <w:bCs/>
                <w:color w:val="auto"/>
                <w:szCs w:val="24"/>
              </w:rPr>
              <w:t>、</w:t>
            </w:r>
            <w:r>
              <w:rPr>
                <w:rFonts w:hint="eastAsia" w:hAnsi="Times New Roman" w:cs="Times New Roman"/>
                <w:b/>
                <w:bCs/>
                <w:color w:val="auto"/>
                <w:szCs w:val="24"/>
                <w:lang w:val="en-US" w:eastAsia="zh-CN"/>
              </w:rPr>
              <w:t>施工</w:t>
            </w:r>
            <w:r>
              <w:rPr>
                <w:rFonts w:hAnsi="Times New Roman" w:cs="Times New Roman"/>
                <w:b/>
                <w:bCs/>
                <w:color w:val="auto"/>
                <w:szCs w:val="24"/>
              </w:rPr>
              <w:t>期工艺流程</w:t>
            </w:r>
          </w:p>
          <w:p w14:paraId="76E7E0ED">
            <w:pPr>
              <w:pStyle w:val="6"/>
              <w:spacing w:line="360" w:lineRule="auto"/>
              <w:ind w:firstLine="480" w:firstLineChars="200"/>
              <w:jc w:val="left"/>
              <w:rPr>
                <w:rFonts w:hint="eastAsia"/>
                <w:color w:val="auto"/>
                <w:kern w:val="0"/>
                <w:lang w:val="en-US" w:eastAsia="zh-CN"/>
              </w:rPr>
            </w:pPr>
            <w:r>
              <w:rPr>
                <w:rFonts w:hint="eastAsia"/>
                <w:color w:val="auto"/>
                <w:kern w:val="0"/>
                <w:lang w:val="en-US" w:eastAsia="zh-CN"/>
              </w:rPr>
              <w:t>本项目为迁建项目，租用已建成厂房，施工期主要为生产设备及环保设备的安装、调试等作业。</w:t>
            </w:r>
          </w:p>
          <w:p w14:paraId="1E70D5F1">
            <w:pPr>
              <w:pStyle w:val="6"/>
              <w:spacing w:line="360" w:lineRule="auto"/>
              <w:ind w:firstLine="480" w:firstLineChars="200"/>
              <w:jc w:val="left"/>
              <w:rPr>
                <w:color w:val="auto"/>
                <w:kern w:val="0"/>
              </w:rPr>
            </w:pPr>
            <w:r>
              <w:rPr>
                <w:rFonts w:hint="eastAsia"/>
                <w:color w:val="auto"/>
                <w:kern w:val="0"/>
                <w:lang w:val="en-US" w:eastAsia="zh-CN"/>
              </w:rPr>
              <w:t>施工期污染主要为设备安装人员产生的生活污水、生活垃圾，设备安装过程产生的噪声、废包装材料等，所有安装施工在室内进行。</w:t>
            </w:r>
          </w:p>
          <w:p w14:paraId="23753EA8">
            <w:pPr>
              <w:pStyle w:val="65"/>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Ansi="Times New Roman" w:cs="Times New Roman"/>
                <w:b/>
                <w:bCs/>
                <w:color w:val="auto"/>
                <w:szCs w:val="24"/>
              </w:rPr>
            </w:pPr>
            <w:r>
              <w:rPr>
                <w:rFonts w:hint="eastAsia" w:hAnsi="Times New Roman" w:cs="Times New Roman"/>
                <w:b/>
                <w:bCs/>
                <w:color w:val="auto"/>
                <w:szCs w:val="24"/>
                <w:lang w:val="en-US" w:eastAsia="zh-CN"/>
              </w:rPr>
              <w:t>2</w:t>
            </w:r>
            <w:r>
              <w:rPr>
                <w:rFonts w:hAnsi="Times New Roman" w:cs="Times New Roman"/>
                <w:b/>
                <w:bCs/>
                <w:color w:val="auto"/>
                <w:szCs w:val="24"/>
              </w:rPr>
              <w:t>、运营期工艺流程</w:t>
            </w:r>
          </w:p>
          <w:p w14:paraId="2362BF42">
            <w:pPr>
              <w:pStyle w:val="6"/>
              <w:spacing w:line="360" w:lineRule="auto"/>
              <w:ind w:firstLine="480" w:firstLineChars="200"/>
              <w:jc w:val="left"/>
              <w:rPr>
                <w:rFonts w:hint="eastAsia"/>
                <w:color w:val="auto"/>
                <w:kern w:val="0"/>
                <w:lang w:val="en-US" w:eastAsia="zh-CN"/>
              </w:rPr>
            </w:pPr>
            <w:r>
              <w:rPr>
                <w:rFonts w:hint="eastAsia"/>
                <w:color w:val="auto"/>
                <w:kern w:val="0"/>
                <w:lang w:val="en-US" w:eastAsia="zh-CN"/>
              </w:rPr>
              <w:t>（1）聚乙烯外护管生产线</w:t>
            </w:r>
          </w:p>
          <w:p w14:paraId="555970A7">
            <w:pPr>
              <w:pStyle w:val="6"/>
              <w:spacing w:line="360" w:lineRule="auto"/>
              <w:ind w:firstLine="480" w:firstLineChars="200"/>
              <w:jc w:val="left"/>
              <w:rPr>
                <w:color w:val="auto"/>
                <w:kern w:val="0"/>
              </w:rPr>
            </w:pPr>
            <w:r>
              <w:rPr>
                <w:rFonts w:hint="eastAsia"/>
                <w:color w:val="auto"/>
                <w:kern w:val="0"/>
                <w:lang w:val="en-US" w:eastAsia="zh-CN"/>
              </w:rPr>
              <w:t>聚乙烯外护管生产工艺流程及主要产污环节见图2-2。</w:t>
            </w:r>
          </w:p>
          <w:p w14:paraId="27CA8CA2">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
                <w:bCs/>
                <w:color w:val="auto"/>
                <w:szCs w:val="24"/>
              </w:rPr>
            </w:pPr>
            <w:r>
              <w:rPr>
                <w:color w:val="auto"/>
                <w:kern w:val="0"/>
              </w:rPr>
              <w:object>
                <v:shape id="_x0000_i1026" o:spt="75" type="#_x0000_t75" style="height:306.15pt;width:363.85pt;" o:ole="t" filled="f" o:preferrelative="t" stroked="f" coordsize="21600,21600">
                  <v:path/>
                  <v:fill on="f" focussize="0,0"/>
                  <v:stroke on="f"/>
                  <v:imagedata r:id="rId14" cropleft="4109f" croptop="1717f" cropright="3846f" cropbottom="24722f" o:title=""/>
                  <o:lock v:ext="edit" aspectratio="t"/>
                  <w10:wrap type="none"/>
                  <w10:anchorlock/>
                </v:shape>
                <o:OLEObject Type="Embed" ProgID="Visio.Drawing.11" ShapeID="_x0000_i1026" DrawAspect="Content" ObjectID="_1468075726" r:id="rId13">
                  <o:LockedField>false</o:LockedField>
                </o:OLEObject>
              </w:object>
            </w:r>
          </w:p>
          <w:p w14:paraId="1DC3D5CD">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b/>
                <w:bCs/>
                <w:color w:val="auto"/>
                <w:szCs w:val="24"/>
              </w:rPr>
            </w:pPr>
            <w:r>
              <w:rPr>
                <w:b/>
                <w:bCs/>
                <w:color w:val="auto"/>
                <w:szCs w:val="24"/>
              </w:rPr>
              <w:t>图</w:t>
            </w:r>
            <w:r>
              <w:rPr>
                <w:rFonts w:hint="eastAsia"/>
                <w:b/>
                <w:bCs/>
                <w:color w:val="auto"/>
                <w:szCs w:val="24"/>
              </w:rPr>
              <w:t>2</w:t>
            </w:r>
            <w:r>
              <w:rPr>
                <w:rFonts w:hint="eastAsia"/>
                <w:b/>
                <w:bCs/>
                <w:color w:val="auto"/>
                <w:szCs w:val="24"/>
                <w:lang w:val="en-US" w:eastAsia="zh-CN"/>
              </w:rPr>
              <w:t>-2</w:t>
            </w:r>
            <w:r>
              <w:rPr>
                <w:b/>
                <w:bCs/>
                <w:color w:val="auto"/>
                <w:szCs w:val="24"/>
              </w:rPr>
              <w:t xml:space="preserve"> </w:t>
            </w:r>
            <w:r>
              <w:rPr>
                <w:rFonts w:hint="eastAsia"/>
                <w:b/>
                <w:bCs/>
                <w:color w:val="auto"/>
                <w:szCs w:val="24"/>
              </w:rPr>
              <w:t xml:space="preserve"> 聚乙烯外护管生产工艺及产污环节图</w:t>
            </w:r>
          </w:p>
          <w:p w14:paraId="4AB5420D">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工艺说明：</w:t>
            </w:r>
          </w:p>
          <w:p w14:paraId="01A518FE">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①搅拌、上料</w:t>
            </w:r>
          </w:p>
          <w:p w14:paraId="4B9E30D1">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首先将高密度聚乙烯树脂颗粒和色母按一定比例人工加入密闭搅拌机混合，自动上料，此阶段原辅料混合时有微量粉尘和噪声产生；</w:t>
            </w:r>
          </w:p>
          <w:p w14:paraId="6323A964">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②热融、挤出</w:t>
            </w:r>
          </w:p>
          <w:p w14:paraId="27AFDE9A">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原料进入挤出机内，通过电加热升温至170-190℃，经熔融、软化作用变成粘性流体，再经螺杆挤出机挤出至模具内，制成符合规格要求的管状胚体，此阶段有废气和噪声产生；</w:t>
            </w:r>
          </w:p>
          <w:p w14:paraId="00620CB7">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③冷却、定型</w:t>
            </w:r>
          </w:p>
          <w:p w14:paraId="69CB2FB6">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管状制品离开模具后，进入真空定径装置进行真空定径和喷淋冷却。牵引机将挤出的管材按照一定的牵引力和速度，均匀的引出管材，并通过调节牵引速度调节管子的厚度，此阶段有真空箱定期排污废水和噪声产生；</w:t>
            </w:r>
          </w:p>
          <w:p w14:paraId="4712937B">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真空定径箱：真空定径箱分为两段，前段为真空、喷淋冷却段，后段为喷淋冷却段，箱体配备两级真空系统，先进的水循环和高压冷却系统，真空度调节装置和精确的水温水位自动控制系统，由不锈钢箱体、喷淋系统和ABS雾化喷头组成。塑料熔体从机头模挤出后直接进入真空箱，由于真空箱整体被抽真空，未定型的熔体由于内压（管材内孔与大气相通）高于外表面的压力（外表面负压一般为0.04~0.07MPa），外表面贴在与其接触的定径元件，通过建立管材内腔与壁面之间的压差使管材外表面被吸附在定径套内壁，得到外径及壁厚符合要求的各种规格的管材，经水喷淋后进行冷却。</w:t>
            </w:r>
          </w:p>
          <w:p w14:paraId="2C9219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pacing w:val="-3"/>
                <w:sz w:val="24"/>
                <w:lang w:eastAsia="zh-CN"/>
              </w:rPr>
            </w:pPr>
            <w:r>
              <w:rPr>
                <w:rFonts w:hint="eastAsia" w:ascii="Times New Roman" w:hAnsi="Times New Roman" w:eastAsia="宋体" w:cs="Times New Roman"/>
                <w:color w:val="auto"/>
                <w:spacing w:val="-3"/>
                <w:sz w:val="24"/>
                <w:lang w:eastAsia="zh-CN"/>
              </w:rPr>
              <w:drawing>
                <wp:inline distT="0" distB="0" distL="114300" distR="114300">
                  <wp:extent cx="3752850" cy="2238375"/>
                  <wp:effectExtent l="0" t="0" r="0" b="9525"/>
                  <wp:docPr id="20" name="图片 20" descr="真空定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真空定径"/>
                          <pic:cNvPicPr>
                            <a:picLocks noChangeAspect="1"/>
                          </pic:cNvPicPr>
                        </pic:nvPicPr>
                        <pic:blipFill>
                          <a:blip r:embed="rId15"/>
                          <a:stretch>
                            <a:fillRect/>
                          </a:stretch>
                        </pic:blipFill>
                        <pic:spPr>
                          <a:xfrm>
                            <a:off x="0" y="0"/>
                            <a:ext cx="3752850" cy="2238375"/>
                          </a:xfrm>
                          <a:prstGeom prst="rect">
                            <a:avLst/>
                          </a:prstGeom>
                        </pic:spPr>
                      </pic:pic>
                    </a:graphicData>
                  </a:graphic>
                </wp:inline>
              </w:drawing>
            </w:r>
          </w:p>
          <w:p w14:paraId="6F968BA1">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④切割、检验</w:t>
            </w:r>
          </w:p>
          <w:p w14:paraId="1D578D01">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牵引出的半成品管材，根据客户需求利用切割锯进行切割，检查完好后，运送至成品区，切割工序有噪声和废边角料产生。</w:t>
            </w:r>
          </w:p>
          <w:p w14:paraId="73A68CA3">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（2）聚氨酯保温管生产线</w:t>
            </w:r>
          </w:p>
          <w:p w14:paraId="3D1DE56A">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聚氨酯保温管生产工艺流程及主要产污环节见图2</w:t>
            </w:r>
            <w:r>
              <w:rPr>
                <w:rFonts w:hint="eastAsia" w:cs="Times New Roman"/>
                <w:color w:val="auto"/>
                <w:spacing w:val="-3"/>
                <w:sz w:val="24"/>
                <w:lang w:val="en-US" w:eastAsia="zh-CN"/>
              </w:rPr>
              <w:t>-4</w:t>
            </w:r>
            <w:r>
              <w:rPr>
                <w:rFonts w:hint="eastAsia" w:ascii="Times New Roman" w:hAnsi="Times New Roman" w:eastAsia="宋体" w:cs="Times New Roman"/>
                <w:color w:val="auto"/>
                <w:spacing w:val="-3"/>
                <w:sz w:val="24"/>
              </w:rPr>
              <w:t>。</w:t>
            </w:r>
          </w:p>
          <w:p w14:paraId="099722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pacing w:val="-3"/>
                <w:sz w:val="24"/>
              </w:rPr>
            </w:pPr>
            <w:r>
              <w:rPr>
                <w:b/>
                <w:bCs/>
                <w:color w:val="auto"/>
              </w:rPr>
              <w:object>
                <v:shape id="_x0000_i1027" o:spt="75" type="#_x0000_t75" style="height:371.35pt;width:402.05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r>
              <w:rPr>
                <w:rFonts w:hint="eastAsia"/>
                <w:b/>
                <w:bCs/>
                <w:color w:val="auto"/>
                <w:sz w:val="24"/>
                <w:szCs w:val="32"/>
              </w:rPr>
              <w:t>图2-4  聚氨酯保温管生产工艺及产污环节图</w:t>
            </w:r>
          </w:p>
          <w:p w14:paraId="5A8DAC4F">
            <w:pPr>
              <w:adjustRightInd w:val="0"/>
              <w:snapToGrid w:val="0"/>
              <w:spacing w:line="360" w:lineRule="auto"/>
              <w:ind w:firstLine="482" w:firstLineChars="200"/>
              <w:rPr>
                <w:b/>
                <w:bCs/>
                <w:color w:val="auto"/>
                <w:sz w:val="24"/>
              </w:rPr>
            </w:pPr>
            <w:r>
              <w:rPr>
                <w:rFonts w:hint="eastAsia"/>
                <w:b/>
                <w:bCs/>
                <w:color w:val="auto"/>
                <w:sz w:val="24"/>
              </w:rPr>
              <w:t>工艺说明：</w:t>
            </w:r>
          </w:p>
          <w:p w14:paraId="30FCD3D4">
            <w:pPr>
              <w:spacing w:line="360" w:lineRule="auto"/>
              <w:ind w:firstLine="480" w:firstLineChars="200"/>
              <w:rPr>
                <w:rFonts w:hint="default" w:eastAsia="宋体"/>
                <w:color w:val="auto"/>
                <w:sz w:val="24"/>
                <w:lang w:val="en-US" w:eastAsia="zh-CN"/>
              </w:rPr>
            </w:pPr>
            <w:r>
              <w:rPr>
                <w:rFonts w:hint="eastAsia"/>
                <w:color w:val="auto"/>
                <w:sz w:val="24"/>
              </w:rPr>
              <w:fldChar w:fldCharType="begin"/>
            </w:r>
            <w:r>
              <w:rPr>
                <w:rFonts w:hint="eastAsia"/>
                <w:color w:val="auto"/>
                <w:sz w:val="24"/>
              </w:rPr>
              <w:instrText xml:space="preserve"> = 1 \* GB3 \* MERGEFORMAT </w:instrText>
            </w:r>
            <w:r>
              <w:rPr>
                <w:rFonts w:hint="eastAsia"/>
                <w:color w:val="auto"/>
                <w:sz w:val="24"/>
              </w:rPr>
              <w:fldChar w:fldCharType="separate"/>
            </w:r>
            <w:r>
              <w:rPr>
                <w:color w:val="auto"/>
                <w:sz w:val="24"/>
              </w:rPr>
              <w:t>①</w:t>
            </w:r>
            <w:r>
              <w:rPr>
                <w:rFonts w:hint="eastAsia"/>
                <w:color w:val="auto"/>
                <w:sz w:val="24"/>
              </w:rPr>
              <w:fldChar w:fldCharType="end"/>
            </w:r>
            <w:r>
              <w:rPr>
                <w:rFonts w:hint="eastAsia"/>
                <w:color w:val="auto"/>
                <w:sz w:val="24"/>
                <w:lang w:val="en-US" w:eastAsia="zh-CN"/>
              </w:rPr>
              <w:t>钢管除锈</w:t>
            </w:r>
          </w:p>
          <w:p w14:paraId="0B3FA14D">
            <w:pPr>
              <w:pStyle w:val="10"/>
              <w:keepNext w:val="0"/>
              <w:keepLines w:val="0"/>
              <w:pageBreakBefore w:val="0"/>
              <w:widowControl w:val="0"/>
              <w:tabs>
                <w:tab w:val="left" w:pos="2098"/>
              </w:tabs>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sz w:val="24"/>
              </w:rPr>
            </w:pPr>
            <w:r>
              <w:rPr>
                <w:rFonts w:hint="eastAsia"/>
                <w:color w:val="auto"/>
                <w:sz w:val="24"/>
                <w:lang w:val="en-US" w:eastAsia="zh-CN"/>
              </w:rPr>
              <w:t>外购的钢管首先经</w:t>
            </w:r>
            <w:r>
              <w:rPr>
                <w:rFonts w:hint="eastAsia" w:ascii="Times New Roman" w:hAnsi="Times New Roman" w:eastAsia="宋体" w:cs="Times New Roman"/>
                <w:color w:val="auto"/>
                <w:sz w:val="24"/>
                <w:lang w:val="en-US" w:eastAsia="zh-CN"/>
              </w:rPr>
              <w:t>除锈机去除</w:t>
            </w:r>
            <w:r>
              <w:rPr>
                <w:rFonts w:hint="eastAsia" w:ascii="Times New Roman" w:hAnsi="Times New Roman" w:eastAsia="宋体" w:cs="Times New Roman"/>
                <w:color w:val="auto"/>
                <w:sz w:val="24"/>
              </w:rPr>
              <w:t>表面的锈蚀、氧化皮等，可以降低工件的内应力，提高工件的抗疲劳强度，增强钢管的防腐蚀性能。</w:t>
            </w:r>
          </w:p>
          <w:p w14:paraId="0EEDCC35">
            <w:pPr>
              <w:pStyle w:val="10"/>
              <w:keepNext w:val="0"/>
              <w:keepLines w:val="0"/>
              <w:pageBreakBefore w:val="0"/>
              <w:widowControl w:val="0"/>
              <w:tabs>
                <w:tab w:val="left" w:pos="2098"/>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color w:val="auto"/>
                <w:sz w:val="24"/>
                <w:lang w:val="en-US" w:eastAsia="zh-CN"/>
              </w:rPr>
              <w:t>除锈工作过程：</w:t>
            </w:r>
            <w:r>
              <w:rPr>
                <w:rFonts w:hint="default" w:ascii="Times New Roman" w:hAnsi="Times New Roman" w:eastAsia="宋体" w:cs="Times New Roman"/>
                <w:color w:val="auto"/>
                <w:sz w:val="24"/>
                <w:lang w:eastAsia="zh-CN"/>
              </w:rPr>
              <w:t>启动设备电源，设置好</w:t>
            </w:r>
            <w:r>
              <w:rPr>
                <w:rFonts w:hint="eastAsia" w:ascii="Times New Roman" w:hAnsi="Times New Roman" w:eastAsia="宋体" w:cs="Times New Roman"/>
                <w:color w:val="auto"/>
                <w:sz w:val="24"/>
                <w:lang w:val="en-US" w:eastAsia="zh-CN"/>
              </w:rPr>
              <w:t>各项</w:t>
            </w:r>
            <w:r>
              <w:rPr>
                <w:rFonts w:hint="default" w:ascii="Times New Roman" w:hAnsi="Times New Roman" w:eastAsia="宋体" w:cs="Times New Roman"/>
                <w:color w:val="auto"/>
                <w:sz w:val="24"/>
                <w:lang w:eastAsia="zh-CN"/>
              </w:rPr>
              <w:t>参数，按顺序启动各工位，操作人员按压自动操作按钮，工件将自动输送到</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内，</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会对工件进行</w:t>
            </w:r>
            <w:r>
              <w:rPr>
                <w:rFonts w:hint="eastAsia" w:ascii="Times New Roman" w:hAnsi="Times New Roman" w:eastAsia="宋体" w:cs="Times New Roman"/>
                <w:color w:val="auto"/>
                <w:sz w:val="24"/>
                <w:lang w:val="en-US" w:eastAsia="zh-CN"/>
              </w:rPr>
              <w:t>除锈</w:t>
            </w:r>
            <w:r>
              <w:rPr>
                <w:rFonts w:hint="default" w:ascii="Times New Roman" w:hAnsi="Times New Roman" w:eastAsia="宋体" w:cs="Times New Roman"/>
                <w:color w:val="auto"/>
                <w:sz w:val="24"/>
                <w:lang w:eastAsia="zh-CN"/>
              </w:rPr>
              <w:t>作业。</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抛出的丸料会掉落到</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底部，由螺旋推料器输送至提升机系统底部，提升机通过提升机构将丸料输送到顶部的分选器中，将进行合格丸料、碎钢丸、粉尘三者进行有效的分离，合格丸料被存留在料仓里面，等待再次利用，碎钢丸被分离出来经由后面的管道送至废料斗，而较轻的粉尘吸入除尘系统</w:t>
            </w:r>
            <w:r>
              <w:rPr>
                <w:rFonts w:hint="default" w:ascii="Times New Roman" w:hAnsi="Times New Roman" w:eastAsia="宋体" w:cs="Times New Roman"/>
                <w:color w:val="auto"/>
                <w:sz w:val="24"/>
                <w:lang w:val="en-US" w:eastAsia="zh-CN"/>
              </w:rPr>
              <w:t>经布袋除尘器处理后通过排气筒排放</w:t>
            </w:r>
            <w:r>
              <w:rPr>
                <w:rFonts w:hint="default" w:ascii="Times New Roman" w:hAnsi="Times New Roman" w:eastAsia="宋体" w:cs="Times New Roman"/>
                <w:color w:val="auto"/>
                <w:sz w:val="24"/>
                <w:lang w:eastAsia="zh-CN"/>
              </w:rPr>
              <w:t>。</w:t>
            </w:r>
          </w:p>
          <w:p w14:paraId="425B63AA">
            <w:pPr>
              <w:spacing w:line="360" w:lineRule="auto"/>
              <w:ind w:firstLine="480" w:firstLineChars="200"/>
              <w:rPr>
                <w:rFonts w:hint="default" w:eastAsia="宋体"/>
                <w:color w:val="auto"/>
                <w:sz w:val="24"/>
                <w:lang w:val="en-US" w:eastAsia="zh-CN"/>
              </w:rPr>
            </w:pPr>
            <w:r>
              <w:rPr>
                <w:rFonts w:hint="eastAsia" w:ascii="Times New Roman" w:hAnsi="Times New Roman" w:eastAsia="宋体" w:cs="Times New Roman"/>
                <w:color w:val="auto"/>
                <w:sz w:val="24"/>
                <w:lang w:val="en-US" w:eastAsia="zh-CN"/>
              </w:rPr>
              <w:t>此过程中会产生少量除锈粉尘和设备噪声</w:t>
            </w:r>
            <w:r>
              <w:rPr>
                <w:rFonts w:hint="eastAsia" w:cs="Times New Roman"/>
                <w:color w:val="auto"/>
                <w:sz w:val="24"/>
                <w:lang w:val="en-US" w:eastAsia="zh-CN"/>
              </w:rPr>
              <w:t>，布袋除尘器处理会产生除尘灰</w:t>
            </w:r>
            <w:r>
              <w:rPr>
                <w:rFonts w:hint="eastAsia" w:ascii="Times New Roman" w:hAnsi="Times New Roman" w:eastAsia="宋体" w:cs="Times New Roman"/>
                <w:color w:val="auto"/>
                <w:sz w:val="24"/>
                <w:lang w:val="en-US" w:eastAsia="zh-CN"/>
              </w:rPr>
              <w:t>。</w:t>
            </w:r>
          </w:p>
          <w:p w14:paraId="68040D95">
            <w:pPr>
              <w:spacing w:line="360" w:lineRule="auto"/>
              <w:ind w:firstLine="480" w:firstLineChars="200"/>
              <w:rPr>
                <w:rFonts w:hint="eastAsia"/>
                <w:color w:val="auto"/>
                <w:sz w:val="24"/>
              </w:rPr>
            </w:pPr>
            <w:r>
              <w:rPr>
                <w:rFonts w:hint="eastAsia"/>
                <w:color w:val="auto"/>
                <w:sz w:val="24"/>
                <w:lang w:val="en-US" w:eastAsia="zh-CN"/>
              </w:rPr>
              <w:t>②</w:t>
            </w:r>
            <w:r>
              <w:rPr>
                <w:rFonts w:hint="eastAsia"/>
                <w:color w:val="auto"/>
                <w:sz w:val="24"/>
              </w:rPr>
              <w:t>钢管支撑</w:t>
            </w:r>
          </w:p>
          <w:p w14:paraId="75889A06">
            <w:pPr>
              <w:spacing w:line="360" w:lineRule="auto"/>
              <w:ind w:firstLine="480" w:firstLineChars="200"/>
              <w:rPr>
                <w:rFonts w:hint="eastAsia"/>
                <w:color w:val="auto"/>
              </w:rPr>
            </w:pPr>
            <w:r>
              <w:rPr>
                <w:rFonts w:hint="eastAsia"/>
                <w:color w:val="auto"/>
                <w:sz w:val="24"/>
                <w:lang w:val="en-US" w:eastAsia="zh-CN"/>
              </w:rPr>
              <w:t>除锈后的</w:t>
            </w:r>
            <w:r>
              <w:rPr>
                <w:rFonts w:hint="eastAsia"/>
                <w:color w:val="auto"/>
                <w:sz w:val="24"/>
              </w:rPr>
              <w:t>钢管作为保温管生产的内管，聚乙烯</w:t>
            </w:r>
            <w:r>
              <w:rPr>
                <w:rFonts w:hint="eastAsia"/>
                <w:color w:val="auto"/>
                <w:sz w:val="24"/>
                <w:lang w:val="en-US" w:eastAsia="zh-CN"/>
              </w:rPr>
              <w:t>管</w:t>
            </w:r>
            <w:r>
              <w:rPr>
                <w:rFonts w:hint="eastAsia"/>
                <w:color w:val="auto"/>
                <w:sz w:val="24"/>
              </w:rPr>
              <w:t>为建设单位自主生产，选择与钢管尺寸相似的聚乙烯管作为保温管生产套管；按照计划生产聚氨酯材料的厚度选择不同厚度的木板，采用手持电锯锯为小块，同时用手持小型电钻钻孔后采用铁丝穿孔，利用铁丝在钢管周围围成一圈作为支撑，防止工作钢管和聚乙烯套管轴向偏心距过大</w:t>
            </w:r>
            <w:r>
              <w:rPr>
                <w:rFonts w:hint="eastAsia"/>
                <w:color w:val="auto"/>
              </w:rPr>
              <w:t>。</w:t>
            </w:r>
          </w:p>
          <w:p w14:paraId="1C184937">
            <w:pPr>
              <w:pStyle w:val="46"/>
              <w:adjustRightInd/>
              <w:spacing w:line="360" w:lineRule="auto"/>
              <w:ind w:firstLine="480" w:firstLineChars="200"/>
              <w:jc w:val="both"/>
              <w:rPr>
                <w:rFonts w:hint="eastAsia"/>
                <w:color w:val="auto"/>
              </w:rPr>
            </w:pPr>
            <w:r>
              <w:rPr>
                <w:rFonts w:hint="eastAsia"/>
                <w:color w:val="auto"/>
              </w:rPr>
              <w:t>③穿管</w:t>
            </w:r>
          </w:p>
          <w:p w14:paraId="002F0539">
            <w:pPr>
              <w:pStyle w:val="46"/>
              <w:adjustRightInd/>
              <w:spacing w:line="360" w:lineRule="auto"/>
              <w:ind w:firstLine="480" w:firstLineChars="200"/>
              <w:jc w:val="both"/>
              <w:rPr>
                <w:rFonts w:hint="eastAsia"/>
                <w:color w:val="auto"/>
              </w:rPr>
            </w:pPr>
            <w:r>
              <w:rPr>
                <w:rFonts w:hint="eastAsia"/>
                <w:color w:val="auto"/>
              </w:rPr>
              <w:t>聚乙烯外护管在存放过程中，特别是大管径管材会产生一定程度弯曲变形呈椭圆形，穿管之前需在穿管平台进行归圆调直，将安装好支撑的钢管和归圆调直的套管通过穿管机组装、固定。穿管过程有噪声产生。</w:t>
            </w:r>
          </w:p>
          <w:p w14:paraId="31F9F7BC">
            <w:pPr>
              <w:pStyle w:val="46"/>
              <w:adjustRightInd/>
              <w:spacing w:line="360" w:lineRule="auto"/>
              <w:ind w:firstLine="480" w:firstLineChars="200"/>
              <w:jc w:val="both"/>
              <w:rPr>
                <w:rFonts w:hint="default" w:eastAsia="宋体"/>
                <w:color w:val="auto"/>
                <w:lang w:val="en-US" w:eastAsia="zh-CN"/>
              </w:rPr>
            </w:pPr>
            <w:r>
              <w:rPr>
                <w:rFonts w:hint="eastAsia"/>
                <w:color w:val="auto"/>
                <w:lang w:val="en-US" w:eastAsia="zh-CN"/>
              </w:rPr>
              <w:t>④</w:t>
            </w:r>
            <w:r>
              <w:rPr>
                <w:rFonts w:hint="eastAsia"/>
                <w:color w:val="auto"/>
              </w:rPr>
              <w:t>发泡</w:t>
            </w:r>
            <w:r>
              <w:rPr>
                <w:rFonts w:hint="eastAsia"/>
                <w:color w:val="auto"/>
                <w:lang w:eastAsia="zh-CN"/>
              </w:rPr>
              <w:t>、</w:t>
            </w:r>
            <w:r>
              <w:rPr>
                <w:rFonts w:hint="eastAsia"/>
                <w:color w:val="auto"/>
                <w:lang w:val="en-US" w:eastAsia="zh-CN"/>
              </w:rPr>
              <w:t>管材清理</w:t>
            </w:r>
          </w:p>
          <w:p w14:paraId="49158B45">
            <w:pPr>
              <w:pStyle w:val="46"/>
              <w:adjustRightInd/>
              <w:spacing w:line="360" w:lineRule="auto"/>
              <w:ind w:firstLine="480" w:firstLineChars="200"/>
              <w:jc w:val="both"/>
              <w:rPr>
                <w:color w:val="auto"/>
              </w:rPr>
            </w:pPr>
            <w:r>
              <w:rPr>
                <w:rFonts w:hint="eastAsia"/>
                <w:color w:val="auto"/>
              </w:rPr>
              <w:t>启动发泡机组液压上堵头，确保堵头与外护管紧密结合，在外护管中心用钻机开注塑孔，将发泡机枪头放入开孔中，其中发泡机由电脑操作完成注入工作，通过枪头将黑白料均匀混合进入到钢管与外护管的环形空间内。发泡在常温下进行，发泡时间为</w:t>
            </w:r>
            <w:r>
              <w:rPr>
                <w:rFonts w:ascii="Times New Roman" w:cs="Times New Roman"/>
                <w:color w:val="auto"/>
              </w:rPr>
              <w:t>20~25</w:t>
            </w:r>
            <w:r>
              <w:rPr>
                <w:rFonts w:hint="eastAsia"/>
                <w:color w:val="auto"/>
              </w:rPr>
              <w:t>秒，发泡后</w:t>
            </w:r>
            <w:r>
              <w:rPr>
                <w:rFonts w:ascii="Times New Roman" w:cs="Times New Roman"/>
                <w:color w:val="auto"/>
              </w:rPr>
              <w:t>1分</w:t>
            </w:r>
            <w:r>
              <w:rPr>
                <w:rFonts w:hint="eastAsia"/>
                <w:color w:val="auto"/>
              </w:rPr>
              <w:t>钟左右成型，观察溢出发泡材料，待泡沫完全固化后，处理注塑孔表面，清洁管材两端多余泡沫。发泡阶段有</w:t>
            </w:r>
            <w:r>
              <w:rPr>
                <w:rFonts w:hint="eastAsia"/>
                <w:color w:val="auto"/>
                <w:lang w:val="en-US" w:eastAsia="zh-CN"/>
              </w:rPr>
              <w:t>有机废气</w:t>
            </w:r>
            <w:r>
              <w:rPr>
                <w:rFonts w:hint="eastAsia"/>
                <w:color w:val="auto"/>
              </w:rPr>
              <w:t>和噪声产生，管材清理过程有废</w:t>
            </w:r>
            <w:r>
              <w:rPr>
                <w:rFonts w:hint="eastAsia"/>
                <w:color w:val="auto"/>
                <w:lang w:val="en-US" w:eastAsia="zh-CN"/>
              </w:rPr>
              <w:t>发</w:t>
            </w:r>
            <w:r>
              <w:rPr>
                <w:rFonts w:hint="eastAsia"/>
                <w:color w:val="auto"/>
              </w:rPr>
              <w:t>泡材料产生。</w:t>
            </w:r>
          </w:p>
          <w:p w14:paraId="148750E4">
            <w:pPr>
              <w:pStyle w:val="46"/>
              <w:adjustRightInd/>
              <w:spacing w:line="360" w:lineRule="auto"/>
              <w:ind w:firstLine="480" w:firstLineChars="200"/>
              <w:jc w:val="both"/>
              <w:rPr>
                <w:color w:val="auto"/>
              </w:rPr>
            </w:pPr>
            <w:r>
              <w:rPr>
                <w:rFonts w:hint="eastAsia"/>
                <w:color w:val="auto"/>
              </w:rPr>
              <w:t>发泡原理：常温下，异氰酸酯</w:t>
            </w:r>
            <w:r>
              <w:rPr>
                <w:rFonts w:ascii="Times New Roman" w:cs="Times New Roman"/>
                <w:color w:val="auto"/>
              </w:rPr>
              <w:t>中的异氰酸根</w:t>
            </w:r>
            <w:r>
              <w:rPr>
                <w:rFonts w:hint="eastAsia" w:ascii="Times New Roman" w:cs="Times New Roman"/>
                <w:color w:val="auto"/>
              </w:rPr>
              <w:t>（</w:t>
            </w:r>
            <w:r>
              <w:rPr>
                <w:rFonts w:hint="eastAsia" w:ascii="Times New Roman" w:cs="Times New Roman"/>
                <w:color w:val="auto"/>
                <w:lang w:val="en-US" w:eastAsia="zh-CN"/>
              </w:rPr>
              <w:t>-</w:t>
            </w:r>
            <w:r>
              <w:rPr>
                <w:rFonts w:ascii="Times New Roman" w:cs="Times New Roman"/>
                <w:color w:val="auto"/>
              </w:rPr>
              <w:t>NCO</w:t>
            </w:r>
            <w:r>
              <w:rPr>
                <w:rFonts w:hint="eastAsia" w:ascii="Times New Roman" w:cs="Times New Roman"/>
                <w:color w:val="auto"/>
              </w:rPr>
              <w:t>）</w:t>
            </w:r>
            <w:r>
              <w:rPr>
                <w:rFonts w:ascii="Times New Roman" w:cs="Times New Roman"/>
                <w:color w:val="auto"/>
              </w:rPr>
              <w:t>与组合醚中的羟基</w:t>
            </w:r>
            <w:r>
              <w:rPr>
                <w:rFonts w:hint="eastAsia" w:ascii="Times New Roman" w:cs="Times New Roman"/>
                <w:color w:val="auto"/>
              </w:rPr>
              <w:t>（</w:t>
            </w:r>
            <w:r>
              <w:rPr>
                <w:rFonts w:hint="eastAsia" w:ascii="Times New Roman" w:cs="Times New Roman"/>
                <w:color w:val="auto"/>
                <w:lang w:val="en-US" w:eastAsia="zh-CN"/>
              </w:rPr>
              <w:t>-</w:t>
            </w:r>
            <w:r>
              <w:rPr>
                <w:rFonts w:ascii="Times New Roman" w:cs="Times New Roman"/>
                <w:color w:val="auto"/>
              </w:rPr>
              <w:t>OH</w:t>
            </w:r>
            <w:r>
              <w:rPr>
                <w:rFonts w:hint="eastAsia" w:ascii="Times New Roman" w:cs="Times New Roman"/>
                <w:color w:val="auto"/>
              </w:rPr>
              <w:t>）</w:t>
            </w:r>
            <w:r>
              <w:rPr>
                <w:rFonts w:ascii="Times New Roman" w:cs="Times New Roman"/>
                <w:color w:val="auto"/>
              </w:rPr>
              <w:t>在</w:t>
            </w:r>
            <w:r>
              <w:rPr>
                <w:rFonts w:hint="eastAsia"/>
                <w:color w:val="auto"/>
              </w:rPr>
              <w:t>催化剂的作用下发生化学反应，生产聚氨酯，同时释放大量热量，交联剂中的氨基（</w:t>
            </w:r>
            <w:r>
              <w:rPr>
                <w:rFonts w:hint="eastAsia" w:ascii="Times New Roman" w:cs="Times New Roman"/>
                <w:color w:val="auto"/>
                <w:lang w:val="en-US" w:eastAsia="zh-CN"/>
              </w:rPr>
              <w:t>-</w:t>
            </w:r>
            <w:r>
              <w:rPr>
                <w:rFonts w:hint="eastAsia" w:ascii="Times New Roman" w:cs="Times New Roman"/>
                <w:color w:val="auto"/>
              </w:rPr>
              <w:t>NH</w:t>
            </w:r>
            <w:r>
              <w:rPr>
                <w:rFonts w:hint="eastAsia" w:ascii="Times New Roman" w:cs="Times New Roman"/>
                <w:color w:val="auto"/>
                <w:vertAlign w:val="subscript"/>
              </w:rPr>
              <w:t>2</w:t>
            </w:r>
            <w:r>
              <w:rPr>
                <w:rFonts w:hint="eastAsia"/>
                <w:color w:val="auto"/>
              </w:rPr>
              <w:t>）与水、氰酸根反应形成大量的</w:t>
            </w:r>
            <w:r>
              <w:rPr>
                <w:rFonts w:ascii="Times New Roman" w:cs="Times New Roman"/>
                <w:color w:val="auto"/>
              </w:rPr>
              <w:t>CO</w:t>
            </w:r>
            <w:r>
              <w:rPr>
                <w:rFonts w:ascii="Times New Roman" w:cs="Times New Roman"/>
                <w:color w:val="auto"/>
                <w:vertAlign w:val="subscript"/>
              </w:rPr>
              <w:t>2</w:t>
            </w:r>
            <w:r>
              <w:rPr>
                <w:rFonts w:hint="eastAsia"/>
                <w:color w:val="auto"/>
              </w:rPr>
              <w:t>，使长链聚氨酯形成泡沫状，此时预混在组合醚中的发泡剂（环戊烷）不断汽化使聚氨酯膨胀填充钢管与外护管之间的环形空隙，发泡剂本身不参加多异氰酸和</w:t>
            </w:r>
            <w:r>
              <w:rPr>
                <w:rFonts w:hint="eastAsia"/>
                <w:color w:val="auto"/>
                <w:lang w:eastAsia="zh-CN"/>
              </w:rPr>
              <w:t>聚醚组合料</w:t>
            </w:r>
            <w:r>
              <w:rPr>
                <w:rFonts w:hint="eastAsia"/>
                <w:color w:val="auto"/>
              </w:rPr>
              <w:t>之间的化学反应。泡沫稳定剂使泡沫稳定并控制孔的大小及结构。</w:t>
            </w:r>
          </w:p>
          <w:p w14:paraId="35B0882F">
            <w:pPr>
              <w:pStyle w:val="46"/>
              <w:adjustRightInd/>
              <w:spacing w:line="360" w:lineRule="auto"/>
              <w:ind w:firstLine="480" w:firstLineChars="200"/>
              <w:jc w:val="both"/>
              <w:rPr>
                <w:color w:val="auto"/>
              </w:rPr>
            </w:pPr>
            <w:r>
              <w:rPr>
                <w:rFonts w:hint="eastAsia"/>
                <w:color w:val="auto"/>
              </w:rPr>
              <w:t>化学反应式：</w:t>
            </w:r>
          </w:p>
          <w:p w14:paraId="2A20D55B">
            <w:pPr>
              <w:pStyle w:val="46"/>
              <w:adjustRightInd/>
              <w:spacing w:line="360" w:lineRule="auto"/>
              <w:ind w:firstLine="480" w:firstLineChars="200"/>
              <w:jc w:val="both"/>
              <w:rPr>
                <w:rFonts w:hint="eastAsia" w:ascii="Times New Roman" w:cs="Times New Roman"/>
                <w:color w:val="auto"/>
              </w:rPr>
            </w:pPr>
            <w:r>
              <w:rPr>
                <w:rFonts w:ascii="Times New Roman" w:cs="Times New Roman"/>
                <w:color w:val="auto"/>
              </w:rPr>
              <w:t>nOCN</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NCO+nHO</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OH→（OC</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ascii="Times New Roman" w:cs="Times New Roman"/>
                <w:color w:val="auto"/>
              </w:rPr>
              <w:t>COO</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O</w:t>
            </w:r>
            <w:r>
              <w:rPr>
                <w:rFonts w:hint="eastAsia" w:ascii="Times New Roman" w:cs="Times New Roman"/>
                <w:color w:val="auto"/>
                <w:lang w:val="en-US" w:eastAsia="zh-CN"/>
              </w:rPr>
              <w:t>-</w:t>
            </w:r>
            <w:r>
              <w:rPr>
                <w:rFonts w:ascii="Times New Roman" w:cs="Times New Roman"/>
                <w:color w:val="auto"/>
              </w:rPr>
              <w:t>）n（聚氨酯）</w:t>
            </w:r>
          </w:p>
          <w:p w14:paraId="3F918C39">
            <w:pPr>
              <w:pStyle w:val="46"/>
              <w:adjustRightInd/>
              <w:spacing w:line="360" w:lineRule="auto"/>
              <w:ind w:firstLine="480" w:firstLineChars="200"/>
              <w:jc w:val="both"/>
              <w:rPr>
                <w:rFonts w:hint="eastAsia" w:ascii="Times New Roman" w:cs="Times New Roman"/>
                <w:color w:val="auto"/>
              </w:rPr>
            </w:pPr>
            <w:r>
              <w:rPr>
                <w:rFonts w:hint="eastAsia" w:ascii="Times New Roman" w:cs="Times New Roman"/>
                <w:color w:val="auto"/>
                <w:lang w:val="en-US" w:eastAsia="zh-CN"/>
              </w:rPr>
              <w:t>-</w:t>
            </w:r>
            <w:r>
              <w:rPr>
                <w:rFonts w:ascii="Times New Roman" w:cs="Times New Roman"/>
                <w:color w:val="auto"/>
              </w:rPr>
              <w:t>NCO</w:t>
            </w:r>
            <w:r>
              <w:rPr>
                <w:rFonts w:hint="eastAsia" w:ascii="Times New Roman" w:cs="Times New Roman"/>
                <w:color w:val="auto"/>
              </w:rPr>
              <w:t>+H</w:t>
            </w:r>
            <w:r>
              <w:rPr>
                <w:rFonts w:hint="eastAsia" w:ascii="Times New Roman" w:cs="Times New Roman"/>
                <w:color w:val="auto"/>
                <w:vertAlign w:val="subscript"/>
              </w:rPr>
              <w:t>2</w:t>
            </w:r>
            <w:r>
              <w:rPr>
                <w:rFonts w:hint="eastAsia" w:ascii="Times New Roman" w:cs="Times New Roman"/>
                <w:color w:val="auto"/>
              </w:rPr>
              <w:t>O+NH</w:t>
            </w:r>
            <w:r>
              <w:rPr>
                <w:rFonts w:hint="eastAsia" w:ascii="Times New Roman" w:cs="Times New Roman"/>
                <w:color w:val="auto"/>
                <w:vertAlign w:val="subscript"/>
              </w:rPr>
              <w:t>2</w:t>
            </w:r>
            <w:r>
              <w:rPr>
                <w:rFonts w:hint="eastAsia" w:ascii="Times New Roman" w:cs="Times New Roman"/>
                <w:color w:val="auto"/>
              </w:rPr>
              <w:t>—</w:t>
            </w:r>
            <w:r>
              <w:rPr>
                <w:rFonts w:ascii="Times New Roman" w:cs="Times New Roman"/>
                <w:color w:val="auto"/>
              </w:rPr>
              <w:t>→</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hint="eastAsia" w:ascii="Times New Roman" w:cs="Times New Roman"/>
                <w:color w:val="auto"/>
              </w:rPr>
              <w:t>+CO</w:t>
            </w:r>
            <w:r>
              <w:rPr>
                <w:rFonts w:hint="eastAsia" w:ascii="Times New Roman" w:cs="Times New Roman"/>
                <w:color w:val="auto"/>
                <w:vertAlign w:val="subscript"/>
              </w:rPr>
              <w:t>2</w:t>
            </w:r>
          </w:p>
          <w:p w14:paraId="62C543DB">
            <w:pPr>
              <w:pStyle w:val="46"/>
              <w:adjustRightInd/>
              <w:spacing w:line="360" w:lineRule="auto"/>
              <w:ind w:firstLine="480" w:firstLineChars="200"/>
              <w:jc w:val="both"/>
              <w:rPr>
                <w:rFonts w:hint="eastAsia"/>
                <w:color w:val="auto"/>
              </w:rPr>
            </w:pPr>
            <w:r>
              <w:rPr>
                <w:rFonts w:hint="eastAsia"/>
                <w:color w:val="auto"/>
                <w:lang w:val="en-US" w:eastAsia="zh-CN"/>
              </w:rPr>
              <w:t>⑤</w:t>
            </w:r>
            <w:r>
              <w:rPr>
                <w:rFonts w:hint="eastAsia"/>
                <w:color w:val="auto"/>
              </w:rPr>
              <w:t>检验</w:t>
            </w:r>
          </w:p>
          <w:p w14:paraId="4841BE00">
            <w:pPr>
              <w:pStyle w:val="46"/>
              <w:adjustRightInd/>
              <w:spacing w:line="360" w:lineRule="auto"/>
              <w:ind w:firstLine="480" w:firstLineChars="200"/>
              <w:jc w:val="both"/>
              <w:rPr>
                <w:color w:val="auto"/>
              </w:rPr>
            </w:pPr>
            <w:r>
              <w:rPr>
                <w:rFonts w:hint="eastAsia"/>
                <w:color w:val="auto"/>
              </w:rPr>
              <w:t>对聚氨酯保温管进行质检，合格后贴标、入库。聚氨酯保温管质量检测方法主要为密度检测、轴线偏心检测、外观检测和保温层厚度检测。</w:t>
            </w:r>
          </w:p>
          <w:p w14:paraId="1AF10BA5">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a 密度检测</w:t>
            </w:r>
          </w:p>
          <w:p w14:paraId="6FFADE39">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保温管制成后放置72小时后进行取样，取样点距保温层断面纵向距离500mm以上，在泡沫中心取3个以上的试样。每个试样的尺寸为：30×30×t（20≤t≤30，单位：mm）的立方体或取30mm长的圆柱体，直径为：d（20≤d≤30，单位：mm）。试样制成后应在23±2℃的干燥器中放置16小时后用千分尺测量试样的尺寸，精准到0.1mm，计算体积精确到0.01cm</w:t>
            </w:r>
            <w:r>
              <w:rPr>
                <w:rFonts w:ascii="Times New Roman" w:cs="Times New Roman"/>
                <w:color w:val="auto"/>
                <w:vertAlign w:val="superscript"/>
              </w:rPr>
              <w:t>3</w:t>
            </w:r>
            <w:r>
              <w:rPr>
                <w:rFonts w:ascii="Times New Roman" w:cs="Times New Roman"/>
                <w:color w:val="auto"/>
              </w:rPr>
              <w:t>；称重试样，精确到0.5%；计算（体积）密度，取平均值。</w:t>
            </w:r>
          </w:p>
          <w:p w14:paraId="5B7688E0">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b 轴线偏心距</w:t>
            </w:r>
          </w:p>
          <w:p w14:paraId="5F63DBBE">
            <w:pPr>
              <w:spacing w:line="360" w:lineRule="auto"/>
              <w:ind w:firstLine="480" w:firstLineChars="200"/>
              <w:rPr>
                <w:color w:val="auto"/>
                <w:sz w:val="24"/>
              </w:rPr>
            </w:pPr>
            <w:r>
              <w:rPr>
                <w:color w:val="auto"/>
                <w:sz w:val="24"/>
              </w:rPr>
              <w:t>保温管任意位置套管与钢管轴线间的距离符合《聚氨酯发泡预制直埋保温管标准》（GB/T29047-2012）要求。</w:t>
            </w:r>
          </w:p>
          <w:p w14:paraId="4E9C0784">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c 保温管钢管的破口、管端口不能被损伤，保温套管无损伤。</w:t>
            </w:r>
          </w:p>
          <w:p w14:paraId="5F7D291B">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d 保温管厚度至少要测量4点，偏差小于《聚氨酯发泡预制直埋保温管标准》（GB/T29047-2012）要求。</w:t>
            </w:r>
          </w:p>
          <w:p w14:paraId="06485734">
            <w:pPr>
              <w:pStyle w:val="46"/>
              <w:adjustRightInd/>
              <w:spacing w:line="360" w:lineRule="auto"/>
              <w:ind w:firstLine="480" w:firstLineChars="200"/>
              <w:jc w:val="both"/>
              <w:rPr>
                <w:rFonts w:hint="eastAsia" w:ascii="Times New Roman" w:cs="Times New Roman"/>
                <w:color w:val="auto"/>
                <w:lang w:val="en-US" w:eastAsia="zh-CN"/>
              </w:rPr>
            </w:pPr>
            <w:r>
              <w:rPr>
                <w:rFonts w:hint="eastAsia" w:ascii="Times New Roman" w:cs="Times New Roman"/>
                <w:color w:val="auto"/>
                <w:lang w:val="en-US" w:eastAsia="zh-CN"/>
              </w:rPr>
              <w:t>⑥入库</w:t>
            </w:r>
          </w:p>
          <w:p w14:paraId="46474C72">
            <w:pPr>
              <w:pStyle w:val="46"/>
              <w:adjustRightInd/>
              <w:spacing w:line="360" w:lineRule="auto"/>
              <w:ind w:firstLine="480" w:firstLineChars="200"/>
              <w:jc w:val="both"/>
              <w:rPr>
                <w:rFonts w:hint="default" w:ascii="Times New Roman" w:cs="Times New Roman"/>
                <w:color w:val="auto"/>
                <w:lang w:val="en-US" w:eastAsia="zh-CN"/>
              </w:rPr>
            </w:pPr>
            <w:r>
              <w:rPr>
                <w:rFonts w:hint="eastAsia" w:ascii="Times New Roman" w:cs="Times New Roman"/>
                <w:color w:val="auto"/>
                <w:lang w:val="en-US" w:eastAsia="zh-CN"/>
              </w:rPr>
              <w:t>检验合格后的产品进入产品存放区暂存、待售。</w:t>
            </w:r>
          </w:p>
          <w:p w14:paraId="417237C4">
            <w:pPr>
              <w:keepNext w:val="0"/>
              <w:keepLines w:val="0"/>
              <w:pageBreakBefore w:val="0"/>
              <w:widowControl w:val="0"/>
              <w:kinsoku/>
              <w:wordWrap/>
              <w:overflowPunct/>
              <w:topLinePunct w:val="0"/>
              <w:autoSpaceDE/>
              <w:autoSpaceDN/>
              <w:bidi w:val="0"/>
              <w:adjustRightInd/>
              <w:snapToGrid/>
              <w:spacing w:line="360" w:lineRule="auto"/>
              <w:ind w:firstLine="470" w:firstLineChars="200"/>
              <w:textAlignment w:val="auto"/>
              <w:rPr>
                <w:b/>
                <w:bCs/>
                <w:color w:val="auto"/>
                <w:spacing w:val="-3"/>
                <w:sz w:val="24"/>
              </w:rPr>
            </w:pPr>
            <w:r>
              <w:rPr>
                <w:rFonts w:hint="eastAsia"/>
                <w:b/>
                <w:bCs/>
                <w:color w:val="auto"/>
                <w:spacing w:val="-3"/>
                <w:sz w:val="24"/>
                <w:lang w:val="en-US" w:eastAsia="zh-CN"/>
              </w:rPr>
              <w:t>3</w:t>
            </w:r>
            <w:r>
              <w:rPr>
                <w:rFonts w:hint="eastAsia"/>
                <w:b/>
                <w:bCs/>
                <w:color w:val="auto"/>
                <w:spacing w:val="-3"/>
                <w:sz w:val="24"/>
              </w:rPr>
              <w:t>、项目产污情况分析</w:t>
            </w:r>
          </w:p>
          <w:p w14:paraId="5246BA43">
            <w:pPr>
              <w:spacing w:line="360" w:lineRule="auto"/>
              <w:ind w:firstLine="468" w:firstLineChars="200"/>
              <w:rPr>
                <w:color w:val="auto"/>
                <w:spacing w:val="-3"/>
                <w:sz w:val="24"/>
              </w:rPr>
            </w:pPr>
            <w:r>
              <w:rPr>
                <w:rFonts w:hint="eastAsia"/>
                <w:color w:val="auto"/>
                <w:spacing w:val="-3"/>
                <w:sz w:val="24"/>
              </w:rPr>
              <w:t>除了上述分析产污环节及污染物外，项目运营过程中还会产生生活垃圾和生活污水。</w:t>
            </w:r>
            <w:r>
              <w:rPr>
                <w:color w:val="auto"/>
                <w:spacing w:val="-3"/>
                <w:sz w:val="24"/>
              </w:rPr>
              <w:t>本项目运营期主要产污环节见下表：</w:t>
            </w:r>
          </w:p>
          <w:p w14:paraId="5DC01532">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2-</w:t>
            </w:r>
            <w:r>
              <w:rPr>
                <w:rFonts w:hint="eastAsia" w:hAnsi="Times New Roman" w:cs="Times New Roman"/>
                <w:b/>
                <w:bCs/>
                <w:color w:val="auto"/>
                <w:kern w:val="21"/>
                <w:szCs w:val="24"/>
                <w:lang w:val="en-US" w:eastAsia="zh-CN"/>
              </w:rPr>
              <w:t xml:space="preserve">7 </w:t>
            </w:r>
            <w:r>
              <w:rPr>
                <w:rFonts w:hint="eastAsia" w:hAnsi="Times New Roman" w:cs="Times New Roman"/>
                <w:b/>
                <w:bCs/>
                <w:color w:val="auto"/>
                <w:kern w:val="21"/>
                <w:szCs w:val="24"/>
              </w:rPr>
              <w:t xml:space="preserve"> </w:t>
            </w:r>
            <w:r>
              <w:rPr>
                <w:rFonts w:hAnsi="Times New Roman" w:cs="Times New Roman"/>
                <w:b/>
                <w:bCs/>
                <w:color w:val="auto"/>
                <w:kern w:val="21"/>
                <w:szCs w:val="24"/>
              </w:rPr>
              <w:t>运营期主要污染工序一览表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778"/>
              <w:gridCol w:w="2032"/>
              <w:gridCol w:w="3324"/>
            </w:tblGrid>
            <w:tr w14:paraId="399FD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5" w:type="pct"/>
                  <w:tcBorders>
                    <w:tl2br w:val="nil"/>
                    <w:tr2bl w:val="nil"/>
                  </w:tcBorders>
                  <w:noWrap w:val="0"/>
                  <w:vAlign w:val="center"/>
                </w:tcPr>
                <w:p w14:paraId="40BC9DCF">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eastAsia="宋体"/>
                      <w:b/>
                      <w:color w:val="auto"/>
                      <w:sz w:val="21"/>
                      <w:szCs w:val="21"/>
                      <w:lang w:eastAsia="zh-CN"/>
                    </w:rPr>
                  </w:pPr>
                  <w:r>
                    <w:rPr>
                      <w:rFonts w:hint="eastAsia"/>
                      <w:b/>
                      <w:color w:val="auto"/>
                      <w:sz w:val="21"/>
                      <w:szCs w:val="21"/>
                    </w:rPr>
                    <w:t>污染</w:t>
                  </w:r>
                  <w:r>
                    <w:rPr>
                      <w:rFonts w:hint="eastAsia"/>
                      <w:b/>
                      <w:color w:val="auto"/>
                      <w:sz w:val="21"/>
                      <w:szCs w:val="21"/>
                      <w:lang w:val="en-US" w:eastAsia="zh-CN"/>
                    </w:rPr>
                    <w:t>类别</w:t>
                  </w:r>
                </w:p>
              </w:tc>
              <w:tc>
                <w:tcPr>
                  <w:tcW w:w="1082" w:type="pct"/>
                  <w:tcBorders>
                    <w:tl2br w:val="nil"/>
                    <w:tr2bl w:val="nil"/>
                  </w:tcBorders>
                  <w:noWrap w:val="0"/>
                  <w:vAlign w:val="center"/>
                </w:tcPr>
                <w:p w14:paraId="0E6CB173">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rPr>
                    <w:t>污染源</w:t>
                  </w:r>
                  <w:r>
                    <w:rPr>
                      <w:rFonts w:hint="eastAsia" w:ascii="Times New Roman" w:hAnsi="Times New Roman" w:cs="Times New Roman"/>
                      <w:b/>
                      <w:color w:val="auto"/>
                      <w:sz w:val="21"/>
                      <w:szCs w:val="21"/>
                      <w:lang w:val="en-US" w:eastAsia="zh-CN"/>
                    </w:rPr>
                    <w:t>名称</w:t>
                  </w:r>
                </w:p>
              </w:tc>
              <w:tc>
                <w:tcPr>
                  <w:tcW w:w="1237" w:type="pct"/>
                  <w:tcBorders>
                    <w:tl2br w:val="nil"/>
                    <w:tr2bl w:val="nil"/>
                  </w:tcBorders>
                  <w:noWrap w:val="0"/>
                  <w:vAlign w:val="center"/>
                </w:tcPr>
                <w:p w14:paraId="0B1C514B">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rPr>
                    <w:t>产生</w:t>
                  </w:r>
                  <w:r>
                    <w:rPr>
                      <w:rFonts w:hint="eastAsia" w:ascii="Times New Roman" w:hAnsi="Times New Roman" w:cs="Times New Roman"/>
                      <w:b/>
                      <w:color w:val="auto"/>
                      <w:sz w:val="21"/>
                      <w:szCs w:val="21"/>
                      <w:lang w:val="en-US" w:eastAsia="zh-CN"/>
                    </w:rPr>
                    <w:t>环节</w:t>
                  </w:r>
                </w:p>
              </w:tc>
              <w:tc>
                <w:tcPr>
                  <w:tcW w:w="2024" w:type="pct"/>
                  <w:tcBorders>
                    <w:tl2br w:val="nil"/>
                    <w:tr2bl w:val="nil"/>
                  </w:tcBorders>
                  <w:noWrap w:val="0"/>
                  <w:vAlign w:val="center"/>
                </w:tcPr>
                <w:p w14:paraId="5B15A302">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rPr>
                    <w:t>主要</w:t>
                  </w:r>
                  <w:r>
                    <w:rPr>
                      <w:rFonts w:hint="eastAsia" w:ascii="Times New Roman" w:hAnsi="Times New Roman" w:cs="Times New Roman"/>
                      <w:b/>
                      <w:color w:val="auto"/>
                      <w:sz w:val="21"/>
                      <w:szCs w:val="21"/>
                      <w:lang w:val="en-US" w:eastAsia="zh-CN"/>
                    </w:rPr>
                    <w:t>污染因子</w:t>
                  </w:r>
                </w:p>
              </w:tc>
            </w:tr>
            <w:tr w14:paraId="5C412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5" w:type="pct"/>
                  <w:vMerge w:val="restart"/>
                  <w:tcBorders>
                    <w:tl2br w:val="nil"/>
                    <w:tr2bl w:val="nil"/>
                  </w:tcBorders>
                  <w:noWrap w:val="0"/>
                  <w:vAlign w:val="center"/>
                </w:tcPr>
                <w:p w14:paraId="31CD59F0">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废水</w:t>
                  </w:r>
                </w:p>
              </w:tc>
              <w:tc>
                <w:tcPr>
                  <w:tcW w:w="1082" w:type="pct"/>
                  <w:tcBorders>
                    <w:tl2br w:val="nil"/>
                    <w:tr2bl w:val="nil"/>
                  </w:tcBorders>
                  <w:noWrap w:val="0"/>
                  <w:vAlign w:val="center"/>
                </w:tcPr>
                <w:p w14:paraId="1AE3A7BA">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工作人员</w:t>
                  </w:r>
                </w:p>
              </w:tc>
              <w:tc>
                <w:tcPr>
                  <w:tcW w:w="1237" w:type="pct"/>
                  <w:tcBorders>
                    <w:tl2br w:val="nil"/>
                    <w:tr2bl w:val="nil"/>
                  </w:tcBorders>
                  <w:noWrap w:val="0"/>
                  <w:vAlign w:val="center"/>
                </w:tcPr>
                <w:p w14:paraId="0B31704E">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日常生活</w:t>
                  </w:r>
                </w:p>
              </w:tc>
              <w:tc>
                <w:tcPr>
                  <w:tcW w:w="2024" w:type="pct"/>
                  <w:tcBorders>
                    <w:tl2br w:val="nil"/>
                    <w:tr2bl w:val="nil"/>
                  </w:tcBorders>
                  <w:noWrap w:val="0"/>
                  <w:vAlign w:val="center"/>
                </w:tcPr>
                <w:p w14:paraId="457E68A3">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color w:val="auto"/>
                      <w:sz w:val="21"/>
                      <w:szCs w:val="21"/>
                    </w:rPr>
                    <w:t>SS</w:t>
                  </w:r>
                  <w:r>
                    <w:rPr>
                      <w:rFonts w:hint="eastAsia"/>
                      <w:color w:val="auto"/>
                      <w:sz w:val="21"/>
                      <w:szCs w:val="21"/>
                    </w:rPr>
                    <w:t>、</w:t>
                  </w:r>
                  <w:r>
                    <w:rPr>
                      <w:color w:val="auto"/>
                      <w:sz w:val="21"/>
                      <w:szCs w:val="21"/>
                    </w:rPr>
                    <w:t>COD</w:t>
                  </w:r>
                  <w:r>
                    <w:rPr>
                      <w:rFonts w:hint="eastAsia"/>
                      <w:color w:val="auto"/>
                      <w:sz w:val="21"/>
                      <w:szCs w:val="21"/>
                    </w:rPr>
                    <w:t>、</w:t>
                  </w:r>
                  <w:r>
                    <w:rPr>
                      <w:color w:val="auto"/>
                      <w:sz w:val="21"/>
                      <w:szCs w:val="21"/>
                    </w:rPr>
                    <w:t>BOD</w:t>
                  </w:r>
                  <w:r>
                    <w:rPr>
                      <w:color w:val="auto"/>
                      <w:sz w:val="21"/>
                      <w:szCs w:val="21"/>
                      <w:vertAlign w:val="subscript"/>
                    </w:rPr>
                    <w:t>5</w:t>
                  </w:r>
                  <w:r>
                    <w:rPr>
                      <w:rFonts w:hint="eastAsia"/>
                      <w:color w:val="auto"/>
                      <w:sz w:val="21"/>
                      <w:szCs w:val="21"/>
                    </w:rPr>
                    <w:t>、氨氮</w:t>
                  </w:r>
                  <w:r>
                    <w:rPr>
                      <w:rFonts w:hint="eastAsia"/>
                      <w:color w:val="auto"/>
                      <w:sz w:val="21"/>
                      <w:szCs w:val="21"/>
                      <w:lang w:eastAsia="zh-CN"/>
                    </w:rPr>
                    <w:t>、</w:t>
                  </w:r>
                  <w:r>
                    <w:rPr>
                      <w:rFonts w:hint="eastAsia"/>
                      <w:color w:val="auto"/>
                      <w:sz w:val="21"/>
                      <w:szCs w:val="21"/>
                      <w:lang w:val="en-US" w:eastAsia="zh-CN"/>
                    </w:rPr>
                    <w:t>TN、TP</w:t>
                  </w:r>
                </w:p>
              </w:tc>
            </w:tr>
            <w:tr w14:paraId="17A24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5" w:type="pct"/>
                  <w:vMerge w:val="continue"/>
                  <w:tcBorders>
                    <w:tl2br w:val="nil"/>
                    <w:tr2bl w:val="nil"/>
                  </w:tcBorders>
                  <w:noWrap w:val="0"/>
                  <w:vAlign w:val="center"/>
                </w:tcPr>
                <w:p w14:paraId="5A89CB3A">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p>
              </w:tc>
              <w:tc>
                <w:tcPr>
                  <w:tcW w:w="1082" w:type="pct"/>
                  <w:tcBorders>
                    <w:tl2br w:val="nil"/>
                    <w:tr2bl w:val="nil"/>
                  </w:tcBorders>
                  <w:noWrap w:val="0"/>
                  <w:vAlign w:val="center"/>
                </w:tcPr>
                <w:p w14:paraId="7CE47860">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冷却系统排水</w:t>
                  </w:r>
                </w:p>
              </w:tc>
              <w:tc>
                <w:tcPr>
                  <w:tcW w:w="1237" w:type="pct"/>
                  <w:tcBorders>
                    <w:tl2br w:val="nil"/>
                    <w:tr2bl w:val="nil"/>
                  </w:tcBorders>
                  <w:noWrap w:val="0"/>
                  <w:vAlign w:val="center"/>
                </w:tcPr>
                <w:p w14:paraId="08F0CB7F">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冷却过程</w:t>
                  </w:r>
                </w:p>
              </w:tc>
              <w:tc>
                <w:tcPr>
                  <w:tcW w:w="2024" w:type="pct"/>
                  <w:tcBorders>
                    <w:tl2br w:val="nil"/>
                    <w:tr2bl w:val="nil"/>
                  </w:tcBorders>
                  <w:noWrap w:val="0"/>
                  <w:vAlign w:val="center"/>
                </w:tcPr>
                <w:p w14:paraId="7BE2EDFB">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SS</w:t>
                  </w:r>
                </w:p>
              </w:tc>
            </w:tr>
            <w:tr w14:paraId="17E0E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restart"/>
                  <w:tcBorders>
                    <w:tl2br w:val="nil"/>
                    <w:tr2bl w:val="nil"/>
                  </w:tcBorders>
                  <w:noWrap w:val="0"/>
                  <w:vAlign w:val="center"/>
                </w:tcPr>
                <w:p w14:paraId="0E7FF824">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废气</w:t>
                  </w:r>
                </w:p>
              </w:tc>
              <w:tc>
                <w:tcPr>
                  <w:tcW w:w="1082" w:type="pct"/>
                  <w:tcBorders>
                    <w:tl2br w:val="nil"/>
                    <w:tr2bl w:val="nil"/>
                  </w:tcBorders>
                  <w:noWrap w:val="0"/>
                  <w:vAlign w:val="center"/>
                </w:tcPr>
                <w:p w14:paraId="2A4E304F">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搅拌机</w:t>
                  </w:r>
                </w:p>
              </w:tc>
              <w:tc>
                <w:tcPr>
                  <w:tcW w:w="1237" w:type="pct"/>
                  <w:tcBorders>
                    <w:tl2br w:val="nil"/>
                    <w:tr2bl w:val="nil"/>
                  </w:tcBorders>
                  <w:noWrap w:val="0"/>
                  <w:vAlign w:val="center"/>
                </w:tcPr>
                <w:p w14:paraId="110B8A10">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rPr>
                    <w:t>原辅料投加</w:t>
                  </w:r>
                </w:p>
              </w:tc>
              <w:tc>
                <w:tcPr>
                  <w:tcW w:w="2024" w:type="pct"/>
                  <w:tcBorders>
                    <w:tl2br w:val="nil"/>
                    <w:tr2bl w:val="nil"/>
                  </w:tcBorders>
                  <w:noWrap w:val="0"/>
                  <w:vAlign w:val="center"/>
                </w:tcPr>
                <w:p w14:paraId="62016EF6">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r>
                    <w:rPr>
                      <w:rFonts w:hint="eastAsia"/>
                      <w:color w:val="auto"/>
                      <w:sz w:val="21"/>
                      <w:szCs w:val="21"/>
                    </w:rPr>
                    <w:t>颗粒物</w:t>
                  </w:r>
                </w:p>
              </w:tc>
            </w:tr>
            <w:tr w14:paraId="5D078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continue"/>
                  <w:tcBorders>
                    <w:tl2br w:val="nil"/>
                    <w:tr2bl w:val="nil"/>
                  </w:tcBorders>
                  <w:noWrap w:val="0"/>
                  <w:vAlign w:val="center"/>
                </w:tcPr>
                <w:p w14:paraId="0A8D3D42">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082" w:type="pct"/>
                  <w:tcBorders>
                    <w:tl2br w:val="nil"/>
                    <w:tr2bl w:val="nil"/>
                  </w:tcBorders>
                  <w:noWrap w:val="0"/>
                  <w:vAlign w:val="center"/>
                </w:tcPr>
                <w:p w14:paraId="2831B4EF">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除锈机</w:t>
                  </w:r>
                </w:p>
              </w:tc>
              <w:tc>
                <w:tcPr>
                  <w:tcW w:w="1237" w:type="pct"/>
                  <w:tcBorders>
                    <w:tl2br w:val="nil"/>
                    <w:tr2bl w:val="nil"/>
                  </w:tcBorders>
                  <w:noWrap w:val="0"/>
                  <w:vAlign w:val="center"/>
                </w:tcPr>
                <w:p w14:paraId="65E65AD4">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lang w:val="en-US" w:eastAsia="zh-CN"/>
                    </w:rPr>
                    <w:t>钢管除锈</w:t>
                  </w:r>
                </w:p>
              </w:tc>
              <w:tc>
                <w:tcPr>
                  <w:tcW w:w="2024" w:type="pct"/>
                  <w:tcBorders>
                    <w:tl2br w:val="nil"/>
                    <w:tr2bl w:val="nil"/>
                  </w:tcBorders>
                  <w:noWrap w:val="0"/>
                  <w:vAlign w:val="center"/>
                </w:tcPr>
                <w:p w14:paraId="5AE5F211">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r>
                    <w:rPr>
                      <w:rFonts w:hint="eastAsia"/>
                      <w:color w:val="auto"/>
                      <w:sz w:val="21"/>
                      <w:szCs w:val="21"/>
                    </w:rPr>
                    <w:t>颗粒物</w:t>
                  </w:r>
                </w:p>
              </w:tc>
            </w:tr>
            <w:tr w14:paraId="4F3C8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continue"/>
                  <w:tcBorders>
                    <w:tl2br w:val="nil"/>
                    <w:tr2bl w:val="nil"/>
                  </w:tcBorders>
                  <w:noWrap w:val="0"/>
                  <w:vAlign w:val="center"/>
                </w:tcPr>
                <w:p w14:paraId="4CB3737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tcBorders>
                    <w:tl2br w:val="nil"/>
                    <w:tr2bl w:val="nil"/>
                  </w:tcBorders>
                  <w:noWrap w:val="0"/>
                  <w:vAlign w:val="center"/>
                </w:tcPr>
                <w:p w14:paraId="3DF803BF">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挤出机</w:t>
                  </w:r>
                </w:p>
              </w:tc>
              <w:tc>
                <w:tcPr>
                  <w:tcW w:w="1237" w:type="pct"/>
                  <w:tcBorders>
                    <w:tl2br w:val="nil"/>
                    <w:tr2bl w:val="nil"/>
                  </w:tcBorders>
                  <w:noWrap w:val="0"/>
                  <w:vAlign w:val="center"/>
                </w:tcPr>
                <w:p w14:paraId="369880AF">
                  <w:pPr>
                    <w:pStyle w:val="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color w:val="auto"/>
                      <w:sz w:val="21"/>
                      <w:szCs w:val="21"/>
                    </w:rPr>
                  </w:pPr>
                  <w:r>
                    <w:rPr>
                      <w:rFonts w:hint="eastAsia"/>
                      <w:color w:val="auto"/>
                      <w:sz w:val="21"/>
                      <w:szCs w:val="21"/>
                    </w:rPr>
                    <w:t>树脂颗粒熔融</w:t>
                  </w:r>
                  <w:r>
                    <w:rPr>
                      <w:rFonts w:hint="eastAsia"/>
                      <w:color w:val="auto"/>
                      <w:sz w:val="21"/>
                      <w:szCs w:val="21"/>
                      <w:lang w:eastAsia="zh-CN"/>
                    </w:rPr>
                    <w:t>、</w:t>
                  </w:r>
                  <w:r>
                    <w:rPr>
                      <w:rFonts w:hint="eastAsia"/>
                      <w:color w:val="auto"/>
                      <w:sz w:val="21"/>
                      <w:szCs w:val="21"/>
                      <w:lang w:val="en-US" w:eastAsia="zh-CN"/>
                    </w:rPr>
                    <w:t>挤出</w:t>
                  </w:r>
                </w:p>
              </w:tc>
              <w:tc>
                <w:tcPr>
                  <w:tcW w:w="2024" w:type="pct"/>
                  <w:tcBorders>
                    <w:tl2br w:val="nil"/>
                    <w:tr2bl w:val="nil"/>
                  </w:tcBorders>
                  <w:noWrap w:val="0"/>
                  <w:vAlign w:val="center"/>
                </w:tcPr>
                <w:p w14:paraId="77F636C6">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r>
                    <w:rPr>
                      <w:rFonts w:hint="eastAsia"/>
                      <w:color w:val="auto"/>
                      <w:sz w:val="21"/>
                      <w:szCs w:val="21"/>
                    </w:rPr>
                    <w:t>非甲烷总烃</w:t>
                  </w:r>
                </w:p>
              </w:tc>
            </w:tr>
            <w:tr w14:paraId="5A067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continue"/>
                  <w:tcBorders>
                    <w:tl2br w:val="nil"/>
                    <w:tr2bl w:val="nil"/>
                  </w:tcBorders>
                  <w:noWrap w:val="0"/>
                  <w:vAlign w:val="center"/>
                </w:tcPr>
                <w:p w14:paraId="24A57E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tcBorders>
                    <w:tl2br w:val="nil"/>
                    <w:tr2bl w:val="nil"/>
                  </w:tcBorders>
                  <w:noWrap w:val="0"/>
                  <w:vAlign w:val="center"/>
                </w:tcPr>
                <w:p w14:paraId="637C0BED">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发泡机组</w:t>
                  </w:r>
                </w:p>
              </w:tc>
              <w:tc>
                <w:tcPr>
                  <w:tcW w:w="1237" w:type="pct"/>
                  <w:tcBorders>
                    <w:tl2br w:val="nil"/>
                    <w:tr2bl w:val="nil"/>
                  </w:tcBorders>
                  <w:noWrap w:val="0"/>
                  <w:vAlign w:val="center"/>
                </w:tcPr>
                <w:p w14:paraId="62A7353E">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黑白料混合发泡</w:t>
                  </w:r>
                </w:p>
              </w:tc>
              <w:tc>
                <w:tcPr>
                  <w:tcW w:w="2024" w:type="pct"/>
                  <w:tcBorders>
                    <w:tl2br w:val="nil"/>
                    <w:tr2bl w:val="nil"/>
                  </w:tcBorders>
                  <w:noWrap w:val="0"/>
                  <w:vAlign w:val="center"/>
                </w:tcPr>
                <w:p w14:paraId="6C309F75">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非甲烷总烃</w:t>
                  </w:r>
                </w:p>
              </w:tc>
            </w:tr>
            <w:tr w14:paraId="78217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55" w:type="pct"/>
                  <w:tcBorders>
                    <w:tl2br w:val="nil"/>
                    <w:tr2bl w:val="nil"/>
                  </w:tcBorders>
                  <w:noWrap w:val="0"/>
                  <w:vAlign w:val="center"/>
                </w:tcPr>
                <w:p w14:paraId="737F18EF">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噪声</w:t>
                  </w:r>
                </w:p>
              </w:tc>
              <w:tc>
                <w:tcPr>
                  <w:tcW w:w="1082" w:type="pct"/>
                  <w:tcBorders>
                    <w:tl2br w:val="nil"/>
                    <w:tr2bl w:val="nil"/>
                  </w:tcBorders>
                  <w:noWrap w:val="0"/>
                  <w:vAlign w:val="center"/>
                </w:tcPr>
                <w:p w14:paraId="571BC67A">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lang w:val="en-US" w:eastAsia="zh-CN"/>
                    </w:rPr>
                    <w:t>生产设备及环保设备</w:t>
                  </w:r>
                </w:p>
              </w:tc>
              <w:tc>
                <w:tcPr>
                  <w:tcW w:w="1237" w:type="pct"/>
                  <w:tcBorders>
                    <w:tl2br w:val="nil"/>
                    <w:tr2bl w:val="nil"/>
                  </w:tcBorders>
                  <w:noWrap w:val="0"/>
                  <w:vAlign w:val="center"/>
                </w:tcPr>
                <w:p w14:paraId="64A26E64">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设备运行</w:t>
                  </w:r>
                </w:p>
              </w:tc>
              <w:tc>
                <w:tcPr>
                  <w:tcW w:w="2024" w:type="pct"/>
                  <w:tcBorders>
                    <w:tl2br w:val="nil"/>
                    <w:tr2bl w:val="nil"/>
                  </w:tcBorders>
                  <w:noWrap w:val="0"/>
                  <w:vAlign w:val="center"/>
                </w:tcPr>
                <w:p w14:paraId="4352AFD7">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设备噪声</w:t>
                  </w:r>
                </w:p>
              </w:tc>
            </w:tr>
            <w:tr w14:paraId="64FFE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restart"/>
                  <w:tcBorders>
                    <w:tl2br w:val="nil"/>
                    <w:tr2bl w:val="nil"/>
                  </w:tcBorders>
                  <w:noWrap w:val="0"/>
                  <w:vAlign w:val="center"/>
                </w:tcPr>
                <w:p w14:paraId="1D97E2BC">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固废</w:t>
                  </w:r>
                </w:p>
              </w:tc>
              <w:tc>
                <w:tcPr>
                  <w:tcW w:w="1082" w:type="pct"/>
                  <w:tcBorders>
                    <w:tl2br w:val="nil"/>
                    <w:tr2bl w:val="nil"/>
                  </w:tcBorders>
                  <w:noWrap w:val="0"/>
                  <w:vAlign w:val="center"/>
                </w:tcPr>
                <w:p w14:paraId="41D01731">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管理及生产人员</w:t>
                  </w:r>
                </w:p>
              </w:tc>
              <w:tc>
                <w:tcPr>
                  <w:tcW w:w="1237" w:type="pct"/>
                  <w:tcBorders>
                    <w:tl2br w:val="nil"/>
                    <w:tr2bl w:val="nil"/>
                  </w:tcBorders>
                  <w:noWrap w:val="0"/>
                  <w:vAlign w:val="center"/>
                </w:tcPr>
                <w:p w14:paraId="1EEFB64B">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日常生活</w:t>
                  </w:r>
                </w:p>
              </w:tc>
              <w:tc>
                <w:tcPr>
                  <w:tcW w:w="2024" w:type="pct"/>
                  <w:tcBorders>
                    <w:tl2br w:val="nil"/>
                    <w:tr2bl w:val="nil"/>
                  </w:tcBorders>
                  <w:noWrap w:val="0"/>
                  <w:vAlign w:val="center"/>
                </w:tcPr>
                <w:p w14:paraId="104C32CE">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生活垃圾</w:t>
                  </w:r>
                </w:p>
              </w:tc>
            </w:tr>
            <w:tr w14:paraId="55A5E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299E1D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vMerge w:val="restart"/>
                  <w:tcBorders>
                    <w:tl2br w:val="nil"/>
                    <w:tr2bl w:val="nil"/>
                  </w:tcBorders>
                  <w:noWrap w:val="0"/>
                  <w:vAlign w:val="center"/>
                </w:tcPr>
                <w:p w14:paraId="4FDAA8B9">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生产厂房</w:t>
                  </w:r>
                </w:p>
              </w:tc>
              <w:tc>
                <w:tcPr>
                  <w:tcW w:w="1237" w:type="pct"/>
                  <w:tcBorders>
                    <w:tl2br w:val="nil"/>
                    <w:tr2bl w:val="nil"/>
                  </w:tcBorders>
                  <w:noWrap w:val="0"/>
                  <w:vAlign w:val="center"/>
                </w:tcPr>
                <w:p w14:paraId="5221AC01">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原辅料拆包</w:t>
                  </w:r>
                </w:p>
              </w:tc>
              <w:tc>
                <w:tcPr>
                  <w:tcW w:w="2024" w:type="pct"/>
                  <w:tcBorders>
                    <w:tl2br w:val="nil"/>
                    <w:tr2bl w:val="nil"/>
                  </w:tcBorders>
                  <w:noWrap w:val="0"/>
                  <w:vAlign w:val="center"/>
                </w:tcPr>
                <w:p w14:paraId="2CE6B96B">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废包装桶/袋</w:t>
                  </w:r>
                </w:p>
              </w:tc>
            </w:tr>
            <w:tr w14:paraId="06589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5C69E9D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vMerge w:val="continue"/>
                  <w:tcBorders>
                    <w:tl2br w:val="nil"/>
                    <w:tr2bl w:val="nil"/>
                  </w:tcBorders>
                  <w:noWrap w:val="0"/>
                  <w:vAlign w:val="center"/>
                </w:tcPr>
                <w:p w14:paraId="21AB9EC4">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37" w:type="pct"/>
                  <w:tcBorders>
                    <w:tl2br w:val="nil"/>
                    <w:tr2bl w:val="nil"/>
                  </w:tcBorders>
                  <w:noWrap w:val="0"/>
                  <w:vAlign w:val="center"/>
                </w:tcPr>
                <w:p w14:paraId="22874BDB">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切割工序</w:t>
                  </w:r>
                </w:p>
              </w:tc>
              <w:tc>
                <w:tcPr>
                  <w:tcW w:w="2024" w:type="pct"/>
                  <w:tcBorders>
                    <w:tl2br w:val="nil"/>
                    <w:tr2bl w:val="nil"/>
                  </w:tcBorders>
                  <w:noWrap w:val="0"/>
                  <w:vAlign w:val="center"/>
                </w:tcPr>
                <w:p w14:paraId="150FCC57">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废边角料</w:t>
                  </w:r>
                </w:p>
              </w:tc>
            </w:tr>
            <w:tr w14:paraId="72B0E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5F8641F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vMerge w:val="continue"/>
                  <w:tcBorders>
                    <w:tl2br w:val="nil"/>
                    <w:tr2bl w:val="nil"/>
                  </w:tcBorders>
                  <w:noWrap w:val="0"/>
                  <w:vAlign w:val="center"/>
                </w:tcPr>
                <w:p w14:paraId="1131FE12">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37" w:type="pct"/>
                  <w:tcBorders>
                    <w:tl2br w:val="nil"/>
                    <w:tr2bl w:val="nil"/>
                  </w:tcBorders>
                  <w:noWrap w:val="0"/>
                  <w:vAlign w:val="center"/>
                </w:tcPr>
                <w:p w14:paraId="1C5A90A4">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管材清理检验</w:t>
                  </w:r>
                </w:p>
              </w:tc>
              <w:tc>
                <w:tcPr>
                  <w:tcW w:w="2024" w:type="pct"/>
                  <w:tcBorders>
                    <w:tl2br w:val="nil"/>
                    <w:tr2bl w:val="nil"/>
                  </w:tcBorders>
                  <w:noWrap w:val="0"/>
                  <w:vAlign w:val="center"/>
                </w:tcPr>
                <w:p w14:paraId="6051C81D">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废泡沫材料</w:t>
                  </w:r>
                </w:p>
              </w:tc>
            </w:tr>
            <w:tr w14:paraId="41292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6EAE692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vMerge w:val="continue"/>
                  <w:tcBorders>
                    <w:tl2br w:val="nil"/>
                    <w:tr2bl w:val="nil"/>
                  </w:tcBorders>
                  <w:noWrap w:val="0"/>
                  <w:vAlign w:val="center"/>
                </w:tcPr>
                <w:p w14:paraId="630424B3">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37" w:type="pct"/>
                  <w:tcBorders>
                    <w:tl2br w:val="nil"/>
                    <w:tr2bl w:val="nil"/>
                  </w:tcBorders>
                  <w:noWrap w:val="0"/>
                  <w:vAlign w:val="center"/>
                </w:tcPr>
                <w:p w14:paraId="3409FE19">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除尘器收集</w:t>
                  </w:r>
                </w:p>
              </w:tc>
              <w:tc>
                <w:tcPr>
                  <w:tcW w:w="2024" w:type="pct"/>
                  <w:tcBorders>
                    <w:tl2br w:val="nil"/>
                    <w:tr2bl w:val="nil"/>
                  </w:tcBorders>
                  <w:noWrap w:val="0"/>
                  <w:vAlign w:val="center"/>
                </w:tcPr>
                <w:p w14:paraId="2E8356A4">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除尘灰</w:t>
                  </w:r>
                </w:p>
              </w:tc>
            </w:tr>
            <w:tr w14:paraId="40C2B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5" w:type="pct"/>
                  <w:vMerge w:val="continue"/>
                  <w:tcBorders>
                    <w:tl2br w:val="nil"/>
                    <w:tr2bl w:val="nil"/>
                  </w:tcBorders>
                  <w:noWrap w:val="0"/>
                  <w:vAlign w:val="center"/>
                </w:tcPr>
                <w:p w14:paraId="5877A8A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vMerge w:val="continue"/>
                  <w:tcBorders>
                    <w:tl2br w:val="nil"/>
                    <w:tr2bl w:val="nil"/>
                  </w:tcBorders>
                  <w:noWrap w:val="0"/>
                  <w:vAlign w:val="center"/>
                </w:tcPr>
                <w:p w14:paraId="106583CF">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37" w:type="pct"/>
                  <w:tcBorders>
                    <w:tl2br w:val="nil"/>
                    <w:tr2bl w:val="nil"/>
                  </w:tcBorders>
                  <w:noWrap w:val="0"/>
                  <w:vAlign w:val="center"/>
                </w:tcPr>
                <w:p w14:paraId="277D8CEE">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设备维修</w:t>
                  </w:r>
                </w:p>
              </w:tc>
              <w:tc>
                <w:tcPr>
                  <w:tcW w:w="2024" w:type="pct"/>
                  <w:tcBorders>
                    <w:tl2br w:val="nil"/>
                    <w:tr2bl w:val="nil"/>
                  </w:tcBorders>
                  <w:noWrap w:val="0"/>
                  <w:vAlign w:val="center"/>
                </w:tcPr>
                <w:p w14:paraId="445FB6EA">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废机油</w:t>
                  </w:r>
                  <w:r>
                    <w:rPr>
                      <w:rFonts w:hint="eastAsia"/>
                      <w:color w:val="auto"/>
                      <w:sz w:val="21"/>
                      <w:szCs w:val="21"/>
                      <w:lang w:eastAsia="zh-CN"/>
                    </w:rPr>
                    <w:t>，</w:t>
                  </w:r>
                  <w:r>
                    <w:rPr>
                      <w:rFonts w:hint="eastAsia"/>
                      <w:color w:val="auto"/>
                      <w:sz w:val="21"/>
                      <w:szCs w:val="21"/>
                      <w:lang w:val="en-US" w:eastAsia="zh-CN"/>
                    </w:rPr>
                    <w:t>废油桶，</w:t>
                  </w:r>
                  <w:r>
                    <w:rPr>
                      <w:rFonts w:hint="eastAsia"/>
                      <w:color w:val="auto"/>
                      <w:sz w:val="21"/>
                      <w:szCs w:val="21"/>
                    </w:rPr>
                    <w:t>废含油抹布、手套</w:t>
                  </w:r>
                </w:p>
              </w:tc>
            </w:tr>
            <w:tr w14:paraId="3B358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2C6C1C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1082" w:type="pct"/>
                  <w:vMerge w:val="continue"/>
                  <w:tcBorders>
                    <w:tl2br w:val="nil"/>
                    <w:tr2bl w:val="nil"/>
                  </w:tcBorders>
                  <w:noWrap w:val="0"/>
                  <w:vAlign w:val="center"/>
                </w:tcPr>
                <w:p w14:paraId="1B057B9E">
                  <w:pPr>
                    <w:pStyle w:val="9"/>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37" w:type="pct"/>
                  <w:tcBorders>
                    <w:tl2br w:val="nil"/>
                    <w:tr2bl w:val="nil"/>
                  </w:tcBorders>
                  <w:noWrap w:val="0"/>
                  <w:vAlign w:val="center"/>
                </w:tcPr>
                <w:p w14:paraId="1AC2FF79">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废气处理过程</w:t>
                  </w:r>
                </w:p>
              </w:tc>
              <w:tc>
                <w:tcPr>
                  <w:tcW w:w="2024" w:type="pct"/>
                  <w:tcBorders>
                    <w:tl2br w:val="nil"/>
                    <w:tr2bl w:val="nil"/>
                  </w:tcBorders>
                  <w:noWrap w:val="0"/>
                  <w:vAlign w:val="center"/>
                </w:tcPr>
                <w:p w14:paraId="7AE822E8">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废活性炭</w:t>
                  </w:r>
                </w:p>
              </w:tc>
            </w:tr>
          </w:tbl>
          <w:p w14:paraId="7990ED30">
            <w:pPr>
              <w:pStyle w:val="65"/>
              <w:spacing w:before="120" w:beforeLines="50" w:line="240" w:lineRule="auto"/>
              <w:ind w:firstLine="0" w:firstLineChars="0"/>
              <w:rPr>
                <w:rFonts w:hint="eastAsia" w:hAnsi="Times New Roman" w:cs="Times New Roman"/>
                <w:b/>
                <w:bCs/>
                <w:color w:val="auto"/>
                <w:szCs w:val="24"/>
              </w:rPr>
            </w:pPr>
          </w:p>
        </w:tc>
      </w:tr>
      <w:tr w14:paraId="0302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dxa"/>
            <w:noWrap w:val="0"/>
            <w:vAlign w:val="center"/>
          </w:tcPr>
          <w:p w14:paraId="130AB5C6">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346" w:type="dxa"/>
            <w:noWrap w:val="0"/>
            <w:vAlign w:val="center"/>
          </w:tcPr>
          <w:p w14:paraId="71106A13">
            <w:pPr>
              <w:pStyle w:val="69"/>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hint="default" w:cs="Times New Roman"/>
                <w:b/>
                <w:bCs/>
                <w:color w:val="auto"/>
                <w:lang w:val="en-US" w:eastAsia="zh-CN"/>
              </w:rPr>
            </w:pPr>
            <w:r>
              <w:rPr>
                <w:rFonts w:hint="eastAsia" w:cs="Times New Roman"/>
                <w:b/>
                <w:bCs/>
                <w:color w:val="auto"/>
                <w:lang w:val="en-US" w:eastAsia="zh-CN"/>
              </w:rPr>
              <w:t>1、原有项目概况</w:t>
            </w:r>
          </w:p>
          <w:p w14:paraId="2FDAA4AD">
            <w:pPr>
              <w:pStyle w:val="69"/>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lang w:eastAsia="zh-CN"/>
              </w:rPr>
            </w:pPr>
            <w:r>
              <w:rPr>
                <w:rFonts w:hint="eastAsia" w:cs="Times New Roman"/>
                <w:color w:val="auto"/>
                <w:lang w:eastAsia="zh-CN"/>
              </w:rPr>
              <w:t>本项目现址位于西咸新区泾河新城永乐</w:t>
            </w:r>
            <w:r>
              <w:rPr>
                <w:rFonts w:hint="eastAsia" w:cs="Times New Roman"/>
                <w:color w:val="auto"/>
                <w:lang w:val="en-US" w:eastAsia="zh-CN"/>
              </w:rPr>
              <w:t>工业园区南北大道2号</w:t>
            </w:r>
            <w:r>
              <w:rPr>
                <w:rFonts w:hint="eastAsia" w:cs="Times New Roman"/>
                <w:color w:val="auto"/>
                <w:lang w:eastAsia="zh-CN"/>
              </w:rPr>
              <w:t>，租赁</w:t>
            </w:r>
            <w:r>
              <w:rPr>
                <w:rFonts w:hint="default" w:ascii="Times New Roman" w:hAnsi="Times New Roman" w:cs="Times New Roman"/>
                <w:color w:val="auto"/>
                <w:sz w:val="24"/>
              </w:rPr>
              <w:t>陕西</w:t>
            </w:r>
            <w:r>
              <w:rPr>
                <w:rFonts w:hint="default" w:ascii="Times New Roman" w:hAnsi="Times New Roman" w:cs="Times New Roman"/>
                <w:color w:val="auto"/>
                <w:sz w:val="24"/>
                <w:lang w:val="en-US" w:eastAsia="zh-CN"/>
              </w:rPr>
              <w:t>国坤时代科技</w:t>
            </w:r>
            <w:r>
              <w:rPr>
                <w:rFonts w:hint="default" w:ascii="Times New Roman" w:hAnsi="Times New Roman" w:cs="Times New Roman"/>
                <w:color w:val="auto"/>
                <w:sz w:val="24"/>
              </w:rPr>
              <w:t>有限公司</w:t>
            </w:r>
            <w:r>
              <w:rPr>
                <w:rFonts w:hint="eastAsia"/>
                <w:bCs/>
                <w:color w:val="auto"/>
                <w:sz w:val="24"/>
                <w:lang w:val="en-US" w:eastAsia="zh-CN"/>
              </w:rPr>
              <w:t>部分</w:t>
            </w:r>
            <w:r>
              <w:rPr>
                <w:rFonts w:hint="eastAsia" w:cs="Times New Roman"/>
                <w:color w:val="auto"/>
                <w:lang w:eastAsia="zh-CN"/>
              </w:rPr>
              <w:t>厂房，建设</w:t>
            </w:r>
            <w:r>
              <w:rPr>
                <w:rFonts w:hint="eastAsia" w:cs="Times New Roman"/>
                <w:color w:val="auto"/>
                <w:lang w:val="en-US" w:eastAsia="zh-CN"/>
              </w:rPr>
              <w:t>2</w:t>
            </w:r>
            <w:r>
              <w:rPr>
                <w:rFonts w:hint="eastAsia" w:cs="Times New Roman"/>
                <w:color w:val="auto"/>
                <w:lang w:eastAsia="zh-CN"/>
              </w:rPr>
              <w:t>条聚乙烯外护管生产线和2条聚氨酯保温管生产线，年产聚乙烯外护管</w:t>
            </w:r>
            <w:r>
              <w:rPr>
                <w:rFonts w:hint="eastAsia" w:cs="Times New Roman"/>
                <w:color w:val="auto"/>
                <w:lang w:val="en-US" w:eastAsia="zh-CN"/>
              </w:rPr>
              <w:t>7</w:t>
            </w:r>
            <w:r>
              <w:rPr>
                <w:rFonts w:hint="eastAsia" w:cs="Times New Roman"/>
                <w:color w:val="auto"/>
                <w:lang w:eastAsia="zh-CN"/>
              </w:rPr>
              <w:t>00吨、聚氨酯保温管5000根。</w:t>
            </w:r>
          </w:p>
          <w:p w14:paraId="6578C05F">
            <w:pPr>
              <w:pStyle w:val="69"/>
              <w:keepNext w:val="0"/>
              <w:keepLines w:val="0"/>
              <w:pageBreakBefore w:val="0"/>
              <w:widowControl/>
              <w:kinsoku/>
              <w:wordWrap/>
              <w:overflowPunct/>
              <w:topLinePunct w:val="0"/>
              <w:autoSpaceDE/>
              <w:autoSpaceDN/>
              <w:bidi w:val="0"/>
              <w:adjustRightInd/>
              <w:snapToGrid/>
              <w:ind w:firstLine="480"/>
              <w:textAlignment w:val="auto"/>
              <w:rPr>
                <w:rFonts w:hint="eastAsia"/>
                <w:bCs/>
                <w:color w:val="auto"/>
                <w:sz w:val="24"/>
                <w:lang w:val="en-US" w:eastAsia="zh-CN"/>
              </w:rPr>
            </w:pPr>
            <w:r>
              <w:rPr>
                <w:rFonts w:hint="eastAsia" w:cs="Times New Roman"/>
                <w:color w:val="auto"/>
                <w:lang w:eastAsia="zh-CN"/>
              </w:rPr>
              <w:t>202</w:t>
            </w:r>
            <w:r>
              <w:rPr>
                <w:rFonts w:hint="eastAsia" w:cs="Times New Roman"/>
                <w:color w:val="auto"/>
                <w:lang w:val="en-US" w:eastAsia="zh-CN"/>
              </w:rPr>
              <w:t>3</w:t>
            </w:r>
            <w:r>
              <w:rPr>
                <w:rFonts w:hint="eastAsia" w:cs="Times New Roman"/>
                <w:color w:val="auto"/>
                <w:lang w:eastAsia="zh-CN"/>
              </w:rPr>
              <w:t>年</w:t>
            </w:r>
            <w:r>
              <w:rPr>
                <w:rFonts w:hint="eastAsia" w:cs="Times New Roman"/>
                <w:color w:val="auto"/>
                <w:lang w:val="en-US" w:eastAsia="zh-CN"/>
              </w:rPr>
              <w:t>7</w:t>
            </w:r>
            <w:r>
              <w:rPr>
                <w:rFonts w:hint="eastAsia" w:cs="Times New Roman"/>
                <w:color w:val="auto"/>
                <w:lang w:eastAsia="zh-CN"/>
              </w:rPr>
              <w:t>月，企业委托陕西中蓝企方环境科技有限公司编制了《聚乙烯外护管及保温管生产迁建项目环境影响报告表》，202</w:t>
            </w:r>
            <w:r>
              <w:rPr>
                <w:rFonts w:hint="eastAsia" w:cs="Times New Roman"/>
                <w:color w:val="auto"/>
                <w:lang w:val="en-US" w:eastAsia="zh-CN"/>
              </w:rPr>
              <w:t>3</w:t>
            </w:r>
            <w:r>
              <w:rPr>
                <w:rFonts w:hint="eastAsia" w:cs="Times New Roman"/>
                <w:color w:val="auto"/>
                <w:lang w:eastAsia="zh-CN"/>
              </w:rPr>
              <w:t>年</w:t>
            </w:r>
            <w:r>
              <w:rPr>
                <w:rFonts w:hint="eastAsia" w:cs="Times New Roman"/>
                <w:color w:val="auto"/>
                <w:lang w:val="en-US" w:eastAsia="zh-CN"/>
              </w:rPr>
              <w:t>8</w:t>
            </w:r>
            <w:r>
              <w:rPr>
                <w:rFonts w:hint="eastAsia" w:cs="Times New Roman"/>
                <w:color w:val="auto"/>
                <w:lang w:eastAsia="zh-CN"/>
              </w:rPr>
              <w:t>月</w:t>
            </w:r>
            <w:r>
              <w:rPr>
                <w:rFonts w:hint="eastAsia" w:cs="Times New Roman"/>
                <w:color w:val="auto"/>
                <w:lang w:val="en-US" w:eastAsia="zh-CN"/>
              </w:rPr>
              <w:t>8</w:t>
            </w:r>
            <w:r>
              <w:rPr>
                <w:rFonts w:hint="eastAsia" w:cs="Times New Roman"/>
                <w:color w:val="auto"/>
                <w:lang w:eastAsia="zh-CN"/>
              </w:rPr>
              <w:t>日取得了该项目的环评批复（</w:t>
            </w:r>
            <w:r>
              <w:rPr>
                <w:rFonts w:hint="eastAsia" w:cs="Times New Roman"/>
                <w:color w:val="auto"/>
                <w:lang w:val="en-US" w:eastAsia="zh-CN"/>
              </w:rPr>
              <w:t>西咸</w:t>
            </w:r>
            <w:r>
              <w:rPr>
                <w:rFonts w:hint="eastAsia" w:cs="Times New Roman"/>
                <w:color w:val="auto"/>
                <w:lang w:eastAsia="zh-CN"/>
              </w:rPr>
              <w:t>泾河审准</w:t>
            </w:r>
            <w:r>
              <w:rPr>
                <w:rFonts w:hint="eastAsia"/>
                <w:color w:val="auto"/>
                <w:sz w:val="24"/>
              </w:rPr>
              <w:t>〔</w:t>
            </w:r>
            <w:r>
              <w:rPr>
                <w:rFonts w:hint="eastAsia" w:cs="Times New Roman"/>
                <w:color w:val="auto"/>
                <w:lang w:eastAsia="zh-CN"/>
              </w:rPr>
              <w:t>202</w:t>
            </w:r>
            <w:r>
              <w:rPr>
                <w:rFonts w:hint="eastAsia" w:cs="Times New Roman"/>
                <w:color w:val="auto"/>
                <w:lang w:val="en-US" w:eastAsia="zh-CN"/>
              </w:rPr>
              <w:t>3</w:t>
            </w:r>
            <w:r>
              <w:rPr>
                <w:rFonts w:hint="eastAsia"/>
                <w:color w:val="auto"/>
                <w:sz w:val="24"/>
              </w:rPr>
              <w:t>〕</w:t>
            </w:r>
            <w:r>
              <w:rPr>
                <w:rFonts w:hint="eastAsia" w:cs="Times New Roman"/>
                <w:color w:val="auto"/>
                <w:lang w:val="en-US" w:eastAsia="zh-CN"/>
              </w:rPr>
              <w:t>52</w:t>
            </w:r>
            <w:r>
              <w:rPr>
                <w:rFonts w:hint="eastAsia" w:cs="Times New Roman"/>
                <w:color w:val="auto"/>
                <w:lang w:eastAsia="zh-CN"/>
              </w:rPr>
              <w:t>号，具体见附件</w:t>
            </w:r>
            <w:r>
              <w:rPr>
                <w:rFonts w:hint="eastAsia" w:cs="Times New Roman"/>
                <w:color w:val="auto"/>
                <w:lang w:val="en-US" w:eastAsia="zh-CN"/>
              </w:rPr>
              <w:t>6</w:t>
            </w:r>
            <w:r>
              <w:rPr>
                <w:rFonts w:hint="eastAsia" w:cs="Times New Roman"/>
                <w:color w:val="auto"/>
                <w:lang w:eastAsia="zh-CN"/>
              </w:rPr>
              <w:t>）；</w:t>
            </w:r>
          </w:p>
          <w:p w14:paraId="58927E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企业于2023年9月11日进行了排污许可登记并取得登记回执，登记编号</w:t>
            </w:r>
            <w:r>
              <w:rPr>
                <w:rFonts w:hint="eastAsia" w:ascii="Times New Roman" w:hAnsi="Times New Roman"/>
                <w:color w:val="auto"/>
                <w:sz w:val="24"/>
                <w:szCs w:val="24"/>
              </w:rPr>
              <w:t>91610112MA6U21BRX8001Z，有效期为2</w:t>
            </w:r>
            <w:r>
              <w:rPr>
                <w:rFonts w:ascii="Times New Roman" w:hAnsi="Times New Roman"/>
                <w:color w:val="auto"/>
                <w:sz w:val="24"/>
                <w:szCs w:val="24"/>
              </w:rPr>
              <w:t>02</w:t>
            </w:r>
            <w:r>
              <w:rPr>
                <w:rFonts w:hint="eastAsia" w:ascii="Times New Roman" w:hAnsi="Times New Roman"/>
                <w:color w:val="auto"/>
                <w:sz w:val="24"/>
                <w:szCs w:val="24"/>
              </w:rPr>
              <w:t>3年9月11日至2</w:t>
            </w:r>
            <w:r>
              <w:rPr>
                <w:rFonts w:ascii="Times New Roman" w:hAnsi="Times New Roman"/>
                <w:color w:val="auto"/>
                <w:sz w:val="24"/>
                <w:szCs w:val="24"/>
              </w:rPr>
              <w:t>02</w:t>
            </w:r>
            <w:r>
              <w:rPr>
                <w:rFonts w:hint="eastAsia" w:ascii="Times New Roman" w:hAnsi="Times New Roman"/>
                <w:color w:val="auto"/>
                <w:sz w:val="24"/>
                <w:szCs w:val="24"/>
              </w:rPr>
              <w:t>8年9月10日</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具体见附件</w:t>
            </w:r>
            <w:r>
              <w:rPr>
                <w:rFonts w:hint="eastAsia"/>
                <w:color w:val="auto"/>
                <w:sz w:val="24"/>
                <w:szCs w:val="24"/>
                <w:lang w:val="en-US" w:eastAsia="zh-CN"/>
              </w:rPr>
              <w:t>7</w:t>
            </w:r>
            <w:r>
              <w:rPr>
                <w:rFonts w:hint="eastAsia" w:ascii="Times New Roman" w:hAnsi="Times New Roman"/>
                <w:color w:val="auto"/>
                <w:sz w:val="24"/>
                <w:szCs w:val="24"/>
                <w:lang w:eastAsia="zh-CN"/>
              </w:rPr>
              <w:t>）</w:t>
            </w:r>
            <w:r>
              <w:rPr>
                <w:rFonts w:hint="eastAsia" w:ascii="Times New Roman" w:hAnsi="Times New Roman"/>
                <w:color w:val="auto"/>
                <w:sz w:val="24"/>
                <w:szCs w:val="24"/>
              </w:rPr>
              <w:t>。</w:t>
            </w:r>
          </w:p>
          <w:p w14:paraId="35D20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企业于2023年11月编制了《西安敏丰防腐保温工程有限公司突发环境事件应急预案》，2023年12月22日取得陕西省西咸新区泾河新城管理委员会下发的备案表（备案编号619905-2023-32-L，具体见附件8）。</w:t>
            </w:r>
          </w:p>
          <w:p w14:paraId="78BC5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bCs/>
                <w:color w:val="auto"/>
                <w:sz w:val="24"/>
                <w:lang w:val="en-US" w:eastAsia="zh-CN"/>
              </w:rPr>
              <w:t>企业于2024年6月编制完成了《聚乙烯外护管及保温管生产项目（一期）竣工环境保护验收监测报告表》，并通过了专家组验收（具体见附件9）。</w:t>
            </w:r>
          </w:p>
          <w:p w14:paraId="4F71B1BB">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、原有项目工艺流程及产污环节</w:t>
            </w:r>
          </w:p>
          <w:p w14:paraId="6954414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原有项目迁建前后工艺流程不变，故参考迁建后产品工艺流程。</w:t>
            </w:r>
          </w:p>
          <w:p w14:paraId="33FB228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、原有项目</w:t>
            </w:r>
            <w:r>
              <w:rPr>
                <w:rFonts w:hint="eastAsia" w:ascii="宋体" w:hAnsi="宋体" w:eastAsia="宋体" w:cs="宋体"/>
                <w:b/>
                <w:bCs/>
                <w:color w:val="auto"/>
                <w:kern w:val="0"/>
                <w:sz w:val="24"/>
                <w:szCs w:val="24"/>
                <w:lang w:val="en-US" w:eastAsia="zh-CN" w:bidi="ar"/>
              </w:rPr>
              <w:t>污染治理措施及污染物排放情况</w:t>
            </w:r>
          </w:p>
          <w:p w14:paraId="50910A2C">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lang w:val="en-US" w:eastAsia="zh-CN"/>
              </w:rPr>
              <w:t>1</w:t>
            </w:r>
            <w:r>
              <w:rPr>
                <w:rFonts w:hint="eastAsia"/>
                <w:b w:val="0"/>
                <w:bCs w:val="0"/>
                <w:color w:val="auto"/>
                <w:sz w:val="24"/>
                <w:lang w:eastAsia="zh-CN"/>
              </w:rPr>
              <w:t>）</w:t>
            </w:r>
            <w:r>
              <w:rPr>
                <w:rFonts w:hint="eastAsia"/>
                <w:b w:val="0"/>
                <w:bCs w:val="0"/>
                <w:color w:val="auto"/>
                <w:sz w:val="24"/>
              </w:rPr>
              <w:t>废气</w:t>
            </w:r>
          </w:p>
          <w:p w14:paraId="1C1CD472">
            <w:pPr>
              <w:spacing w:line="360" w:lineRule="auto"/>
              <w:ind w:firstLine="480" w:firstLineChars="200"/>
              <w:rPr>
                <w:rFonts w:ascii="Times New Roman" w:hAnsi="Times New Roman"/>
                <w:color w:val="auto"/>
                <w:sz w:val="24"/>
                <w:szCs w:val="24"/>
              </w:rPr>
            </w:pPr>
            <w:r>
              <w:rPr>
                <w:rFonts w:hint="eastAsia"/>
                <w:color w:val="auto"/>
                <w:sz w:val="24"/>
                <w:lang w:val="en-US" w:eastAsia="zh-CN"/>
              </w:rPr>
              <w:t>原有</w:t>
            </w:r>
            <w:r>
              <w:rPr>
                <w:rFonts w:hint="eastAsia"/>
                <w:color w:val="auto"/>
                <w:sz w:val="24"/>
              </w:rPr>
              <w:t>项目运营期产生的废气主要为</w:t>
            </w:r>
            <w:r>
              <w:rPr>
                <w:rFonts w:hint="eastAsia" w:ascii="Times New Roman" w:hAnsi="Times New Roman"/>
                <w:color w:val="auto"/>
                <w:sz w:val="24"/>
                <w:szCs w:val="24"/>
              </w:rPr>
              <w:t>聚乙烯外护管生产线中原料混合</w:t>
            </w:r>
            <w:r>
              <w:rPr>
                <w:rFonts w:hint="eastAsia" w:ascii="Times New Roman" w:hAnsi="Times New Roman"/>
                <w:color w:val="auto"/>
                <w:sz w:val="24"/>
                <w:szCs w:val="24"/>
                <w:lang w:val="en-US" w:eastAsia="zh-CN"/>
              </w:rPr>
              <w:t>废气</w:t>
            </w:r>
            <w:r>
              <w:rPr>
                <w:rFonts w:hint="eastAsia"/>
                <w:color w:val="auto"/>
                <w:sz w:val="24"/>
                <w:szCs w:val="24"/>
                <w:lang w:eastAsia="zh-CN"/>
              </w:rPr>
              <w:t>、</w:t>
            </w:r>
            <w:r>
              <w:rPr>
                <w:rFonts w:hint="eastAsia" w:ascii="Times New Roman" w:hAnsi="Times New Roman"/>
                <w:color w:val="auto"/>
                <w:sz w:val="24"/>
                <w:szCs w:val="24"/>
              </w:rPr>
              <w:t>聚乙烯外护管生产线中挤出工序及聚氨酯保温管生产线</w:t>
            </w:r>
            <w:r>
              <w:rPr>
                <w:rFonts w:hint="eastAsia"/>
                <w:color w:val="auto"/>
                <w:sz w:val="24"/>
                <w:szCs w:val="24"/>
                <w:lang w:val="en-US" w:eastAsia="zh-CN"/>
              </w:rPr>
              <w:t>产生的除锈废气和</w:t>
            </w:r>
            <w:r>
              <w:rPr>
                <w:rFonts w:hint="eastAsia" w:ascii="Times New Roman" w:hAnsi="Times New Roman"/>
                <w:color w:val="auto"/>
                <w:sz w:val="24"/>
                <w:szCs w:val="24"/>
              </w:rPr>
              <w:t>发泡废气（主要污染因子为非甲烷总烃</w:t>
            </w:r>
            <w:r>
              <w:rPr>
                <w:rFonts w:hint="eastAsia"/>
                <w:color w:val="auto"/>
                <w:sz w:val="24"/>
                <w:szCs w:val="24"/>
                <w:lang w:eastAsia="zh-CN"/>
              </w:rPr>
              <w:t>、</w:t>
            </w:r>
            <w:r>
              <w:rPr>
                <w:rFonts w:hint="eastAsia"/>
                <w:color w:val="auto"/>
                <w:sz w:val="24"/>
                <w:szCs w:val="24"/>
                <w:lang w:val="en-US" w:eastAsia="zh-CN"/>
              </w:rPr>
              <w:t>颗粒物</w:t>
            </w:r>
            <w:r>
              <w:rPr>
                <w:rFonts w:hint="eastAsia" w:ascii="Times New Roman" w:hAnsi="Times New Roman"/>
                <w:color w:val="auto"/>
                <w:sz w:val="24"/>
                <w:szCs w:val="24"/>
              </w:rPr>
              <w:t>）。</w:t>
            </w:r>
          </w:p>
          <w:p w14:paraId="48283D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eastAsia="zh-CN"/>
              </w:rPr>
              <w:t>①</w:t>
            </w:r>
            <w:r>
              <w:rPr>
                <w:rFonts w:hint="eastAsia" w:ascii="Times New Roman" w:hAnsi="Times New Roman"/>
                <w:color w:val="auto"/>
                <w:sz w:val="24"/>
                <w:szCs w:val="24"/>
                <w:lang w:val="en-US" w:eastAsia="zh-CN"/>
              </w:rPr>
              <w:t>原料混合</w:t>
            </w:r>
            <w:r>
              <w:rPr>
                <w:rFonts w:hint="eastAsia" w:ascii="Times New Roman" w:hAnsi="Times New Roman"/>
                <w:color w:val="auto"/>
                <w:sz w:val="24"/>
                <w:szCs w:val="24"/>
              </w:rPr>
              <w:t>废气</w:t>
            </w:r>
          </w:p>
          <w:p w14:paraId="32920A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szCs w:val="24"/>
              </w:rPr>
            </w:pPr>
            <w:r>
              <w:rPr>
                <w:rFonts w:ascii="Times New Roman" w:hAnsi="Times New Roman"/>
                <w:color w:val="auto"/>
                <w:sz w:val="24"/>
                <w:szCs w:val="24"/>
              </w:rPr>
              <w:t>原料混合搅拌工序在密闭设备中进行，聚乙烯树脂和色母为颗粒状，因此，粉尘产生量极少。</w:t>
            </w:r>
            <w:r>
              <w:rPr>
                <w:rFonts w:hint="eastAsia" w:ascii="Times New Roman" w:hAnsi="Times New Roman"/>
                <w:color w:val="auto"/>
                <w:sz w:val="24"/>
                <w:szCs w:val="24"/>
              </w:rPr>
              <w:t>且混合搅拌时设备密闭，可直接进入下一道工序。粉尘量产生极少，车间内无组织排放。</w:t>
            </w:r>
          </w:p>
          <w:p w14:paraId="066E440D">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eastAsia="宋体"/>
                <w:color w:val="auto"/>
                <w:lang w:val="en-US" w:eastAsia="zh-CN"/>
              </w:rPr>
            </w:pPr>
            <w:r>
              <w:rPr>
                <w:rFonts w:hint="eastAsia" w:ascii="Times New Roman" w:hAnsi="Times New Roman"/>
                <w:color w:val="auto"/>
                <w:sz w:val="24"/>
                <w:szCs w:val="24"/>
                <w:lang w:eastAsia="zh-CN"/>
              </w:rPr>
              <w:t>②</w:t>
            </w:r>
            <w:r>
              <w:rPr>
                <w:rFonts w:hint="eastAsia" w:ascii="Times New Roman" w:hAnsi="Times New Roman"/>
                <w:color w:val="auto"/>
                <w:sz w:val="24"/>
                <w:szCs w:val="24"/>
                <w:lang w:val="en-US" w:eastAsia="zh-CN"/>
              </w:rPr>
              <w:t>挤出废气</w:t>
            </w:r>
          </w:p>
          <w:p w14:paraId="44952B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项目在挤出机上方均设置集气罩收集废气，收集后的废气通过</w:t>
            </w:r>
            <w:r>
              <w:rPr>
                <w:rFonts w:hint="eastAsia"/>
                <w:color w:val="auto"/>
                <w:sz w:val="24"/>
                <w:lang w:eastAsia="zh-CN"/>
              </w:rPr>
              <w:t>“</w:t>
            </w:r>
            <w:r>
              <w:rPr>
                <w:rFonts w:hint="eastAsia" w:ascii="Times New Roman" w:hAnsi="Times New Roman"/>
                <w:color w:val="auto"/>
                <w:sz w:val="24"/>
              </w:rPr>
              <w:t>活性炭吸附装置</w:t>
            </w:r>
            <w:r>
              <w:rPr>
                <w:rFonts w:hint="eastAsia"/>
                <w:color w:val="auto"/>
                <w:sz w:val="24"/>
                <w:lang w:eastAsia="zh-CN"/>
              </w:rPr>
              <w:t>”</w:t>
            </w:r>
            <w:r>
              <w:rPr>
                <w:rFonts w:hint="eastAsia" w:ascii="Times New Roman" w:hAnsi="Times New Roman"/>
                <w:color w:val="auto"/>
                <w:sz w:val="24"/>
              </w:rPr>
              <w:t>进行处理，处理后由1</w:t>
            </w:r>
            <w:r>
              <w:rPr>
                <w:rFonts w:ascii="Times New Roman" w:hAnsi="Times New Roman"/>
                <w:color w:val="auto"/>
                <w:sz w:val="24"/>
              </w:rPr>
              <w:t>5m</w:t>
            </w:r>
            <w:r>
              <w:rPr>
                <w:rFonts w:hint="eastAsia" w:ascii="Times New Roman" w:hAnsi="Times New Roman"/>
                <w:color w:val="auto"/>
                <w:sz w:val="24"/>
              </w:rPr>
              <w:t>高排气筒（</w:t>
            </w:r>
            <w:r>
              <w:rPr>
                <w:rFonts w:hint="eastAsia"/>
                <w:color w:val="auto"/>
                <w:sz w:val="24"/>
                <w:lang w:val="en-US" w:eastAsia="zh-CN"/>
              </w:rPr>
              <w:t>P1</w:t>
            </w:r>
            <w:r>
              <w:rPr>
                <w:rFonts w:hint="eastAsia" w:ascii="Times New Roman" w:hAnsi="Times New Roman"/>
                <w:color w:val="auto"/>
                <w:sz w:val="24"/>
              </w:rPr>
              <w:t>）排放。</w:t>
            </w:r>
          </w:p>
          <w:p w14:paraId="52FAF2FD">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olor w:val="auto"/>
                <w:sz w:val="24"/>
                <w:szCs w:val="24"/>
                <w:lang w:val="en-US" w:eastAsia="zh-CN"/>
              </w:rPr>
            </w:pPr>
            <w:r>
              <w:rPr>
                <w:rFonts w:hint="eastAsia" w:ascii="Times New Roman" w:hAnsi="Times New Roman"/>
                <w:color w:val="auto"/>
                <w:sz w:val="24"/>
                <w:szCs w:val="24"/>
                <w:lang w:eastAsia="zh-CN"/>
              </w:rPr>
              <w:t>③</w:t>
            </w:r>
            <w:r>
              <w:rPr>
                <w:rFonts w:hint="eastAsia"/>
                <w:color w:val="auto"/>
                <w:sz w:val="24"/>
                <w:szCs w:val="24"/>
                <w:lang w:val="en-US" w:eastAsia="zh-CN"/>
              </w:rPr>
              <w:t>除锈废气</w:t>
            </w:r>
          </w:p>
          <w:p w14:paraId="3A135499">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olor w:val="auto"/>
                <w:sz w:val="24"/>
                <w:szCs w:val="24"/>
                <w:lang w:val="en-US" w:eastAsia="zh-CN"/>
              </w:rPr>
            </w:pPr>
            <w:r>
              <w:rPr>
                <w:rFonts w:hint="eastAsia"/>
                <w:color w:val="auto"/>
                <w:lang w:val="en-US" w:eastAsia="zh-CN"/>
              </w:rPr>
              <w:t>钢管除</w:t>
            </w:r>
            <w:r>
              <w:rPr>
                <w:rFonts w:hint="default" w:ascii="Times New Roman" w:hAnsi="Times New Roman" w:cs="Times New Roman"/>
                <w:color w:val="auto"/>
                <w:lang w:val="en-US" w:eastAsia="zh-CN"/>
              </w:rPr>
              <w:t>锈过程</w:t>
            </w:r>
            <w:r>
              <w:rPr>
                <w:rFonts w:hint="eastAsia" w:ascii="Times New Roman" w:hAnsi="Times New Roman" w:cs="Times New Roman"/>
                <w:color w:val="auto"/>
                <w:lang w:val="en-US" w:eastAsia="zh-CN"/>
              </w:rPr>
              <w:t>会产生粉尘，除锈</w:t>
            </w:r>
            <w:r>
              <w:rPr>
                <w:rFonts w:hint="default" w:ascii="Times New Roman" w:hAnsi="Times New Roman" w:cs="Times New Roman"/>
                <w:color w:val="auto"/>
                <w:lang w:val="en-US" w:eastAsia="zh-CN"/>
              </w:rPr>
              <w:t>采用全密闭作业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因此不产生无组织粉尘。粉尘</w:t>
            </w:r>
            <w:r>
              <w:rPr>
                <w:rFonts w:hint="eastAsia" w:cs="Times New Roman"/>
                <w:color w:val="auto"/>
                <w:lang w:val="en-US" w:eastAsia="zh-CN"/>
              </w:rPr>
              <w:t>粉尘</w:t>
            </w:r>
            <w:r>
              <w:rPr>
                <w:rFonts w:hint="default" w:ascii="Times New Roman" w:hAnsi="Times New Roman" w:cs="Times New Roman"/>
                <w:color w:val="auto"/>
                <w:lang w:val="en-US" w:eastAsia="zh-CN"/>
              </w:rPr>
              <w:t>经</w:t>
            </w:r>
            <w:r>
              <w:rPr>
                <w:rFonts w:hint="eastAsia" w:ascii="Times New Roman" w:hAnsi="Times New Roman" w:eastAsia="宋体" w:cs="Times New Roman"/>
                <w:color w:val="auto"/>
                <w:kern w:val="2"/>
                <w:sz w:val="24"/>
                <w:szCs w:val="24"/>
                <w:vertAlign w:val="baseline"/>
                <w:lang w:val="en-US" w:eastAsia="zh-CN" w:bidi="ar-SA"/>
              </w:rPr>
              <w:t>除锈机自带布袋</w:t>
            </w:r>
            <w:r>
              <w:rPr>
                <w:rFonts w:hint="default" w:ascii="Times New Roman" w:hAnsi="Times New Roman" w:cs="Times New Roman"/>
                <w:color w:val="auto"/>
                <w:lang w:val="en-US" w:eastAsia="zh-CN"/>
              </w:rPr>
              <w:t>除尘器处理后经</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m高排气筒</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P3</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lang w:val="en-US" w:eastAsia="zh-CN"/>
              </w:rPr>
              <w:t>排放</w:t>
            </w:r>
            <w:r>
              <w:rPr>
                <w:rFonts w:hint="eastAsia" w:cs="Times New Roman"/>
                <w:color w:val="auto"/>
                <w:lang w:val="en-US" w:eastAsia="zh-CN"/>
              </w:rPr>
              <w:t>。</w:t>
            </w:r>
          </w:p>
          <w:p w14:paraId="22C86E24">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eastAsia="宋体"/>
                <w:color w:val="auto"/>
                <w:lang w:val="en-US" w:eastAsia="zh-CN"/>
              </w:rPr>
            </w:pPr>
            <w:r>
              <w:rPr>
                <w:rFonts w:hint="eastAsia"/>
                <w:color w:val="auto"/>
                <w:sz w:val="24"/>
                <w:szCs w:val="24"/>
                <w:lang w:val="en-US" w:eastAsia="zh-CN"/>
              </w:rPr>
              <w:t>④</w:t>
            </w:r>
            <w:r>
              <w:rPr>
                <w:rFonts w:hint="eastAsia" w:ascii="Times New Roman" w:hAnsi="Times New Roman"/>
                <w:color w:val="auto"/>
                <w:sz w:val="24"/>
                <w:szCs w:val="24"/>
                <w:lang w:val="en-US" w:eastAsia="zh-CN"/>
              </w:rPr>
              <w:t>发泡废气</w:t>
            </w:r>
          </w:p>
          <w:p w14:paraId="3AF98D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项目在</w:t>
            </w:r>
            <w:r>
              <w:rPr>
                <w:rFonts w:hint="eastAsia" w:ascii="Times New Roman" w:hAnsi="Times New Roman"/>
                <w:color w:val="auto"/>
                <w:sz w:val="24"/>
                <w:lang w:val="en-US" w:eastAsia="zh-CN"/>
              </w:rPr>
              <w:t>发泡机</w:t>
            </w:r>
            <w:r>
              <w:rPr>
                <w:rFonts w:hint="eastAsia" w:ascii="Times New Roman" w:hAnsi="Times New Roman"/>
                <w:color w:val="auto"/>
                <w:sz w:val="24"/>
              </w:rPr>
              <w:t>上方均设置集气罩收集废气，收集后的废气通过</w:t>
            </w:r>
            <w:r>
              <w:rPr>
                <w:rFonts w:hint="eastAsia"/>
                <w:color w:val="auto"/>
                <w:sz w:val="24"/>
                <w:lang w:eastAsia="zh-CN"/>
              </w:rPr>
              <w:t>“</w:t>
            </w:r>
            <w:r>
              <w:rPr>
                <w:rFonts w:hint="eastAsia" w:ascii="Times New Roman" w:hAnsi="Times New Roman"/>
                <w:color w:val="auto"/>
                <w:sz w:val="24"/>
              </w:rPr>
              <w:t>活性炭吸附装置</w:t>
            </w:r>
            <w:r>
              <w:rPr>
                <w:rFonts w:hint="eastAsia"/>
                <w:color w:val="auto"/>
                <w:sz w:val="24"/>
                <w:lang w:eastAsia="zh-CN"/>
              </w:rPr>
              <w:t>”</w:t>
            </w:r>
            <w:r>
              <w:rPr>
                <w:rFonts w:hint="eastAsia" w:ascii="Times New Roman" w:hAnsi="Times New Roman"/>
                <w:color w:val="auto"/>
                <w:sz w:val="24"/>
              </w:rPr>
              <w:t>进行处理，处理后由1</w:t>
            </w:r>
            <w:r>
              <w:rPr>
                <w:rFonts w:ascii="Times New Roman" w:hAnsi="Times New Roman"/>
                <w:color w:val="auto"/>
                <w:sz w:val="24"/>
              </w:rPr>
              <w:t>5m</w:t>
            </w:r>
            <w:r>
              <w:rPr>
                <w:rFonts w:hint="eastAsia" w:ascii="Times New Roman" w:hAnsi="Times New Roman"/>
                <w:color w:val="auto"/>
                <w:sz w:val="24"/>
              </w:rPr>
              <w:t>高排气筒（</w:t>
            </w:r>
            <w:r>
              <w:rPr>
                <w:rFonts w:hint="eastAsia"/>
                <w:color w:val="auto"/>
                <w:sz w:val="24"/>
                <w:lang w:val="en-US" w:eastAsia="zh-CN"/>
              </w:rPr>
              <w:t>P2</w:t>
            </w:r>
            <w:r>
              <w:rPr>
                <w:rFonts w:hint="eastAsia" w:ascii="Times New Roman" w:hAnsi="Times New Roman"/>
                <w:color w:val="auto"/>
                <w:sz w:val="24"/>
              </w:rPr>
              <w:t>）排放。</w:t>
            </w:r>
          </w:p>
          <w:p w14:paraId="3A3C3B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szCs w:val="24"/>
              </w:rPr>
            </w:pPr>
            <w:r>
              <w:rPr>
                <w:rFonts w:hint="eastAsia"/>
                <w:color w:val="auto"/>
                <w:sz w:val="24"/>
              </w:rPr>
              <w:t>根据验收监测报告，验收检测期间，</w:t>
            </w:r>
            <w:r>
              <w:rPr>
                <w:rFonts w:hint="eastAsia"/>
                <w:color w:val="auto"/>
                <w:sz w:val="24"/>
                <w:lang w:val="en-US" w:eastAsia="zh-CN"/>
              </w:rPr>
              <w:t>原有</w:t>
            </w:r>
            <w:r>
              <w:rPr>
                <w:rFonts w:ascii="Times New Roman" w:hAnsi="Times New Roman"/>
                <w:color w:val="auto"/>
                <w:sz w:val="24"/>
                <w:szCs w:val="24"/>
              </w:rPr>
              <w:t>项目</w:t>
            </w:r>
            <w:r>
              <w:rPr>
                <w:rFonts w:hint="eastAsia"/>
                <w:color w:val="auto"/>
                <w:sz w:val="24"/>
                <w:lang w:val="en-US" w:eastAsia="zh-CN"/>
              </w:rPr>
              <w:t>P1</w:t>
            </w:r>
            <w:r>
              <w:rPr>
                <w:rFonts w:hint="eastAsia" w:ascii="Times New Roman" w:hAnsi="Times New Roman"/>
                <w:color w:val="auto"/>
                <w:sz w:val="24"/>
                <w:szCs w:val="24"/>
                <w:lang w:eastAsia="zh-CN"/>
              </w:rPr>
              <w:t>、</w:t>
            </w:r>
            <w:r>
              <w:rPr>
                <w:rFonts w:hint="eastAsia"/>
                <w:color w:val="auto"/>
                <w:sz w:val="24"/>
                <w:lang w:val="en-US" w:eastAsia="zh-CN"/>
              </w:rPr>
              <w:t>P2</w:t>
            </w:r>
            <w:r>
              <w:rPr>
                <w:rFonts w:hint="eastAsia" w:ascii="Times New Roman" w:hAnsi="Times New Roman"/>
                <w:color w:val="auto"/>
                <w:sz w:val="24"/>
                <w:szCs w:val="24"/>
              </w:rPr>
              <w:t>有机废气处理设施出口非甲烷总烃的排放浓度均符合《合成树脂工业污染物排放标准》（GB 31572-2015）表</w:t>
            </w:r>
            <w:r>
              <w:rPr>
                <w:rFonts w:ascii="Times New Roman" w:hAnsi="Times New Roman"/>
                <w:color w:val="auto"/>
                <w:sz w:val="24"/>
                <w:szCs w:val="24"/>
              </w:rPr>
              <w:t>5</w:t>
            </w:r>
            <w:r>
              <w:rPr>
                <w:rFonts w:hint="eastAsia" w:ascii="Times New Roman" w:hAnsi="Times New Roman"/>
                <w:color w:val="auto"/>
                <w:sz w:val="24"/>
                <w:szCs w:val="24"/>
              </w:rPr>
              <w:t>标准要求。除锈废气处理设施出口颗粒物排放浓度符合《大气污染物综合排放标准》（GB16297-1996）表2二级排放标准要求。</w:t>
            </w:r>
          </w:p>
          <w:p w14:paraId="1F9B7F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iCs/>
                <w:color w:val="auto"/>
                <w:sz w:val="24"/>
                <w:szCs w:val="24"/>
                <w:highlight w:val="yellow"/>
              </w:rPr>
            </w:pPr>
            <w:r>
              <w:rPr>
                <w:rFonts w:ascii="Times New Roman" w:hAnsi="Times New Roman"/>
                <w:color w:val="auto"/>
                <w:sz w:val="24"/>
                <w:szCs w:val="24"/>
              </w:rPr>
              <w:t>厂界</w:t>
            </w:r>
            <w:r>
              <w:rPr>
                <w:rFonts w:hint="eastAsia" w:ascii="Times New Roman" w:hAnsi="Times New Roman"/>
                <w:color w:val="auto"/>
                <w:sz w:val="24"/>
                <w:szCs w:val="24"/>
              </w:rPr>
              <w:t>上、下风向</w:t>
            </w:r>
            <w:r>
              <w:rPr>
                <w:rFonts w:ascii="Times New Roman" w:hAnsi="Times New Roman"/>
                <w:color w:val="auto"/>
                <w:sz w:val="24"/>
                <w:szCs w:val="24"/>
              </w:rPr>
              <w:t>无组织</w:t>
            </w:r>
            <w:r>
              <w:rPr>
                <w:rFonts w:hint="eastAsia" w:ascii="Times New Roman" w:hAnsi="Times New Roman"/>
                <w:color w:val="auto"/>
                <w:sz w:val="24"/>
                <w:szCs w:val="24"/>
              </w:rPr>
              <w:t>非甲烷总烃排放浓度符合《合成树脂工业污染物排放标准》（GB 31572-2015）表9要求；</w:t>
            </w:r>
            <w:r>
              <w:rPr>
                <w:rFonts w:hint="eastAsia"/>
                <w:color w:val="auto"/>
                <w:sz w:val="24"/>
                <w:szCs w:val="24"/>
                <w:lang w:val="en-US" w:eastAsia="zh-CN"/>
              </w:rPr>
              <w:t>颗粒物</w:t>
            </w:r>
            <w:r>
              <w:rPr>
                <w:rFonts w:hint="eastAsia" w:ascii="Times New Roman" w:hAnsi="Times New Roman"/>
                <w:color w:val="auto"/>
                <w:sz w:val="24"/>
                <w:szCs w:val="24"/>
              </w:rPr>
              <w:t>排放浓度符合《大气污染物综合排放标准》（GB16297-1996）表</w:t>
            </w:r>
            <w:r>
              <w:rPr>
                <w:rFonts w:hint="eastAsia" w:ascii="Times New Roman" w:hAnsi="Times New Roman"/>
                <w:color w:val="auto"/>
                <w:sz w:val="24"/>
                <w:szCs w:val="24"/>
                <w:lang w:val="en-US" w:eastAsia="zh-CN"/>
              </w:rPr>
              <w:t>2无组织排放标准</w:t>
            </w:r>
            <w:r>
              <w:rPr>
                <w:rFonts w:hint="eastAsia" w:ascii="Times New Roman" w:hAnsi="Times New Roman"/>
                <w:color w:val="auto"/>
                <w:sz w:val="24"/>
                <w:szCs w:val="24"/>
              </w:rPr>
              <w:t>要求</w:t>
            </w:r>
            <w:r>
              <w:rPr>
                <w:rFonts w:hint="eastAsia" w:ascii="Times New Roman" w:hAnsi="Times New Roman"/>
                <w:color w:val="auto"/>
                <w:sz w:val="24"/>
                <w:szCs w:val="24"/>
                <w:lang w:eastAsia="zh-CN"/>
              </w:rPr>
              <w:t>；</w:t>
            </w:r>
            <w:r>
              <w:rPr>
                <w:rFonts w:hint="eastAsia" w:ascii="Times New Roman" w:hAnsi="Times New Roman"/>
                <w:color w:val="auto"/>
                <w:sz w:val="24"/>
                <w:szCs w:val="24"/>
              </w:rPr>
              <w:t>厂区内非甲烷总烃排放浓度符合《挥发性有机物无组织排放控制标准》（GB 37822-2019）附录A表A.1要求。</w:t>
            </w:r>
          </w:p>
          <w:p w14:paraId="1B876D0C">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rPr>
              <w:t>2</w:t>
            </w:r>
            <w:r>
              <w:rPr>
                <w:rFonts w:hint="eastAsia"/>
                <w:b w:val="0"/>
                <w:bCs w:val="0"/>
                <w:color w:val="auto"/>
                <w:sz w:val="24"/>
                <w:lang w:eastAsia="zh-CN"/>
              </w:rPr>
              <w:t>）</w:t>
            </w:r>
            <w:r>
              <w:rPr>
                <w:rFonts w:hint="eastAsia"/>
                <w:b w:val="0"/>
                <w:bCs w:val="0"/>
                <w:color w:val="auto"/>
                <w:sz w:val="24"/>
              </w:rPr>
              <w:t>废水</w:t>
            </w:r>
          </w:p>
          <w:p w14:paraId="13911871">
            <w:pPr>
              <w:spacing w:line="360" w:lineRule="auto"/>
              <w:ind w:firstLine="480" w:firstLineChars="200"/>
              <w:rPr>
                <w:rFonts w:ascii="Times New Roman" w:hAnsi="Times New Roman"/>
                <w:color w:val="auto"/>
                <w:sz w:val="24"/>
                <w:szCs w:val="24"/>
              </w:rPr>
            </w:pPr>
            <w:r>
              <w:rPr>
                <w:rFonts w:hint="eastAsia"/>
                <w:color w:val="auto"/>
                <w:sz w:val="24"/>
                <w:lang w:val="en-US" w:eastAsia="zh-CN"/>
              </w:rPr>
              <w:t>原有</w:t>
            </w:r>
            <w:r>
              <w:rPr>
                <w:rFonts w:hint="eastAsia"/>
                <w:color w:val="auto"/>
                <w:sz w:val="24"/>
              </w:rPr>
              <w:t>项目运营期</w:t>
            </w:r>
            <w:r>
              <w:rPr>
                <w:rFonts w:hint="eastAsia"/>
                <w:color w:val="auto"/>
                <w:sz w:val="24"/>
                <w:lang w:val="en-US" w:eastAsia="zh-CN"/>
              </w:rPr>
              <w:t>废水主要为</w:t>
            </w:r>
            <w:r>
              <w:rPr>
                <w:rFonts w:ascii="Times New Roman" w:hAnsi="Times New Roman"/>
                <w:bCs/>
                <w:color w:val="auto"/>
                <w:sz w:val="24"/>
              </w:rPr>
              <w:t>真空定径装置水箱定期排污废水</w:t>
            </w:r>
            <w:r>
              <w:rPr>
                <w:rFonts w:hint="eastAsia" w:ascii="Times New Roman" w:hAnsi="Times New Roman"/>
                <w:color w:val="auto"/>
                <w:sz w:val="24"/>
                <w:szCs w:val="24"/>
              </w:rPr>
              <w:t>（主要污染因子为悬浮物）</w:t>
            </w:r>
            <w:r>
              <w:rPr>
                <w:rFonts w:hint="eastAsia" w:ascii="Times New Roman" w:hAnsi="Times New Roman"/>
                <w:bCs/>
                <w:color w:val="auto"/>
                <w:sz w:val="24"/>
                <w:lang w:val="en-US" w:eastAsia="zh-CN"/>
              </w:rPr>
              <w:t>和</w:t>
            </w:r>
            <w:r>
              <w:rPr>
                <w:rFonts w:hint="eastAsia" w:ascii="Times New Roman" w:hAnsi="Times New Roman"/>
                <w:color w:val="auto"/>
                <w:sz w:val="24"/>
                <w:szCs w:val="24"/>
              </w:rPr>
              <w:t>员工生活废水（主要污染因子为COD、BOD</w:t>
            </w:r>
            <w:r>
              <w:rPr>
                <w:rFonts w:hint="eastAsia" w:ascii="Times New Roman" w:hAnsi="Times New Roman"/>
                <w:color w:val="auto"/>
                <w:sz w:val="24"/>
                <w:szCs w:val="24"/>
                <w:vertAlign w:val="subscript"/>
              </w:rPr>
              <w:t>5</w:t>
            </w:r>
            <w:r>
              <w:rPr>
                <w:rFonts w:hint="eastAsia" w:ascii="Times New Roman" w:hAnsi="Times New Roman"/>
                <w:color w:val="auto"/>
                <w:sz w:val="24"/>
                <w:szCs w:val="24"/>
              </w:rPr>
              <w:t>、氨氮、悬浮物）。</w:t>
            </w:r>
          </w:p>
          <w:p w14:paraId="1ED9E8E7">
            <w:pPr>
              <w:spacing w:line="360" w:lineRule="auto"/>
              <w:ind w:firstLine="480" w:firstLineChars="200"/>
              <w:rPr>
                <w:rFonts w:ascii="Times New Roman" w:hAnsi="Times New Roman"/>
                <w:bCs/>
                <w:color w:val="auto"/>
                <w:sz w:val="24"/>
                <w:szCs w:val="24"/>
              </w:rPr>
            </w:pPr>
            <w:r>
              <w:rPr>
                <w:rFonts w:ascii="Times New Roman" w:hAnsi="Times New Roman"/>
                <w:bCs/>
                <w:color w:val="auto"/>
                <w:sz w:val="24"/>
                <w:szCs w:val="24"/>
              </w:rPr>
              <w:t>生活污水依托</w:t>
            </w:r>
            <w:r>
              <w:rPr>
                <w:rFonts w:hint="eastAsia" w:ascii="Times New Roman" w:hAnsi="Times New Roman"/>
                <w:bCs/>
                <w:color w:val="auto"/>
                <w:sz w:val="24"/>
                <w:szCs w:val="24"/>
              </w:rPr>
              <w:t>陕西国坤时代科技有限公司</w:t>
            </w:r>
            <w:r>
              <w:rPr>
                <w:rFonts w:ascii="Times New Roman" w:hAnsi="Times New Roman"/>
                <w:bCs/>
                <w:color w:val="auto"/>
                <w:sz w:val="24"/>
                <w:szCs w:val="24"/>
              </w:rPr>
              <w:t>化粪池处理</w:t>
            </w:r>
            <w:r>
              <w:rPr>
                <w:rFonts w:hint="eastAsia" w:ascii="Times New Roman" w:hAnsi="Times New Roman"/>
                <w:color w:val="auto"/>
                <w:sz w:val="24"/>
                <w:szCs w:val="24"/>
              </w:rPr>
              <w:t>后，</w:t>
            </w:r>
            <w:r>
              <w:rPr>
                <w:rFonts w:hint="eastAsia" w:ascii="Times New Roman" w:hAnsi="Times New Roman"/>
                <w:bCs/>
                <w:color w:val="auto"/>
                <w:sz w:val="24"/>
                <w:szCs w:val="24"/>
              </w:rPr>
              <w:t>经市政污水管网排至泾河新城第二污水处理厂进一步处理。真空定径装置水箱定期排水用于厂房洒水抑尘</w:t>
            </w:r>
            <w:r>
              <w:rPr>
                <w:rFonts w:ascii="Times New Roman" w:hAnsi="Times New Roman"/>
                <w:bCs/>
                <w:color w:val="auto"/>
                <w:sz w:val="24"/>
                <w:szCs w:val="24"/>
              </w:rPr>
              <w:t>。</w:t>
            </w:r>
          </w:p>
          <w:p w14:paraId="7FE34FF0">
            <w:pPr>
              <w:spacing w:line="360" w:lineRule="auto"/>
              <w:ind w:firstLine="480" w:firstLineChars="200"/>
              <w:rPr>
                <w:rFonts w:ascii="Times New Roman" w:hAnsi="Times New Roman"/>
                <w:bCs/>
                <w:color w:val="auto"/>
                <w:sz w:val="24"/>
                <w:szCs w:val="24"/>
              </w:rPr>
            </w:pPr>
            <w:r>
              <w:rPr>
                <w:rFonts w:hint="eastAsia"/>
                <w:color w:val="auto"/>
                <w:sz w:val="24"/>
              </w:rPr>
              <w:t>根据验收监测报告，</w:t>
            </w:r>
            <w:r>
              <w:rPr>
                <w:rFonts w:ascii="Times New Roman" w:hAnsi="Times New Roman"/>
                <w:color w:val="auto"/>
                <w:sz w:val="24"/>
                <w:szCs w:val="24"/>
              </w:rPr>
              <w:t>验收监测期间，</w:t>
            </w:r>
            <w:r>
              <w:rPr>
                <w:rFonts w:hint="eastAsia" w:ascii="Times New Roman" w:hAnsi="Times New Roman"/>
                <w:color w:val="auto"/>
                <w:sz w:val="24"/>
                <w:szCs w:val="24"/>
                <w:lang w:val="en-US" w:eastAsia="zh-CN"/>
              </w:rPr>
              <w:t>生活</w:t>
            </w:r>
            <w:r>
              <w:rPr>
                <w:rFonts w:hint="eastAsia" w:ascii="Times New Roman" w:hAnsi="Times New Roman"/>
                <w:color w:val="auto"/>
                <w:sz w:val="24"/>
                <w:szCs w:val="24"/>
              </w:rPr>
              <w:t>污水总排口水质中pH值、化学需氧量、悬浮物、五日生化需氧量</w:t>
            </w:r>
            <w:r>
              <w:rPr>
                <w:rFonts w:ascii="Times New Roman" w:hAnsi="Times New Roman"/>
                <w:color w:val="auto"/>
                <w:sz w:val="24"/>
                <w:szCs w:val="24"/>
              </w:rPr>
              <w:t>监测结果</w:t>
            </w:r>
            <w:r>
              <w:rPr>
                <w:rFonts w:hint="eastAsia" w:ascii="Times New Roman" w:hAnsi="Times New Roman"/>
                <w:color w:val="auto"/>
                <w:sz w:val="24"/>
                <w:szCs w:val="24"/>
              </w:rPr>
              <w:t>均</w:t>
            </w:r>
            <w:r>
              <w:rPr>
                <w:rFonts w:ascii="Times New Roman" w:hAnsi="Times New Roman"/>
                <w:color w:val="auto"/>
                <w:sz w:val="24"/>
                <w:szCs w:val="24"/>
              </w:rPr>
              <w:t>符合《污水综合排放标准》（GB8978-1996）</w:t>
            </w:r>
            <w:r>
              <w:rPr>
                <w:rFonts w:hint="eastAsia" w:ascii="Times New Roman" w:hAnsi="Times New Roman"/>
                <w:color w:val="auto"/>
                <w:sz w:val="24"/>
                <w:szCs w:val="24"/>
              </w:rPr>
              <w:t>表4中三级标准限值要求；氨氮监测结果符合《污水排入城镇下水道水质标准》（GB/T 31962-2015）B级标准限值要求。</w:t>
            </w:r>
          </w:p>
          <w:p w14:paraId="753F8CE3">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lang w:val="en-US" w:eastAsia="zh-CN"/>
              </w:rPr>
              <w:t>3</w:t>
            </w:r>
            <w:r>
              <w:rPr>
                <w:rFonts w:hint="eastAsia"/>
                <w:b w:val="0"/>
                <w:bCs w:val="0"/>
                <w:color w:val="auto"/>
                <w:sz w:val="24"/>
                <w:lang w:eastAsia="zh-CN"/>
              </w:rPr>
              <w:t>）</w:t>
            </w:r>
            <w:r>
              <w:rPr>
                <w:rFonts w:hint="eastAsia"/>
                <w:b w:val="0"/>
                <w:bCs w:val="0"/>
                <w:color w:val="auto"/>
                <w:sz w:val="24"/>
              </w:rPr>
              <w:t>噪声</w:t>
            </w:r>
          </w:p>
          <w:p w14:paraId="25602E1E">
            <w:pPr>
              <w:spacing w:line="360" w:lineRule="auto"/>
              <w:ind w:firstLine="480" w:firstLineChars="200"/>
              <w:rPr>
                <w:rFonts w:ascii="Times New Roman" w:hAnsi="Times New Roman"/>
                <w:color w:val="auto"/>
                <w:sz w:val="24"/>
                <w:szCs w:val="24"/>
              </w:rPr>
            </w:pPr>
            <w:bookmarkStart w:id="5" w:name="_Hlk84585289"/>
            <w:r>
              <w:rPr>
                <w:rFonts w:hint="eastAsia"/>
                <w:color w:val="auto"/>
                <w:sz w:val="24"/>
                <w:lang w:val="en-US" w:eastAsia="zh-CN"/>
              </w:rPr>
              <w:t>原有</w:t>
            </w:r>
            <w:r>
              <w:rPr>
                <w:rFonts w:ascii="Times New Roman" w:hAnsi="Times New Roman"/>
                <w:color w:val="auto"/>
                <w:sz w:val="24"/>
              </w:rPr>
              <w:t>项目噪声主要是设备运转时产生的设备噪声，主要设备为挤出机、发泡机</w:t>
            </w:r>
            <w:r>
              <w:rPr>
                <w:rFonts w:hint="eastAsia"/>
                <w:color w:val="auto"/>
                <w:sz w:val="24"/>
                <w:lang w:eastAsia="zh-CN"/>
              </w:rPr>
              <w:t>、</w:t>
            </w:r>
            <w:r>
              <w:rPr>
                <w:rFonts w:hint="eastAsia"/>
                <w:color w:val="auto"/>
                <w:sz w:val="24"/>
                <w:lang w:val="en-US" w:eastAsia="zh-CN"/>
              </w:rPr>
              <w:t>泵</w:t>
            </w:r>
            <w:r>
              <w:rPr>
                <w:rFonts w:ascii="Times New Roman" w:hAnsi="Times New Roman"/>
                <w:color w:val="auto"/>
                <w:sz w:val="24"/>
              </w:rPr>
              <w:t>及风机等</w:t>
            </w:r>
            <w:r>
              <w:rPr>
                <w:rFonts w:hint="eastAsia" w:hAnsi="宋体"/>
                <w:color w:val="auto"/>
                <w:sz w:val="24"/>
              </w:rPr>
              <w:t>，主要集中在车间内</w:t>
            </w:r>
            <w:r>
              <w:rPr>
                <w:rFonts w:ascii="Times New Roman" w:hAnsi="Times New Roman"/>
                <w:color w:val="auto"/>
                <w:sz w:val="24"/>
                <w:szCs w:val="24"/>
              </w:rPr>
              <w:t>。</w:t>
            </w:r>
            <w:bookmarkEnd w:id="5"/>
            <w:bookmarkStart w:id="6" w:name="_Hlk84585301"/>
            <w:r>
              <w:rPr>
                <w:rFonts w:hint="eastAsia" w:ascii="Times New Roman" w:hAnsi="Times New Roman"/>
                <w:color w:val="auto"/>
                <w:sz w:val="24"/>
                <w:szCs w:val="24"/>
              </w:rPr>
              <w:t>生产设备位于车间内，在车间内合理布局，</w:t>
            </w:r>
            <w:r>
              <w:rPr>
                <w:rFonts w:hint="eastAsia" w:ascii="Times New Roman" w:hAnsi="Times New Roman"/>
                <w:color w:val="auto"/>
                <w:sz w:val="24"/>
              </w:rPr>
              <w:t>利用厂房隔声</w:t>
            </w:r>
            <w:r>
              <w:rPr>
                <w:rFonts w:ascii="Times New Roman" w:hAnsi="Times New Roman"/>
                <w:color w:val="auto"/>
                <w:sz w:val="24"/>
              </w:rPr>
              <w:t>、</w:t>
            </w:r>
            <w:r>
              <w:rPr>
                <w:rFonts w:hint="eastAsia"/>
                <w:color w:val="auto"/>
                <w:sz w:val="24"/>
                <w:lang w:val="en-US" w:eastAsia="zh-CN"/>
              </w:rPr>
              <w:t>基础减振、</w:t>
            </w:r>
            <w:r>
              <w:rPr>
                <w:rFonts w:ascii="Times New Roman" w:hAnsi="Times New Roman"/>
                <w:color w:val="auto"/>
                <w:sz w:val="24"/>
              </w:rPr>
              <w:t>采取低噪声设备</w:t>
            </w:r>
            <w:r>
              <w:rPr>
                <w:rFonts w:hint="eastAsia" w:ascii="Times New Roman" w:hAnsi="Times New Roman"/>
                <w:color w:val="auto"/>
                <w:sz w:val="24"/>
                <w:szCs w:val="24"/>
              </w:rPr>
              <w:t>等措施降低噪声影响</w:t>
            </w:r>
            <w:r>
              <w:rPr>
                <w:rFonts w:ascii="Times New Roman" w:hAnsi="Times New Roman"/>
                <w:color w:val="auto"/>
                <w:sz w:val="24"/>
                <w:szCs w:val="24"/>
              </w:rPr>
              <w:t>。</w:t>
            </w:r>
          </w:p>
          <w:bookmarkEnd w:id="6"/>
          <w:p w14:paraId="680C275C">
            <w:pPr>
              <w:spacing w:line="360" w:lineRule="auto"/>
              <w:ind w:firstLine="480" w:firstLineChars="200"/>
              <w:rPr>
                <w:color w:val="auto"/>
                <w:sz w:val="24"/>
              </w:rPr>
            </w:pPr>
            <w:r>
              <w:rPr>
                <w:rFonts w:hint="eastAsia"/>
                <w:color w:val="auto"/>
                <w:sz w:val="24"/>
              </w:rPr>
              <w:t>根据验收监测报告，验收检测期间，</w:t>
            </w:r>
            <w:r>
              <w:rPr>
                <w:rFonts w:hint="eastAsia" w:ascii="Times New Roman" w:hAnsi="Times New Roman"/>
                <w:color w:val="auto"/>
                <w:sz w:val="24"/>
                <w:szCs w:val="24"/>
              </w:rPr>
              <w:t>项目东、西、北侧</w:t>
            </w:r>
            <w:r>
              <w:rPr>
                <w:rFonts w:ascii="Times New Roman" w:hAnsi="Times New Roman"/>
                <w:color w:val="auto"/>
                <w:sz w:val="24"/>
                <w:szCs w:val="24"/>
              </w:rPr>
              <w:t>厂界监测点昼间</w:t>
            </w:r>
            <w:r>
              <w:rPr>
                <w:rFonts w:hint="eastAsia" w:ascii="Times New Roman" w:hAnsi="Times New Roman"/>
                <w:color w:val="auto"/>
                <w:sz w:val="24"/>
                <w:szCs w:val="24"/>
                <w:lang w:eastAsia="zh-CN"/>
              </w:rPr>
              <w:t>、</w:t>
            </w:r>
            <w:r>
              <w:rPr>
                <w:rFonts w:ascii="Times New Roman" w:hAnsi="Times New Roman"/>
                <w:color w:val="auto"/>
                <w:sz w:val="24"/>
                <w:szCs w:val="24"/>
              </w:rPr>
              <w:t>夜间噪声</w:t>
            </w:r>
            <w:r>
              <w:rPr>
                <w:rFonts w:hint="eastAsia" w:ascii="Times New Roman" w:hAnsi="Times New Roman"/>
                <w:color w:val="auto"/>
                <w:sz w:val="24"/>
                <w:szCs w:val="24"/>
                <w:lang w:val="en-US" w:eastAsia="zh-CN"/>
              </w:rPr>
              <w:t>监测结果</w:t>
            </w:r>
            <w:r>
              <w:rPr>
                <w:rFonts w:ascii="Times New Roman" w:hAnsi="Times New Roman"/>
                <w:color w:val="auto"/>
                <w:sz w:val="24"/>
                <w:szCs w:val="24"/>
              </w:rPr>
              <w:t>均符合《工业企业厂界环境噪声排放标准》（GB 12348-2008）3类标准要求</w:t>
            </w:r>
            <w:r>
              <w:rPr>
                <w:rFonts w:hint="eastAsia" w:ascii="Times New Roman" w:hAnsi="Times New Roman"/>
                <w:color w:val="auto"/>
                <w:sz w:val="24"/>
                <w:szCs w:val="24"/>
              </w:rPr>
              <w:t>。</w:t>
            </w:r>
          </w:p>
          <w:p w14:paraId="73BA7017">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rPr>
              <w:t>4</w:t>
            </w:r>
            <w:r>
              <w:rPr>
                <w:rFonts w:hint="eastAsia"/>
                <w:b w:val="0"/>
                <w:bCs w:val="0"/>
                <w:color w:val="auto"/>
                <w:sz w:val="24"/>
                <w:lang w:eastAsia="zh-CN"/>
              </w:rPr>
              <w:t>）</w:t>
            </w:r>
            <w:r>
              <w:rPr>
                <w:rFonts w:hint="eastAsia"/>
                <w:b w:val="0"/>
                <w:bCs w:val="0"/>
                <w:color w:val="auto"/>
                <w:sz w:val="24"/>
              </w:rPr>
              <w:t>固废</w:t>
            </w:r>
          </w:p>
          <w:p w14:paraId="101BBE46">
            <w:pPr>
              <w:adjustRightInd w:val="0"/>
              <w:snapToGrid w:val="0"/>
              <w:spacing w:line="360" w:lineRule="auto"/>
              <w:ind w:firstLine="480" w:firstLineChars="200"/>
              <w:outlineLvl w:val="0"/>
              <w:rPr>
                <w:rFonts w:ascii="Times New Roman" w:hAnsi="Times New Roman"/>
                <w:color w:val="auto"/>
                <w:sz w:val="24"/>
              </w:rPr>
            </w:pPr>
            <w:r>
              <w:rPr>
                <w:rFonts w:hint="eastAsia"/>
                <w:color w:val="auto"/>
                <w:sz w:val="24"/>
                <w:lang w:val="en-US" w:eastAsia="zh-CN"/>
              </w:rPr>
              <w:t>原有</w:t>
            </w:r>
            <w:r>
              <w:rPr>
                <w:rFonts w:hint="eastAsia" w:ascii="Times New Roman" w:hAnsi="Times New Roman"/>
                <w:color w:val="auto"/>
                <w:sz w:val="24"/>
              </w:rPr>
              <w:t>项目运营期产生的固体废弃物主要包括</w:t>
            </w:r>
            <w:r>
              <w:rPr>
                <w:rFonts w:ascii="Times New Roman" w:hAnsi="Times New Roman"/>
                <w:color w:val="auto"/>
                <w:sz w:val="24"/>
              </w:rPr>
              <w:t>除尘</w:t>
            </w:r>
            <w:r>
              <w:rPr>
                <w:rFonts w:hint="eastAsia"/>
                <w:color w:val="auto"/>
                <w:sz w:val="24"/>
                <w:lang w:val="en-US" w:eastAsia="zh-CN"/>
              </w:rPr>
              <w:t>灰</w:t>
            </w:r>
            <w:r>
              <w:rPr>
                <w:rFonts w:ascii="Times New Roman" w:hAnsi="Times New Roman"/>
                <w:color w:val="auto"/>
                <w:sz w:val="24"/>
              </w:rPr>
              <w:t>、废包装桶/袋、废泡沫材料、</w:t>
            </w:r>
            <w:r>
              <w:rPr>
                <w:rFonts w:hint="eastAsia" w:ascii="Times New Roman" w:hAnsi="Times New Roman"/>
                <w:color w:val="auto"/>
                <w:sz w:val="24"/>
                <w:lang w:val="en-US" w:eastAsia="zh-CN"/>
              </w:rPr>
              <w:t>废边角料、</w:t>
            </w:r>
            <w:r>
              <w:rPr>
                <w:rFonts w:ascii="Times New Roman" w:hAnsi="Times New Roman"/>
                <w:color w:val="auto"/>
                <w:sz w:val="24"/>
              </w:rPr>
              <w:t>废活性炭、废机油及废含油抹布、手套、职工生活垃圾等</w:t>
            </w:r>
            <w:r>
              <w:rPr>
                <w:rFonts w:hint="eastAsia" w:ascii="Times New Roman" w:hAnsi="Times New Roman"/>
                <w:color w:val="auto"/>
                <w:sz w:val="24"/>
              </w:rPr>
              <w:t>。</w:t>
            </w:r>
          </w:p>
          <w:p w14:paraId="338A9EE3">
            <w:pPr>
              <w:adjustRightInd w:val="0"/>
              <w:snapToGrid w:val="0"/>
              <w:spacing w:line="360" w:lineRule="auto"/>
              <w:ind w:firstLine="480" w:firstLineChars="200"/>
              <w:outlineLvl w:val="0"/>
              <w:rPr>
                <w:rFonts w:ascii="Times New Roman" w:hAnsi="Times New Roman"/>
                <w:color w:val="auto"/>
                <w:sz w:val="24"/>
              </w:rPr>
            </w:pPr>
            <w:r>
              <w:rPr>
                <w:rFonts w:hint="eastAsia" w:ascii="Times New Roman" w:hAnsi="Times New Roman"/>
                <w:color w:val="auto"/>
                <w:sz w:val="24"/>
                <w:lang w:val="en-US" w:eastAsia="zh-CN"/>
              </w:rPr>
              <w:t>①</w:t>
            </w:r>
            <w:r>
              <w:rPr>
                <w:rFonts w:hint="eastAsia" w:ascii="Times New Roman" w:hAnsi="Times New Roman"/>
                <w:color w:val="auto"/>
                <w:sz w:val="24"/>
              </w:rPr>
              <w:t>生活垃圾：由环卫部门统一收集清运。</w:t>
            </w:r>
          </w:p>
          <w:p w14:paraId="18ACC89C">
            <w:pPr>
              <w:adjustRightInd w:val="0"/>
              <w:snapToGrid w:val="0"/>
              <w:spacing w:line="360" w:lineRule="auto"/>
              <w:ind w:firstLine="480" w:firstLineChars="200"/>
              <w:outlineLvl w:val="0"/>
              <w:rPr>
                <w:rFonts w:ascii="Times New Roman" w:hAnsi="Times New Roman"/>
                <w:color w:val="auto"/>
                <w:sz w:val="24"/>
              </w:rPr>
            </w:pPr>
            <w:r>
              <w:rPr>
                <w:rFonts w:hint="eastAsia"/>
                <w:color w:val="auto"/>
                <w:sz w:val="24"/>
                <w:lang w:val="en-US" w:eastAsia="zh-CN"/>
              </w:rPr>
              <w:t>②</w:t>
            </w:r>
            <w:r>
              <w:rPr>
                <w:rFonts w:ascii="Times New Roman" w:hAnsi="Times New Roman"/>
                <w:color w:val="auto"/>
                <w:sz w:val="24"/>
              </w:rPr>
              <w:t>除尘</w:t>
            </w:r>
            <w:r>
              <w:rPr>
                <w:rFonts w:hint="eastAsia"/>
                <w:color w:val="auto"/>
                <w:sz w:val="24"/>
                <w:lang w:val="en-US" w:eastAsia="zh-CN"/>
              </w:rPr>
              <w:t>灰、</w:t>
            </w:r>
            <w:r>
              <w:rPr>
                <w:rFonts w:ascii="Times New Roman" w:hAnsi="Times New Roman"/>
                <w:bCs/>
                <w:color w:val="auto"/>
                <w:sz w:val="24"/>
              </w:rPr>
              <w:t>废包装袋</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废边角料、</w:t>
            </w:r>
            <w:r>
              <w:rPr>
                <w:rFonts w:hint="eastAsia" w:ascii="Times New Roman" w:hAnsi="Times New Roman"/>
                <w:color w:val="auto"/>
                <w:sz w:val="24"/>
              </w:rPr>
              <w:t>废泡沫材料：集中收集后</w:t>
            </w:r>
            <w:r>
              <w:rPr>
                <w:rFonts w:hint="eastAsia"/>
                <w:color w:val="auto"/>
                <w:sz w:val="24"/>
                <w:lang w:val="en-US" w:eastAsia="zh-CN"/>
              </w:rPr>
              <w:t>定期外售</w:t>
            </w:r>
            <w:r>
              <w:rPr>
                <w:rFonts w:hint="eastAsia" w:ascii="Times New Roman" w:hAnsi="Times New Roman"/>
                <w:color w:val="auto"/>
                <w:sz w:val="24"/>
              </w:rPr>
              <w:t>。</w:t>
            </w:r>
          </w:p>
          <w:p w14:paraId="07BDD1DF">
            <w:pPr>
              <w:adjustRightInd w:val="0"/>
              <w:snapToGrid w:val="0"/>
              <w:spacing w:line="360" w:lineRule="auto"/>
              <w:ind w:firstLine="480" w:firstLineChars="200"/>
              <w:outlineLvl w:val="0"/>
              <w:rPr>
                <w:rFonts w:hint="eastAsia" w:ascii="Times New Roman" w:hAnsi="Times New Roman" w:eastAsia="宋体"/>
                <w:color w:val="auto"/>
                <w:sz w:val="24"/>
                <w:lang w:eastAsia="zh-CN"/>
              </w:rPr>
            </w:pPr>
            <w:r>
              <w:rPr>
                <w:rFonts w:hint="eastAsia"/>
                <w:color w:val="auto"/>
                <w:sz w:val="24"/>
                <w:lang w:val="en-US" w:eastAsia="zh-CN"/>
              </w:rPr>
              <w:t>③</w:t>
            </w:r>
            <w:r>
              <w:rPr>
                <w:rFonts w:hint="eastAsia" w:ascii="Times New Roman" w:hAnsi="Times New Roman"/>
                <w:color w:val="auto"/>
                <w:sz w:val="24"/>
              </w:rPr>
              <w:t>危险废物：废</w:t>
            </w:r>
            <w:r>
              <w:rPr>
                <w:rFonts w:hint="eastAsia"/>
                <w:color w:val="auto"/>
                <w:sz w:val="24"/>
                <w:lang w:val="en-US" w:eastAsia="zh-CN"/>
              </w:rPr>
              <w:t>包装桶收集后暂存于危废暂存间，委托陕西明瑞资源再生有限公司处置。</w:t>
            </w:r>
            <w:r>
              <w:rPr>
                <w:rFonts w:hint="eastAsia" w:ascii="Times New Roman" w:hAnsi="Times New Roman"/>
                <w:color w:val="auto"/>
                <w:sz w:val="24"/>
              </w:rPr>
              <w:t>废</w:t>
            </w:r>
            <w:r>
              <w:rPr>
                <w:rFonts w:hint="eastAsia"/>
                <w:color w:val="auto"/>
                <w:sz w:val="24"/>
                <w:lang w:val="en-US" w:eastAsia="zh-CN"/>
              </w:rPr>
              <w:t>机油、</w:t>
            </w:r>
            <w:r>
              <w:rPr>
                <w:rFonts w:hint="eastAsia" w:ascii="Times New Roman" w:hAnsi="Times New Roman"/>
                <w:color w:val="auto"/>
                <w:sz w:val="24"/>
              </w:rPr>
              <w:t>废活性炭</w:t>
            </w:r>
            <w:r>
              <w:rPr>
                <w:rFonts w:hint="eastAsia"/>
                <w:color w:val="auto"/>
                <w:sz w:val="24"/>
                <w:lang w:val="en-US" w:eastAsia="zh-CN"/>
              </w:rPr>
              <w:t>及废</w:t>
            </w:r>
            <w:r>
              <w:rPr>
                <w:rFonts w:hint="eastAsia" w:ascii="Times New Roman" w:hAnsi="Times New Roman"/>
                <w:color w:val="auto"/>
                <w:sz w:val="24"/>
              </w:rPr>
              <w:t>含油抹布、手套收集后暂存于危废暂存间，委托陕西环能科技有限公司处置</w:t>
            </w:r>
            <w:r>
              <w:rPr>
                <w:rFonts w:hint="eastAsia"/>
                <w:color w:val="auto"/>
                <w:sz w:val="24"/>
                <w:lang w:eastAsia="zh-CN"/>
              </w:rPr>
              <w:t>。</w:t>
            </w:r>
          </w:p>
          <w:p w14:paraId="3035FDAC">
            <w:pPr>
              <w:spacing w:line="360" w:lineRule="auto"/>
              <w:ind w:firstLine="480" w:firstLineChars="200"/>
              <w:rPr>
                <w:rFonts w:hint="default" w:eastAsia="宋体"/>
                <w:b w:val="0"/>
                <w:bCs w:val="0"/>
                <w:color w:val="auto"/>
                <w:sz w:val="24"/>
                <w:lang w:val="en-US" w:eastAsia="zh-CN"/>
              </w:rPr>
            </w:pPr>
            <w:r>
              <w:rPr>
                <w:rFonts w:hint="eastAsia"/>
                <w:b w:val="0"/>
                <w:bCs w:val="0"/>
                <w:color w:val="auto"/>
                <w:sz w:val="24"/>
                <w:lang w:val="en-US" w:eastAsia="zh-CN"/>
              </w:rPr>
              <w:t>（5</w:t>
            </w:r>
            <w:r>
              <w:rPr>
                <w:rFonts w:hint="eastAsia"/>
                <w:b w:val="0"/>
                <w:bCs w:val="0"/>
                <w:color w:val="auto"/>
                <w:sz w:val="24"/>
                <w:lang w:eastAsia="zh-CN"/>
              </w:rPr>
              <w:t>）</w:t>
            </w:r>
            <w:r>
              <w:rPr>
                <w:rFonts w:hint="eastAsia"/>
                <w:b w:val="0"/>
                <w:bCs w:val="0"/>
                <w:color w:val="auto"/>
                <w:sz w:val="24"/>
                <w:lang w:val="en-US" w:eastAsia="zh-CN"/>
              </w:rPr>
              <w:t>污染物排放统计</w:t>
            </w:r>
          </w:p>
          <w:p w14:paraId="181C8B1A">
            <w:pPr>
              <w:jc w:val="center"/>
              <w:rPr>
                <w:b/>
                <w:bCs/>
                <w:color w:val="auto"/>
                <w:sz w:val="24"/>
                <w:szCs w:val="32"/>
              </w:rPr>
            </w:pPr>
            <w:r>
              <w:rPr>
                <w:b/>
                <w:bCs/>
                <w:color w:val="auto"/>
                <w:sz w:val="24"/>
                <w:szCs w:val="32"/>
              </w:rPr>
              <w:t>表2-</w:t>
            </w:r>
            <w:r>
              <w:rPr>
                <w:rFonts w:hint="eastAsia"/>
                <w:b/>
                <w:bCs/>
                <w:color w:val="auto"/>
                <w:sz w:val="24"/>
                <w:szCs w:val="32"/>
                <w:lang w:val="en-US" w:eastAsia="zh-CN"/>
              </w:rPr>
              <w:t xml:space="preserve">8 </w:t>
            </w:r>
            <w:r>
              <w:rPr>
                <w:b/>
                <w:bCs/>
                <w:color w:val="auto"/>
                <w:sz w:val="24"/>
                <w:szCs w:val="32"/>
              </w:rPr>
              <w:t xml:space="preserve"> 原有项目污染物</w:t>
            </w:r>
            <w:r>
              <w:rPr>
                <w:rFonts w:hint="eastAsia"/>
                <w:b/>
                <w:bCs/>
                <w:color w:val="auto"/>
                <w:sz w:val="24"/>
                <w:szCs w:val="32"/>
              </w:rPr>
              <w:t>汇总</w:t>
            </w:r>
            <w:r>
              <w:rPr>
                <w:b/>
                <w:bCs/>
                <w:color w:val="auto"/>
                <w:sz w:val="24"/>
                <w:szCs w:val="32"/>
              </w:rPr>
              <w:t>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38"/>
              <w:gridCol w:w="1062"/>
              <w:gridCol w:w="2732"/>
              <w:gridCol w:w="1365"/>
              <w:gridCol w:w="1073"/>
            </w:tblGrid>
            <w:tr w14:paraId="240D6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7" w:type="dxa"/>
                  <w:noWrap w:val="0"/>
                  <w:vAlign w:val="center"/>
                </w:tcPr>
                <w:p w14:paraId="5FE2935B">
                  <w:pPr>
                    <w:pStyle w:val="79"/>
                    <w:adjustRightInd w:val="0"/>
                    <w:snapToGrid w:val="0"/>
                    <w:jc w:val="center"/>
                    <w:rPr>
                      <w:b/>
                      <w:bCs/>
                      <w:color w:val="auto"/>
                      <w:szCs w:val="21"/>
                    </w:rPr>
                  </w:pPr>
                  <w:r>
                    <w:rPr>
                      <w:b/>
                      <w:bCs/>
                      <w:color w:val="auto"/>
                      <w:szCs w:val="21"/>
                    </w:rPr>
                    <w:t>污染物种类</w:t>
                  </w:r>
                </w:p>
              </w:tc>
              <w:tc>
                <w:tcPr>
                  <w:tcW w:w="2000" w:type="dxa"/>
                  <w:gridSpan w:val="2"/>
                  <w:noWrap w:val="0"/>
                  <w:vAlign w:val="center"/>
                </w:tcPr>
                <w:p w14:paraId="3E8E1BA9">
                  <w:pPr>
                    <w:pStyle w:val="79"/>
                    <w:adjustRightInd w:val="0"/>
                    <w:snapToGrid w:val="0"/>
                    <w:jc w:val="center"/>
                    <w:rPr>
                      <w:b/>
                      <w:bCs/>
                      <w:color w:val="auto"/>
                      <w:szCs w:val="21"/>
                    </w:rPr>
                  </w:pPr>
                  <w:r>
                    <w:rPr>
                      <w:b/>
                      <w:bCs/>
                      <w:color w:val="auto"/>
                      <w:szCs w:val="21"/>
                    </w:rPr>
                    <w:t>排放污染物项目</w:t>
                  </w:r>
                </w:p>
              </w:tc>
              <w:tc>
                <w:tcPr>
                  <w:tcW w:w="2732" w:type="dxa"/>
                  <w:noWrap w:val="0"/>
                  <w:vAlign w:val="center"/>
                </w:tcPr>
                <w:p w14:paraId="5E54CD96">
                  <w:pPr>
                    <w:pStyle w:val="79"/>
                    <w:adjustRightInd w:val="0"/>
                    <w:snapToGrid w:val="0"/>
                    <w:jc w:val="center"/>
                    <w:rPr>
                      <w:b/>
                      <w:bCs/>
                      <w:color w:val="auto"/>
                      <w:szCs w:val="21"/>
                    </w:rPr>
                  </w:pPr>
                  <w:r>
                    <w:rPr>
                      <w:b/>
                      <w:bCs/>
                      <w:color w:val="auto"/>
                      <w:szCs w:val="21"/>
                    </w:rPr>
                    <w:t>治理措施</w:t>
                  </w:r>
                </w:p>
              </w:tc>
              <w:tc>
                <w:tcPr>
                  <w:tcW w:w="1365" w:type="dxa"/>
                  <w:noWrap w:val="0"/>
                  <w:vAlign w:val="center"/>
                </w:tcPr>
                <w:p w14:paraId="3B8E9DBA">
                  <w:pPr>
                    <w:pStyle w:val="79"/>
                    <w:adjustRightInd w:val="0"/>
                    <w:snapToGrid w:val="0"/>
                    <w:jc w:val="center"/>
                    <w:rPr>
                      <w:b/>
                      <w:bCs/>
                      <w:color w:val="auto"/>
                      <w:szCs w:val="21"/>
                    </w:rPr>
                  </w:pPr>
                  <w:r>
                    <w:rPr>
                      <w:b/>
                      <w:bCs/>
                      <w:color w:val="auto"/>
                      <w:szCs w:val="21"/>
                    </w:rPr>
                    <w:t>排放方式</w:t>
                  </w:r>
                </w:p>
              </w:tc>
              <w:tc>
                <w:tcPr>
                  <w:tcW w:w="1073" w:type="dxa"/>
                  <w:noWrap w:val="0"/>
                  <w:vAlign w:val="center"/>
                </w:tcPr>
                <w:p w14:paraId="4D296399">
                  <w:pPr>
                    <w:pStyle w:val="79"/>
                    <w:adjustRightInd w:val="0"/>
                    <w:snapToGrid w:val="0"/>
                    <w:jc w:val="center"/>
                    <w:rPr>
                      <w:b/>
                      <w:bCs/>
                      <w:color w:val="auto"/>
                      <w:szCs w:val="21"/>
                    </w:rPr>
                  </w:pPr>
                  <w:r>
                    <w:rPr>
                      <w:b/>
                      <w:bCs/>
                      <w:color w:val="auto"/>
                      <w:szCs w:val="21"/>
                    </w:rPr>
                    <w:t>排放量</w:t>
                  </w:r>
                  <w:r>
                    <w:rPr>
                      <w:rFonts w:hint="eastAsia"/>
                      <w:b/>
                      <w:bCs/>
                      <w:color w:val="auto"/>
                      <w:szCs w:val="21"/>
                    </w:rPr>
                    <w:t>(</w:t>
                  </w:r>
                  <w:r>
                    <w:rPr>
                      <w:b/>
                      <w:bCs/>
                      <w:color w:val="auto"/>
                      <w:szCs w:val="21"/>
                    </w:rPr>
                    <w:t>t/a)</w:t>
                  </w:r>
                </w:p>
              </w:tc>
            </w:tr>
            <w:tr w14:paraId="2C6BC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7" w:type="dxa"/>
                  <w:vMerge w:val="restart"/>
                  <w:noWrap w:val="0"/>
                  <w:vAlign w:val="center"/>
                </w:tcPr>
                <w:p w14:paraId="3C515B90">
                  <w:pPr>
                    <w:pStyle w:val="79"/>
                    <w:adjustRightInd w:val="0"/>
                    <w:snapToGrid w:val="0"/>
                    <w:jc w:val="center"/>
                    <w:rPr>
                      <w:bCs/>
                      <w:color w:val="auto"/>
                      <w:szCs w:val="21"/>
                    </w:rPr>
                  </w:pPr>
                  <w:r>
                    <w:rPr>
                      <w:bCs/>
                      <w:color w:val="auto"/>
                      <w:szCs w:val="21"/>
                    </w:rPr>
                    <w:t>废气</w:t>
                  </w:r>
                </w:p>
              </w:tc>
              <w:tc>
                <w:tcPr>
                  <w:tcW w:w="938" w:type="dxa"/>
                  <w:noWrap w:val="0"/>
                  <w:vAlign w:val="center"/>
                </w:tcPr>
                <w:p w14:paraId="2C2EDF7D">
                  <w:pPr>
                    <w:pStyle w:val="79"/>
                    <w:adjustRightInd w:val="0"/>
                    <w:snapToGrid w:val="0"/>
                    <w:jc w:val="center"/>
                    <w:rPr>
                      <w:rFonts w:hint="default" w:eastAsia="宋体"/>
                      <w:bCs/>
                      <w:color w:val="auto"/>
                      <w:szCs w:val="21"/>
                      <w:lang w:val="en-US" w:eastAsia="zh-CN"/>
                    </w:rPr>
                  </w:pPr>
                  <w:r>
                    <w:rPr>
                      <w:rFonts w:hint="eastAsia"/>
                      <w:bCs/>
                      <w:color w:val="auto"/>
                      <w:szCs w:val="21"/>
                      <w:lang w:val="en-US" w:eastAsia="zh-CN"/>
                    </w:rPr>
                    <w:t>原料混合废气</w:t>
                  </w:r>
                </w:p>
              </w:tc>
              <w:tc>
                <w:tcPr>
                  <w:tcW w:w="1062" w:type="dxa"/>
                  <w:noWrap w:val="0"/>
                  <w:vAlign w:val="center"/>
                </w:tcPr>
                <w:p w14:paraId="2536E939">
                  <w:pPr>
                    <w:pStyle w:val="79"/>
                    <w:adjustRightInd w:val="0"/>
                    <w:snapToGrid w:val="0"/>
                    <w:jc w:val="center"/>
                    <w:rPr>
                      <w:bCs/>
                      <w:color w:val="auto"/>
                      <w:szCs w:val="21"/>
                    </w:rPr>
                  </w:pPr>
                  <w:r>
                    <w:rPr>
                      <w:rFonts w:hint="eastAsia"/>
                      <w:bCs/>
                      <w:color w:val="auto"/>
                      <w:szCs w:val="21"/>
                    </w:rPr>
                    <w:t>颗粒物</w:t>
                  </w:r>
                </w:p>
              </w:tc>
              <w:tc>
                <w:tcPr>
                  <w:tcW w:w="2732" w:type="dxa"/>
                  <w:noWrap w:val="0"/>
                  <w:vAlign w:val="center"/>
                </w:tcPr>
                <w:p w14:paraId="35E936F7">
                  <w:pPr>
                    <w:pStyle w:val="79"/>
                    <w:adjustRightInd w:val="0"/>
                    <w:snapToGrid w:val="0"/>
                    <w:jc w:val="center"/>
                    <w:rPr>
                      <w:rFonts w:hint="default" w:eastAsia="宋体"/>
                      <w:bCs/>
                      <w:color w:val="auto"/>
                      <w:szCs w:val="21"/>
                      <w:lang w:val="en-US" w:eastAsia="zh-CN"/>
                    </w:rPr>
                  </w:pPr>
                  <w:r>
                    <w:rPr>
                      <w:rFonts w:hint="eastAsia"/>
                      <w:bCs/>
                      <w:color w:val="auto"/>
                      <w:szCs w:val="21"/>
                      <w:lang w:val="en-US" w:eastAsia="zh-CN"/>
                    </w:rPr>
                    <w:t>设备密闭</w:t>
                  </w:r>
                </w:p>
              </w:tc>
              <w:tc>
                <w:tcPr>
                  <w:tcW w:w="1365" w:type="dxa"/>
                  <w:noWrap w:val="0"/>
                  <w:vAlign w:val="center"/>
                </w:tcPr>
                <w:p w14:paraId="620DADC8">
                  <w:pPr>
                    <w:pStyle w:val="79"/>
                    <w:adjustRightInd w:val="0"/>
                    <w:snapToGrid w:val="0"/>
                    <w:jc w:val="center"/>
                    <w:rPr>
                      <w:bCs/>
                      <w:color w:val="auto"/>
                      <w:szCs w:val="21"/>
                    </w:rPr>
                  </w:pPr>
                  <w:r>
                    <w:rPr>
                      <w:rFonts w:hint="eastAsia"/>
                      <w:bCs/>
                      <w:color w:val="auto"/>
                      <w:szCs w:val="21"/>
                      <w:lang w:val="en-US" w:eastAsia="zh-CN"/>
                    </w:rPr>
                    <w:t>无</w:t>
                  </w:r>
                  <w:r>
                    <w:rPr>
                      <w:rFonts w:hint="eastAsia"/>
                      <w:bCs/>
                      <w:color w:val="auto"/>
                      <w:szCs w:val="21"/>
                    </w:rPr>
                    <w:t>组织排放</w:t>
                  </w:r>
                </w:p>
              </w:tc>
              <w:tc>
                <w:tcPr>
                  <w:tcW w:w="1073" w:type="dxa"/>
                  <w:noWrap w:val="0"/>
                  <w:vAlign w:val="center"/>
                </w:tcPr>
                <w:p w14:paraId="478EB4E7">
                  <w:pPr>
                    <w:adjustRightInd w:val="0"/>
                    <w:snapToGrid w:val="0"/>
                    <w:jc w:val="center"/>
                    <w:rPr>
                      <w:rFonts w:hint="eastAsia" w:eastAsia="宋体"/>
                      <w:color w:val="auto"/>
                      <w:szCs w:val="21"/>
                      <w:lang w:eastAsia="zh-CN"/>
                    </w:rPr>
                  </w:pPr>
                  <w:r>
                    <w:rPr>
                      <w:rFonts w:hint="eastAsia"/>
                      <w:color w:val="auto"/>
                      <w:szCs w:val="21"/>
                      <w:lang w:val="en-US" w:eastAsia="zh-CN"/>
                    </w:rPr>
                    <w:t>少量</w:t>
                  </w:r>
                </w:p>
              </w:tc>
            </w:tr>
            <w:tr w14:paraId="56F60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7" w:type="dxa"/>
                  <w:vMerge w:val="continue"/>
                  <w:noWrap w:val="0"/>
                  <w:vAlign w:val="center"/>
                </w:tcPr>
                <w:p w14:paraId="2DD28688">
                  <w:pPr>
                    <w:pStyle w:val="79"/>
                    <w:adjustRightInd w:val="0"/>
                    <w:snapToGrid w:val="0"/>
                    <w:jc w:val="center"/>
                    <w:rPr>
                      <w:bCs/>
                      <w:color w:val="auto"/>
                      <w:szCs w:val="21"/>
                    </w:rPr>
                  </w:pPr>
                </w:p>
              </w:tc>
              <w:tc>
                <w:tcPr>
                  <w:tcW w:w="938" w:type="dxa"/>
                  <w:noWrap w:val="0"/>
                  <w:vAlign w:val="center"/>
                </w:tcPr>
                <w:p w14:paraId="139E15BD">
                  <w:pPr>
                    <w:pStyle w:val="79"/>
                    <w:adjustRightInd w:val="0"/>
                    <w:snapToGrid w:val="0"/>
                    <w:jc w:val="center"/>
                    <w:rPr>
                      <w:rFonts w:hint="default" w:eastAsia="宋体"/>
                      <w:color w:val="auto"/>
                      <w:szCs w:val="21"/>
                      <w:lang w:val="en-US" w:eastAsia="zh-CN"/>
                    </w:rPr>
                  </w:pPr>
                  <w:r>
                    <w:rPr>
                      <w:rFonts w:hint="eastAsia"/>
                      <w:color w:val="auto"/>
                      <w:szCs w:val="21"/>
                      <w:lang w:val="en-US" w:eastAsia="zh-CN"/>
                    </w:rPr>
                    <w:t>挤出废气</w:t>
                  </w:r>
                </w:p>
              </w:tc>
              <w:tc>
                <w:tcPr>
                  <w:tcW w:w="1062" w:type="dxa"/>
                  <w:noWrap w:val="0"/>
                  <w:vAlign w:val="center"/>
                </w:tcPr>
                <w:p w14:paraId="1A0ED82A">
                  <w:pPr>
                    <w:pStyle w:val="79"/>
                    <w:adjustRightInd w:val="0"/>
                    <w:snapToGrid w:val="0"/>
                    <w:jc w:val="center"/>
                    <w:rPr>
                      <w:rFonts w:hint="default" w:eastAsia="宋体"/>
                      <w:bCs/>
                      <w:color w:val="auto"/>
                      <w:szCs w:val="21"/>
                      <w:lang w:val="en-US" w:eastAsia="zh-CN"/>
                    </w:rPr>
                  </w:pPr>
                  <w:r>
                    <w:rPr>
                      <w:rFonts w:hint="eastAsia"/>
                      <w:bCs/>
                      <w:color w:val="auto"/>
                      <w:szCs w:val="21"/>
                      <w:lang w:val="en-US" w:eastAsia="zh-CN"/>
                    </w:rPr>
                    <w:t>非甲烷总烃</w:t>
                  </w:r>
                </w:p>
              </w:tc>
              <w:tc>
                <w:tcPr>
                  <w:tcW w:w="2732" w:type="dxa"/>
                  <w:noWrap w:val="0"/>
                  <w:vAlign w:val="center"/>
                </w:tcPr>
                <w:p w14:paraId="4E2D4480">
                  <w:pPr>
                    <w:adjustRightInd w:val="0"/>
                    <w:snapToGrid w:val="0"/>
                    <w:jc w:val="center"/>
                    <w:rPr>
                      <w:color w:val="auto"/>
                      <w:szCs w:val="21"/>
                    </w:rPr>
                  </w:pPr>
                  <w:r>
                    <w:rPr>
                      <w:rFonts w:hint="eastAsia"/>
                      <w:color w:val="auto"/>
                      <w:szCs w:val="21"/>
                      <w:lang w:val="en-US" w:eastAsia="zh-CN"/>
                    </w:rPr>
                    <w:t>集气罩+活性炭+15m排气筒</w:t>
                  </w:r>
                </w:p>
              </w:tc>
              <w:tc>
                <w:tcPr>
                  <w:tcW w:w="1365" w:type="dxa"/>
                  <w:noWrap w:val="0"/>
                  <w:vAlign w:val="center"/>
                </w:tcPr>
                <w:p w14:paraId="6D275AC3">
                  <w:pPr>
                    <w:adjustRightInd w:val="0"/>
                    <w:snapToGrid w:val="0"/>
                    <w:jc w:val="center"/>
                    <w:rPr>
                      <w:rFonts w:hint="default" w:eastAsia="宋体"/>
                      <w:color w:val="auto"/>
                      <w:szCs w:val="21"/>
                      <w:lang w:val="en-US" w:eastAsia="zh-CN"/>
                    </w:rPr>
                  </w:pPr>
                  <w:r>
                    <w:rPr>
                      <w:rFonts w:hint="eastAsia"/>
                      <w:color w:val="auto"/>
                      <w:szCs w:val="21"/>
                      <w:lang w:val="en-US" w:eastAsia="zh-CN"/>
                    </w:rPr>
                    <w:t>有</w:t>
                  </w:r>
                  <w:r>
                    <w:rPr>
                      <w:rFonts w:hint="eastAsia"/>
                      <w:color w:val="auto"/>
                      <w:szCs w:val="21"/>
                    </w:rPr>
                    <w:t>组织</w:t>
                  </w:r>
                  <w:r>
                    <w:rPr>
                      <w:rFonts w:hint="eastAsia"/>
                      <w:color w:val="auto"/>
                      <w:szCs w:val="21"/>
                      <w:lang w:val="en-US" w:eastAsia="zh-CN"/>
                    </w:rPr>
                    <w:t>和无组织</w:t>
                  </w:r>
                  <w:r>
                    <w:rPr>
                      <w:rFonts w:hint="eastAsia"/>
                      <w:color w:val="auto"/>
                      <w:szCs w:val="21"/>
                    </w:rPr>
                    <w:t>排放</w:t>
                  </w:r>
                </w:p>
              </w:tc>
              <w:tc>
                <w:tcPr>
                  <w:tcW w:w="1073" w:type="dxa"/>
                  <w:noWrap w:val="0"/>
                  <w:vAlign w:val="center"/>
                </w:tcPr>
                <w:p w14:paraId="7C2C5B80">
                  <w:pPr>
                    <w:adjustRightInd w:val="0"/>
                    <w:snapToGrid w:val="0"/>
                    <w:jc w:val="center"/>
                    <w:rPr>
                      <w:rFonts w:hint="default" w:eastAsia="宋体"/>
                      <w:color w:val="auto"/>
                      <w:szCs w:val="21"/>
                      <w:lang w:val="en-US" w:eastAsia="zh-CN"/>
                    </w:rPr>
                  </w:pPr>
                  <w:r>
                    <w:rPr>
                      <w:rFonts w:hint="eastAsia"/>
                      <w:color w:val="auto"/>
                      <w:szCs w:val="21"/>
                      <w:lang w:val="en-US" w:eastAsia="zh-CN"/>
                    </w:rPr>
                    <w:t>0.548</w:t>
                  </w:r>
                </w:p>
              </w:tc>
            </w:tr>
            <w:tr w14:paraId="2263A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7" w:type="dxa"/>
                  <w:vMerge w:val="continue"/>
                  <w:noWrap w:val="0"/>
                  <w:vAlign w:val="center"/>
                </w:tcPr>
                <w:p w14:paraId="5AF9E025">
                  <w:pPr>
                    <w:pStyle w:val="79"/>
                    <w:adjustRightInd w:val="0"/>
                    <w:snapToGrid w:val="0"/>
                    <w:jc w:val="center"/>
                    <w:rPr>
                      <w:bCs/>
                      <w:color w:val="auto"/>
                      <w:szCs w:val="21"/>
                    </w:rPr>
                  </w:pPr>
                </w:p>
              </w:tc>
              <w:tc>
                <w:tcPr>
                  <w:tcW w:w="938" w:type="dxa"/>
                  <w:shd w:val="clear" w:color="auto" w:fill="auto"/>
                  <w:noWrap w:val="0"/>
                  <w:vAlign w:val="center"/>
                </w:tcPr>
                <w:p w14:paraId="24D981E4">
                  <w:pPr>
                    <w:pStyle w:val="79"/>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发泡废气</w:t>
                  </w:r>
                </w:p>
              </w:tc>
              <w:tc>
                <w:tcPr>
                  <w:tcW w:w="1062" w:type="dxa"/>
                  <w:shd w:val="clear" w:color="auto" w:fill="auto"/>
                  <w:noWrap w:val="0"/>
                  <w:vAlign w:val="center"/>
                </w:tcPr>
                <w:p w14:paraId="41365BBF">
                  <w:pPr>
                    <w:pStyle w:val="79"/>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非甲烷总烃</w:t>
                  </w:r>
                </w:p>
              </w:tc>
              <w:tc>
                <w:tcPr>
                  <w:tcW w:w="2732" w:type="dxa"/>
                  <w:shd w:val="clear" w:color="auto" w:fill="auto"/>
                  <w:noWrap w:val="0"/>
                  <w:vAlign w:val="center"/>
                </w:tcPr>
                <w:p w14:paraId="6B11AA1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集气罩+活性炭+15m排气筒</w:t>
                  </w:r>
                </w:p>
              </w:tc>
              <w:tc>
                <w:tcPr>
                  <w:tcW w:w="1365" w:type="dxa"/>
                  <w:shd w:val="clear" w:color="auto" w:fill="auto"/>
                  <w:noWrap w:val="0"/>
                  <w:vAlign w:val="center"/>
                </w:tcPr>
                <w:p w14:paraId="5E8F2F8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有</w:t>
                  </w:r>
                  <w:r>
                    <w:rPr>
                      <w:rFonts w:hint="eastAsia"/>
                      <w:color w:val="auto"/>
                      <w:szCs w:val="21"/>
                    </w:rPr>
                    <w:t>组织</w:t>
                  </w:r>
                  <w:r>
                    <w:rPr>
                      <w:rFonts w:hint="eastAsia"/>
                      <w:color w:val="auto"/>
                      <w:szCs w:val="21"/>
                      <w:lang w:val="en-US" w:eastAsia="zh-CN"/>
                    </w:rPr>
                    <w:t>和无组织</w:t>
                  </w:r>
                  <w:r>
                    <w:rPr>
                      <w:rFonts w:hint="eastAsia"/>
                      <w:color w:val="auto"/>
                      <w:szCs w:val="21"/>
                    </w:rPr>
                    <w:t>排放</w:t>
                  </w:r>
                </w:p>
              </w:tc>
              <w:tc>
                <w:tcPr>
                  <w:tcW w:w="1073" w:type="dxa"/>
                  <w:shd w:val="clear" w:color="auto" w:fill="auto"/>
                  <w:noWrap w:val="0"/>
                  <w:vAlign w:val="center"/>
                </w:tcPr>
                <w:p w14:paraId="47687DD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0</w:t>
                  </w:r>
                  <w:r>
                    <w:rPr>
                      <w:rFonts w:ascii="Times New Roman" w:hAnsi="Times New Roman"/>
                      <w:color w:val="auto"/>
                      <w:szCs w:val="21"/>
                    </w:rPr>
                    <w:t>.</w:t>
                  </w:r>
                  <w:r>
                    <w:rPr>
                      <w:rFonts w:hint="eastAsia"/>
                      <w:color w:val="auto"/>
                      <w:szCs w:val="21"/>
                      <w:lang w:val="en-US" w:eastAsia="zh-CN"/>
                    </w:rPr>
                    <w:t>267</w:t>
                  </w:r>
                </w:p>
              </w:tc>
            </w:tr>
            <w:tr w14:paraId="287F2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292D93E6">
                  <w:pPr>
                    <w:pStyle w:val="79"/>
                    <w:adjustRightInd w:val="0"/>
                    <w:snapToGrid w:val="0"/>
                    <w:jc w:val="center"/>
                    <w:rPr>
                      <w:bCs/>
                      <w:color w:val="auto"/>
                      <w:szCs w:val="21"/>
                    </w:rPr>
                  </w:pPr>
                </w:p>
              </w:tc>
              <w:tc>
                <w:tcPr>
                  <w:tcW w:w="938" w:type="dxa"/>
                  <w:shd w:val="clear" w:color="auto" w:fill="auto"/>
                  <w:noWrap w:val="0"/>
                  <w:vAlign w:val="center"/>
                </w:tcPr>
                <w:p w14:paraId="39868364">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除锈</w:t>
                  </w:r>
                  <w:r>
                    <w:rPr>
                      <w:rFonts w:hint="eastAsia" w:ascii="Times New Roman" w:hAnsi="Times New Roman"/>
                      <w:color w:val="auto"/>
                      <w:szCs w:val="21"/>
                      <w:lang w:val="en-US" w:eastAsia="zh-CN"/>
                    </w:rPr>
                    <w:t>废气</w:t>
                  </w:r>
                </w:p>
              </w:tc>
              <w:tc>
                <w:tcPr>
                  <w:tcW w:w="1062" w:type="dxa"/>
                  <w:shd w:val="clear" w:color="auto" w:fill="auto"/>
                  <w:noWrap w:val="0"/>
                  <w:vAlign w:val="center"/>
                </w:tcPr>
                <w:p w14:paraId="14B3EF2D">
                  <w:pPr>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颗粒物</w:t>
                  </w:r>
                </w:p>
              </w:tc>
              <w:tc>
                <w:tcPr>
                  <w:tcW w:w="2732" w:type="dxa"/>
                  <w:noWrap w:val="0"/>
                  <w:vAlign w:val="center"/>
                </w:tcPr>
                <w:p w14:paraId="3F6F59F1">
                  <w:pPr>
                    <w:adjustRightInd w:val="0"/>
                    <w:snapToGrid w:val="0"/>
                    <w:jc w:val="center"/>
                    <w:rPr>
                      <w:rFonts w:hint="default" w:eastAsia="宋体"/>
                      <w:color w:val="auto"/>
                      <w:szCs w:val="21"/>
                      <w:lang w:val="en-US" w:eastAsia="zh-CN"/>
                    </w:rPr>
                  </w:pPr>
                  <w:r>
                    <w:rPr>
                      <w:rFonts w:hint="eastAsia" w:ascii="Times New Roman" w:hAnsi="Times New Roman"/>
                      <w:color w:val="auto"/>
                      <w:szCs w:val="21"/>
                    </w:rPr>
                    <w:t>布袋除尘器</w:t>
                  </w:r>
                  <w:r>
                    <w:rPr>
                      <w:rFonts w:ascii="Times New Roman" w:hAnsi="Times New Roman"/>
                      <w:color w:val="auto"/>
                      <w:szCs w:val="21"/>
                    </w:rPr>
                    <w:t>+1</w:t>
                  </w:r>
                  <w:r>
                    <w:rPr>
                      <w:rFonts w:hint="eastAsia" w:ascii="Times New Roman" w:hAnsi="Times New Roman"/>
                      <w:color w:val="auto"/>
                      <w:szCs w:val="21"/>
                    </w:rPr>
                    <w:t>7</w:t>
                  </w:r>
                  <w:r>
                    <w:rPr>
                      <w:rFonts w:ascii="Times New Roman" w:hAnsi="Times New Roman"/>
                      <w:color w:val="auto"/>
                      <w:szCs w:val="21"/>
                    </w:rPr>
                    <w:t>m排气筒</w:t>
                  </w:r>
                </w:p>
              </w:tc>
              <w:tc>
                <w:tcPr>
                  <w:tcW w:w="1365" w:type="dxa"/>
                  <w:noWrap w:val="0"/>
                  <w:vAlign w:val="center"/>
                </w:tcPr>
                <w:p w14:paraId="0B630A84">
                  <w:pPr>
                    <w:adjustRightInd w:val="0"/>
                    <w:snapToGrid w:val="0"/>
                    <w:jc w:val="center"/>
                    <w:rPr>
                      <w:rFonts w:hint="default" w:eastAsia="宋体"/>
                      <w:color w:val="auto"/>
                      <w:szCs w:val="21"/>
                      <w:lang w:val="en-US" w:eastAsia="zh-CN"/>
                    </w:rPr>
                  </w:pPr>
                  <w:r>
                    <w:rPr>
                      <w:rFonts w:hint="eastAsia"/>
                      <w:color w:val="auto"/>
                      <w:szCs w:val="21"/>
                      <w:lang w:val="en-US" w:eastAsia="zh-CN"/>
                    </w:rPr>
                    <w:t>有组织排放</w:t>
                  </w:r>
                </w:p>
              </w:tc>
              <w:tc>
                <w:tcPr>
                  <w:tcW w:w="1073" w:type="dxa"/>
                  <w:noWrap w:val="0"/>
                  <w:vAlign w:val="center"/>
                </w:tcPr>
                <w:p w14:paraId="5636AA56">
                  <w:pPr>
                    <w:adjustRightInd w:val="0"/>
                    <w:snapToGrid w:val="0"/>
                    <w:jc w:val="center"/>
                    <w:rPr>
                      <w:rFonts w:hint="default" w:eastAsia="宋体"/>
                      <w:color w:val="auto"/>
                      <w:szCs w:val="21"/>
                      <w:lang w:val="en-US" w:eastAsia="zh-CN"/>
                    </w:rPr>
                  </w:pPr>
                  <w:r>
                    <w:rPr>
                      <w:rFonts w:hint="eastAsia"/>
                      <w:color w:val="auto"/>
                      <w:szCs w:val="21"/>
                      <w:lang w:val="en-US" w:eastAsia="zh-CN"/>
                    </w:rPr>
                    <w:t>0.066</w:t>
                  </w:r>
                </w:p>
              </w:tc>
            </w:tr>
            <w:tr w14:paraId="762A8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restart"/>
                  <w:noWrap w:val="0"/>
                  <w:vAlign w:val="center"/>
                </w:tcPr>
                <w:p w14:paraId="0E5A2D4A">
                  <w:pPr>
                    <w:widowControl/>
                    <w:adjustRightInd w:val="0"/>
                    <w:snapToGrid w:val="0"/>
                    <w:jc w:val="center"/>
                    <w:rPr>
                      <w:bCs/>
                      <w:color w:val="auto"/>
                      <w:szCs w:val="21"/>
                    </w:rPr>
                  </w:pPr>
                  <w:r>
                    <w:rPr>
                      <w:bCs/>
                      <w:color w:val="auto"/>
                      <w:szCs w:val="21"/>
                    </w:rPr>
                    <w:t>废水</w:t>
                  </w:r>
                </w:p>
              </w:tc>
              <w:tc>
                <w:tcPr>
                  <w:tcW w:w="938" w:type="dxa"/>
                  <w:vMerge w:val="restart"/>
                  <w:noWrap w:val="0"/>
                  <w:vAlign w:val="center"/>
                </w:tcPr>
                <w:p w14:paraId="642F7927">
                  <w:pPr>
                    <w:pStyle w:val="79"/>
                    <w:adjustRightInd w:val="0"/>
                    <w:snapToGrid w:val="0"/>
                    <w:jc w:val="center"/>
                    <w:rPr>
                      <w:color w:val="auto"/>
                      <w:szCs w:val="21"/>
                    </w:rPr>
                  </w:pPr>
                  <w:r>
                    <w:rPr>
                      <w:color w:val="auto"/>
                      <w:szCs w:val="21"/>
                    </w:rPr>
                    <w:t>生活污水</w:t>
                  </w:r>
                </w:p>
              </w:tc>
              <w:tc>
                <w:tcPr>
                  <w:tcW w:w="1062" w:type="dxa"/>
                  <w:noWrap w:val="0"/>
                  <w:vAlign w:val="center"/>
                </w:tcPr>
                <w:p w14:paraId="458226FB">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COD</w:t>
                  </w:r>
                </w:p>
              </w:tc>
              <w:tc>
                <w:tcPr>
                  <w:tcW w:w="2732" w:type="dxa"/>
                  <w:vMerge w:val="restart"/>
                  <w:noWrap w:val="0"/>
                  <w:vAlign w:val="center"/>
                </w:tcPr>
                <w:p w14:paraId="78D70D21">
                  <w:pPr>
                    <w:adjustRightInd w:val="0"/>
                    <w:snapToGrid w:val="0"/>
                    <w:jc w:val="center"/>
                    <w:rPr>
                      <w:color w:val="auto"/>
                      <w:szCs w:val="21"/>
                    </w:rPr>
                  </w:pPr>
                  <w:r>
                    <w:rPr>
                      <w:color w:val="auto"/>
                      <w:szCs w:val="21"/>
                    </w:rPr>
                    <w:t>化粪池</w:t>
                  </w:r>
                </w:p>
              </w:tc>
              <w:tc>
                <w:tcPr>
                  <w:tcW w:w="1365" w:type="dxa"/>
                  <w:vMerge w:val="restart"/>
                  <w:noWrap w:val="0"/>
                  <w:vAlign w:val="center"/>
                </w:tcPr>
                <w:p w14:paraId="6D3BDC07">
                  <w:pPr>
                    <w:pStyle w:val="79"/>
                    <w:adjustRightInd w:val="0"/>
                    <w:snapToGrid w:val="0"/>
                    <w:jc w:val="center"/>
                    <w:rPr>
                      <w:rFonts w:hint="eastAsia" w:eastAsia="宋体"/>
                      <w:bCs/>
                      <w:color w:val="auto"/>
                      <w:szCs w:val="21"/>
                      <w:lang w:eastAsia="zh-CN"/>
                    </w:rPr>
                  </w:pPr>
                  <w:r>
                    <w:rPr>
                      <w:rFonts w:hint="eastAsia"/>
                      <w:bCs/>
                      <w:color w:val="auto"/>
                      <w:szCs w:val="21"/>
                      <w:lang w:val="en-US" w:eastAsia="zh-CN"/>
                    </w:rPr>
                    <w:t>不外排</w:t>
                  </w:r>
                </w:p>
              </w:tc>
              <w:tc>
                <w:tcPr>
                  <w:tcW w:w="1073" w:type="dxa"/>
                  <w:shd w:val="clear" w:color="auto" w:fill="auto"/>
                  <w:noWrap w:val="0"/>
                  <w:vAlign w:val="center"/>
                </w:tcPr>
                <w:p w14:paraId="37BBFFAD">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0.1008</w:t>
                  </w:r>
                </w:p>
              </w:tc>
            </w:tr>
            <w:tr w14:paraId="18AA8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15CA2C36">
                  <w:pPr>
                    <w:adjustRightInd w:val="0"/>
                    <w:snapToGrid w:val="0"/>
                    <w:jc w:val="center"/>
                    <w:rPr>
                      <w:color w:val="auto"/>
                      <w:szCs w:val="21"/>
                    </w:rPr>
                  </w:pPr>
                </w:p>
              </w:tc>
              <w:tc>
                <w:tcPr>
                  <w:tcW w:w="938" w:type="dxa"/>
                  <w:vMerge w:val="continue"/>
                  <w:noWrap w:val="0"/>
                  <w:vAlign w:val="center"/>
                </w:tcPr>
                <w:p w14:paraId="3D14E0B1">
                  <w:pPr>
                    <w:adjustRightInd w:val="0"/>
                    <w:snapToGrid w:val="0"/>
                    <w:jc w:val="center"/>
                    <w:rPr>
                      <w:color w:val="auto"/>
                      <w:szCs w:val="21"/>
                    </w:rPr>
                  </w:pPr>
                </w:p>
              </w:tc>
              <w:tc>
                <w:tcPr>
                  <w:tcW w:w="1062" w:type="dxa"/>
                  <w:noWrap w:val="0"/>
                  <w:vAlign w:val="center"/>
                </w:tcPr>
                <w:p w14:paraId="0C89F869">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BOD</w:t>
                  </w:r>
                  <w:r>
                    <w:rPr>
                      <w:rFonts w:hint="eastAsia" w:ascii="Times New Roman" w:hAnsi="Times New Roman" w:eastAsia="宋体" w:cs="Times New Roman"/>
                      <w:bCs/>
                      <w:color w:val="auto"/>
                      <w:szCs w:val="21"/>
                      <w:vertAlign w:val="subscript"/>
                      <w:lang w:val="en-US" w:eastAsia="zh-CN"/>
                    </w:rPr>
                    <w:t>5</w:t>
                  </w:r>
                </w:p>
              </w:tc>
              <w:tc>
                <w:tcPr>
                  <w:tcW w:w="2732" w:type="dxa"/>
                  <w:vMerge w:val="continue"/>
                  <w:noWrap w:val="0"/>
                  <w:vAlign w:val="center"/>
                </w:tcPr>
                <w:p w14:paraId="33A83787">
                  <w:pPr>
                    <w:adjustRightInd w:val="0"/>
                    <w:snapToGrid w:val="0"/>
                    <w:jc w:val="center"/>
                    <w:rPr>
                      <w:color w:val="auto"/>
                      <w:szCs w:val="21"/>
                    </w:rPr>
                  </w:pPr>
                </w:p>
              </w:tc>
              <w:tc>
                <w:tcPr>
                  <w:tcW w:w="1365" w:type="dxa"/>
                  <w:vMerge w:val="continue"/>
                  <w:noWrap w:val="0"/>
                  <w:vAlign w:val="center"/>
                </w:tcPr>
                <w:p w14:paraId="7391CEA1">
                  <w:pPr>
                    <w:adjustRightInd w:val="0"/>
                    <w:snapToGrid w:val="0"/>
                    <w:jc w:val="center"/>
                    <w:rPr>
                      <w:color w:val="auto"/>
                      <w:szCs w:val="21"/>
                    </w:rPr>
                  </w:pPr>
                </w:p>
              </w:tc>
              <w:tc>
                <w:tcPr>
                  <w:tcW w:w="1073" w:type="dxa"/>
                  <w:shd w:val="clear" w:color="auto" w:fill="auto"/>
                  <w:noWrap w:val="0"/>
                  <w:vAlign w:val="center"/>
                </w:tcPr>
                <w:p w14:paraId="701B769F">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0.063</w:t>
                  </w:r>
                </w:p>
              </w:tc>
            </w:tr>
            <w:tr w14:paraId="59EC7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0097BBC4">
                  <w:pPr>
                    <w:adjustRightInd w:val="0"/>
                    <w:snapToGrid w:val="0"/>
                    <w:jc w:val="center"/>
                    <w:rPr>
                      <w:bCs/>
                      <w:color w:val="auto"/>
                      <w:szCs w:val="21"/>
                    </w:rPr>
                  </w:pPr>
                </w:p>
              </w:tc>
              <w:tc>
                <w:tcPr>
                  <w:tcW w:w="938" w:type="dxa"/>
                  <w:vMerge w:val="continue"/>
                  <w:noWrap w:val="0"/>
                  <w:vAlign w:val="center"/>
                </w:tcPr>
                <w:p w14:paraId="00886B4A">
                  <w:pPr>
                    <w:adjustRightInd w:val="0"/>
                    <w:snapToGrid w:val="0"/>
                    <w:jc w:val="center"/>
                    <w:rPr>
                      <w:bCs/>
                      <w:color w:val="auto"/>
                      <w:szCs w:val="21"/>
                    </w:rPr>
                  </w:pPr>
                </w:p>
              </w:tc>
              <w:tc>
                <w:tcPr>
                  <w:tcW w:w="1062" w:type="dxa"/>
                  <w:noWrap w:val="0"/>
                  <w:vAlign w:val="center"/>
                </w:tcPr>
                <w:p w14:paraId="439DBE27">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SS</w:t>
                  </w:r>
                </w:p>
              </w:tc>
              <w:tc>
                <w:tcPr>
                  <w:tcW w:w="2732" w:type="dxa"/>
                  <w:vMerge w:val="continue"/>
                  <w:noWrap w:val="0"/>
                  <w:vAlign w:val="center"/>
                </w:tcPr>
                <w:p w14:paraId="0AB891E2">
                  <w:pPr>
                    <w:adjustRightInd w:val="0"/>
                    <w:snapToGrid w:val="0"/>
                    <w:jc w:val="center"/>
                    <w:rPr>
                      <w:bCs/>
                      <w:color w:val="auto"/>
                      <w:szCs w:val="21"/>
                    </w:rPr>
                  </w:pPr>
                </w:p>
              </w:tc>
              <w:tc>
                <w:tcPr>
                  <w:tcW w:w="1365" w:type="dxa"/>
                  <w:vMerge w:val="continue"/>
                  <w:noWrap w:val="0"/>
                  <w:vAlign w:val="center"/>
                </w:tcPr>
                <w:p w14:paraId="6CA630AB">
                  <w:pPr>
                    <w:adjustRightInd w:val="0"/>
                    <w:snapToGrid w:val="0"/>
                    <w:jc w:val="center"/>
                    <w:rPr>
                      <w:bCs/>
                      <w:color w:val="auto"/>
                      <w:szCs w:val="21"/>
                    </w:rPr>
                  </w:pPr>
                </w:p>
              </w:tc>
              <w:tc>
                <w:tcPr>
                  <w:tcW w:w="1073" w:type="dxa"/>
                  <w:shd w:val="clear" w:color="auto" w:fill="auto"/>
                  <w:noWrap w:val="0"/>
                  <w:vAlign w:val="center"/>
                </w:tcPr>
                <w:p w14:paraId="79846FEF">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0.0648</w:t>
                  </w:r>
                </w:p>
              </w:tc>
            </w:tr>
            <w:tr w14:paraId="62DBA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31548F55">
                  <w:pPr>
                    <w:adjustRightInd w:val="0"/>
                    <w:snapToGrid w:val="0"/>
                    <w:jc w:val="center"/>
                    <w:rPr>
                      <w:bCs/>
                      <w:color w:val="auto"/>
                      <w:szCs w:val="21"/>
                    </w:rPr>
                  </w:pPr>
                </w:p>
              </w:tc>
              <w:tc>
                <w:tcPr>
                  <w:tcW w:w="938" w:type="dxa"/>
                  <w:vMerge w:val="continue"/>
                  <w:noWrap w:val="0"/>
                  <w:vAlign w:val="center"/>
                </w:tcPr>
                <w:p w14:paraId="7DFE8312">
                  <w:pPr>
                    <w:adjustRightInd w:val="0"/>
                    <w:snapToGrid w:val="0"/>
                    <w:jc w:val="center"/>
                    <w:rPr>
                      <w:bCs/>
                      <w:color w:val="auto"/>
                      <w:szCs w:val="21"/>
                    </w:rPr>
                  </w:pPr>
                </w:p>
              </w:tc>
              <w:tc>
                <w:tcPr>
                  <w:tcW w:w="1062" w:type="dxa"/>
                  <w:noWrap w:val="0"/>
                  <w:vAlign w:val="center"/>
                </w:tcPr>
                <w:p w14:paraId="0CAEC7CF">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氨氮</w:t>
                  </w:r>
                </w:p>
              </w:tc>
              <w:tc>
                <w:tcPr>
                  <w:tcW w:w="2732" w:type="dxa"/>
                  <w:vMerge w:val="continue"/>
                  <w:noWrap w:val="0"/>
                  <w:vAlign w:val="center"/>
                </w:tcPr>
                <w:p w14:paraId="43A6664A">
                  <w:pPr>
                    <w:adjustRightInd w:val="0"/>
                    <w:snapToGrid w:val="0"/>
                    <w:jc w:val="center"/>
                    <w:rPr>
                      <w:bCs/>
                      <w:color w:val="auto"/>
                      <w:szCs w:val="21"/>
                    </w:rPr>
                  </w:pPr>
                </w:p>
              </w:tc>
              <w:tc>
                <w:tcPr>
                  <w:tcW w:w="1365" w:type="dxa"/>
                  <w:vMerge w:val="continue"/>
                  <w:noWrap w:val="0"/>
                  <w:vAlign w:val="center"/>
                </w:tcPr>
                <w:p w14:paraId="747870C2">
                  <w:pPr>
                    <w:adjustRightInd w:val="0"/>
                    <w:snapToGrid w:val="0"/>
                    <w:jc w:val="center"/>
                    <w:rPr>
                      <w:bCs/>
                      <w:color w:val="auto"/>
                      <w:szCs w:val="21"/>
                    </w:rPr>
                  </w:pPr>
                </w:p>
              </w:tc>
              <w:tc>
                <w:tcPr>
                  <w:tcW w:w="1073" w:type="dxa"/>
                  <w:shd w:val="clear" w:color="auto" w:fill="auto"/>
                  <w:noWrap w:val="0"/>
                  <w:vAlign w:val="center"/>
                </w:tcPr>
                <w:p w14:paraId="1CDE098C">
                  <w:pPr>
                    <w:pStyle w:val="79"/>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0.0117</w:t>
                  </w:r>
                </w:p>
              </w:tc>
            </w:tr>
            <w:tr w14:paraId="15716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noWrap w:val="0"/>
                  <w:vAlign w:val="center"/>
                </w:tcPr>
                <w:p w14:paraId="76C782B5">
                  <w:pPr>
                    <w:pStyle w:val="79"/>
                    <w:adjustRightInd w:val="0"/>
                    <w:snapToGrid w:val="0"/>
                    <w:jc w:val="center"/>
                    <w:rPr>
                      <w:bCs/>
                      <w:color w:val="auto"/>
                      <w:szCs w:val="21"/>
                    </w:rPr>
                  </w:pPr>
                  <w:r>
                    <w:rPr>
                      <w:bCs/>
                      <w:color w:val="auto"/>
                      <w:szCs w:val="21"/>
                    </w:rPr>
                    <w:t>噪声</w:t>
                  </w:r>
                </w:p>
              </w:tc>
              <w:tc>
                <w:tcPr>
                  <w:tcW w:w="2000" w:type="dxa"/>
                  <w:gridSpan w:val="2"/>
                  <w:noWrap w:val="0"/>
                  <w:vAlign w:val="center"/>
                </w:tcPr>
                <w:p w14:paraId="413D9C8C">
                  <w:pPr>
                    <w:pStyle w:val="79"/>
                    <w:adjustRightInd w:val="0"/>
                    <w:snapToGrid w:val="0"/>
                    <w:jc w:val="center"/>
                    <w:rPr>
                      <w:bCs/>
                      <w:color w:val="auto"/>
                      <w:szCs w:val="21"/>
                    </w:rPr>
                  </w:pPr>
                  <w:r>
                    <w:rPr>
                      <w:bCs/>
                      <w:color w:val="auto"/>
                      <w:szCs w:val="21"/>
                    </w:rPr>
                    <w:t>等效连续A声级</w:t>
                  </w:r>
                </w:p>
              </w:tc>
              <w:tc>
                <w:tcPr>
                  <w:tcW w:w="2732" w:type="dxa"/>
                  <w:noWrap w:val="0"/>
                  <w:vAlign w:val="center"/>
                </w:tcPr>
                <w:p w14:paraId="513A7168">
                  <w:pPr>
                    <w:pStyle w:val="79"/>
                    <w:adjustRightInd w:val="0"/>
                    <w:snapToGrid w:val="0"/>
                    <w:jc w:val="center"/>
                    <w:rPr>
                      <w:bCs/>
                      <w:color w:val="auto"/>
                      <w:szCs w:val="21"/>
                    </w:rPr>
                  </w:pPr>
                  <w:r>
                    <w:rPr>
                      <w:bCs/>
                      <w:color w:val="auto"/>
                      <w:szCs w:val="21"/>
                    </w:rPr>
                    <w:t>厂房隔声、</w:t>
                  </w:r>
                  <w:r>
                    <w:rPr>
                      <w:rFonts w:hint="eastAsia"/>
                      <w:bCs/>
                      <w:color w:val="auto"/>
                      <w:szCs w:val="21"/>
                    </w:rPr>
                    <w:t>合理布局</w:t>
                  </w:r>
                </w:p>
              </w:tc>
              <w:tc>
                <w:tcPr>
                  <w:tcW w:w="1365" w:type="dxa"/>
                  <w:noWrap w:val="0"/>
                  <w:vAlign w:val="center"/>
                </w:tcPr>
                <w:p w14:paraId="01A75CDF">
                  <w:pPr>
                    <w:pStyle w:val="79"/>
                    <w:adjustRightInd w:val="0"/>
                    <w:snapToGrid w:val="0"/>
                    <w:jc w:val="center"/>
                    <w:rPr>
                      <w:bCs/>
                      <w:color w:val="auto"/>
                      <w:szCs w:val="21"/>
                    </w:rPr>
                  </w:pPr>
                  <w:r>
                    <w:rPr>
                      <w:bCs/>
                      <w:color w:val="auto"/>
                      <w:szCs w:val="21"/>
                    </w:rPr>
                    <w:t>/</w:t>
                  </w:r>
                </w:p>
              </w:tc>
              <w:tc>
                <w:tcPr>
                  <w:tcW w:w="1073" w:type="dxa"/>
                  <w:noWrap w:val="0"/>
                  <w:vAlign w:val="center"/>
                </w:tcPr>
                <w:p w14:paraId="231E6E17">
                  <w:pPr>
                    <w:pStyle w:val="79"/>
                    <w:adjustRightInd w:val="0"/>
                    <w:snapToGrid w:val="0"/>
                    <w:jc w:val="center"/>
                    <w:rPr>
                      <w:bCs/>
                      <w:color w:val="auto"/>
                      <w:szCs w:val="21"/>
                    </w:rPr>
                  </w:pPr>
                  <w:r>
                    <w:rPr>
                      <w:bCs/>
                      <w:color w:val="auto"/>
                      <w:szCs w:val="21"/>
                    </w:rPr>
                    <w:t>/</w:t>
                  </w:r>
                </w:p>
              </w:tc>
            </w:tr>
            <w:tr w14:paraId="02AE7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7" w:type="dxa"/>
                  <w:vMerge w:val="restart"/>
                  <w:noWrap w:val="0"/>
                  <w:vAlign w:val="center"/>
                </w:tcPr>
                <w:p w14:paraId="108ECE5B">
                  <w:pPr>
                    <w:pStyle w:val="79"/>
                    <w:adjustRightInd w:val="0"/>
                    <w:snapToGrid w:val="0"/>
                    <w:jc w:val="center"/>
                    <w:rPr>
                      <w:bCs/>
                      <w:color w:val="auto"/>
                      <w:szCs w:val="21"/>
                    </w:rPr>
                  </w:pPr>
                  <w:r>
                    <w:rPr>
                      <w:bCs/>
                      <w:color w:val="auto"/>
                      <w:szCs w:val="21"/>
                    </w:rPr>
                    <w:t>固废</w:t>
                  </w:r>
                </w:p>
              </w:tc>
              <w:tc>
                <w:tcPr>
                  <w:tcW w:w="2000" w:type="dxa"/>
                  <w:gridSpan w:val="2"/>
                  <w:noWrap w:val="0"/>
                  <w:vAlign w:val="center"/>
                </w:tcPr>
                <w:p w14:paraId="7379E054">
                  <w:pPr>
                    <w:adjustRightInd w:val="0"/>
                    <w:snapToGrid w:val="0"/>
                    <w:jc w:val="center"/>
                    <w:rPr>
                      <w:color w:val="auto"/>
                      <w:szCs w:val="21"/>
                    </w:rPr>
                  </w:pPr>
                  <w:r>
                    <w:rPr>
                      <w:color w:val="auto"/>
                      <w:szCs w:val="21"/>
                    </w:rPr>
                    <w:t>生活垃圾</w:t>
                  </w:r>
                </w:p>
              </w:tc>
              <w:tc>
                <w:tcPr>
                  <w:tcW w:w="2732" w:type="dxa"/>
                  <w:noWrap w:val="0"/>
                  <w:vAlign w:val="center"/>
                </w:tcPr>
                <w:p w14:paraId="41228B7C">
                  <w:pPr>
                    <w:adjustRightInd w:val="0"/>
                    <w:snapToGrid w:val="0"/>
                    <w:jc w:val="center"/>
                    <w:rPr>
                      <w:rFonts w:hint="default" w:eastAsia="宋体"/>
                      <w:color w:val="auto"/>
                      <w:szCs w:val="21"/>
                      <w:lang w:val="en-US" w:eastAsia="zh-CN"/>
                    </w:rPr>
                  </w:pPr>
                  <w:r>
                    <w:rPr>
                      <w:rFonts w:hint="eastAsia" w:ascii="Times New Roman" w:hAnsi="Times New Roman"/>
                      <w:color w:val="auto"/>
                      <w:szCs w:val="21"/>
                    </w:rPr>
                    <w:t>收集后由环卫部门统一清运</w:t>
                  </w:r>
                </w:p>
              </w:tc>
              <w:tc>
                <w:tcPr>
                  <w:tcW w:w="1365" w:type="dxa"/>
                  <w:noWrap w:val="0"/>
                  <w:vAlign w:val="center"/>
                </w:tcPr>
                <w:p w14:paraId="427CAAFB">
                  <w:pPr>
                    <w:pStyle w:val="79"/>
                    <w:adjustRightInd w:val="0"/>
                    <w:snapToGrid w:val="0"/>
                    <w:jc w:val="center"/>
                    <w:rPr>
                      <w:bCs/>
                      <w:color w:val="auto"/>
                      <w:szCs w:val="21"/>
                    </w:rPr>
                  </w:pPr>
                  <w:r>
                    <w:rPr>
                      <w:bCs/>
                      <w:color w:val="auto"/>
                      <w:szCs w:val="21"/>
                    </w:rPr>
                    <w:t>/</w:t>
                  </w:r>
                </w:p>
              </w:tc>
              <w:tc>
                <w:tcPr>
                  <w:tcW w:w="1073" w:type="dxa"/>
                  <w:noWrap w:val="0"/>
                  <w:vAlign w:val="center"/>
                </w:tcPr>
                <w:p w14:paraId="5A531779">
                  <w:pPr>
                    <w:adjustRightInd w:val="0"/>
                    <w:snapToGrid w:val="0"/>
                    <w:jc w:val="center"/>
                    <w:rPr>
                      <w:rFonts w:hint="default" w:eastAsia="宋体"/>
                      <w:color w:val="auto"/>
                      <w:szCs w:val="21"/>
                      <w:lang w:val="en-US" w:eastAsia="zh-CN"/>
                    </w:rPr>
                  </w:pPr>
                  <w:r>
                    <w:rPr>
                      <w:rFonts w:hint="eastAsia"/>
                      <w:color w:val="auto"/>
                      <w:szCs w:val="21"/>
                      <w:lang w:val="en-US" w:eastAsia="zh-CN"/>
                    </w:rPr>
                    <w:t>2.25</w:t>
                  </w:r>
                </w:p>
              </w:tc>
            </w:tr>
            <w:tr w14:paraId="611BA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0495BC1D">
                  <w:pPr>
                    <w:pStyle w:val="79"/>
                    <w:adjustRightInd w:val="0"/>
                    <w:snapToGrid w:val="0"/>
                    <w:jc w:val="center"/>
                    <w:rPr>
                      <w:bCs/>
                      <w:color w:val="auto"/>
                      <w:szCs w:val="21"/>
                    </w:rPr>
                  </w:pPr>
                </w:p>
              </w:tc>
              <w:tc>
                <w:tcPr>
                  <w:tcW w:w="2000" w:type="dxa"/>
                  <w:gridSpan w:val="2"/>
                  <w:noWrap w:val="0"/>
                  <w:vAlign w:val="center"/>
                </w:tcPr>
                <w:p w14:paraId="18934EDE">
                  <w:pPr>
                    <w:adjustRightInd w:val="0"/>
                    <w:snapToGrid w:val="0"/>
                    <w:jc w:val="center"/>
                    <w:rPr>
                      <w:rFonts w:hint="default" w:eastAsia="宋体"/>
                      <w:color w:val="auto"/>
                      <w:szCs w:val="21"/>
                      <w:lang w:val="en-US" w:eastAsia="zh-CN"/>
                    </w:rPr>
                  </w:pPr>
                  <w:r>
                    <w:rPr>
                      <w:rFonts w:hint="eastAsia"/>
                      <w:color w:val="auto"/>
                      <w:szCs w:val="21"/>
                      <w:lang w:val="en-US" w:eastAsia="zh-CN"/>
                    </w:rPr>
                    <w:t>除尘灰</w:t>
                  </w:r>
                </w:p>
              </w:tc>
              <w:tc>
                <w:tcPr>
                  <w:tcW w:w="2732" w:type="dxa"/>
                  <w:noWrap w:val="0"/>
                  <w:vAlign w:val="center"/>
                </w:tcPr>
                <w:p w14:paraId="5ED48BEE">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集中收集后外售</w:t>
                  </w:r>
                </w:p>
              </w:tc>
              <w:tc>
                <w:tcPr>
                  <w:tcW w:w="1365" w:type="dxa"/>
                  <w:noWrap w:val="0"/>
                  <w:vAlign w:val="center"/>
                </w:tcPr>
                <w:p w14:paraId="1457AACD">
                  <w:pPr>
                    <w:pStyle w:val="79"/>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73" w:type="dxa"/>
                  <w:shd w:val="clear" w:color="auto" w:fill="auto"/>
                  <w:noWrap w:val="0"/>
                  <w:vAlign w:val="center"/>
                </w:tcPr>
                <w:p w14:paraId="5FB0433F">
                  <w:pPr>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6.5</w:t>
                  </w:r>
                </w:p>
              </w:tc>
            </w:tr>
            <w:tr w14:paraId="3A620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36C594D8">
                  <w:pPr>
                    <w:pStyle w:val="79"/>
                    <w:adjustRightInd w:val="0"/>
                    <w:snapToGrid w:val="0"/>
                    <w:jc w:val="center"/>
                    <w:rPr>
                      <w:bCs/>
                      <w:color w:val="auto"/>
                      <w:szCs w:val="21"/>
                    </w:rPr>
                  </w:pPr>
                </w:p>
              </w:tc>
              <w:tc>
                <w:tcPr>
                  <w:tcW w:w="2000" w:type="dxa"/>
                  <w:gridSpan w:val="2"/>
                  <w:noWrap w:val="0"/>
                  <w:vAlign w:val="center"/>
                </w:tcPr>
                <w:p w14:paraId="5495FCE9">
                  <w:pPr>
                    <w:adjustRightInd w:val="0"/>
                    <w:snapToGrid w:val="0"/>
                    <w:spacing w:line="300" w:lineRule="exact"/>
                    <w:jc w:val="center"/>
                    <w:rPr>
                      <w:rFonts w:ascii="Times New Roman" w:hAnsi="Times New Roman"/>
                      <w:color w:val="auto"/>
                      <w:kern w:val="2"/>
                      <w:sz w:val="21"/>
                      <w:szCs w:val="21"/>
                      <w:lang w:val="en-US" w:eastAsia="zh-CN" w:bidi="ar-SA"/>
                    </w:rPr>
                  </w:pPr>
                  <w:r>
                    <w:rPr>
                      <w:rFonts w:hint="eastAsia" w:ascii="Times New Roman" w:hAnsi="Times New Roman"/>
                      <w:color w:val="auto"/>
                      <w:szCs w:val="21"/>
                    </w:rPr>
                    <w:t>废泡沫材料</w:t>
                  </w:r>
                </w:p>
              </w:tc>
              <w:tc>
                <w:tcPr>
                  <w:tcW w:w="2732" w:type="dxa"/>
                  <w:noWrap w:val="0"/>
                  <w:vAlign w:val="center"/>
                </w:tcPr>
                <w:p w14:paraId="1BDF7FFF">
                  <w:pPr>
                    <w:adjustRightInd w:val="0"/>
                    <w:snapToGrid w:val="0"/>
                    <w:jc w:val="center"/>
                    <w:rPr>
                      <w:color w:val="auto"/>
                      <w:szCs w:val="21"/>
                    </w:rPr>
                  </w:pPr>
                  <w:r>
                    <w:rPr>
                      <w:rFonts w:hint="eastAsia" w:ascii="Times New Roman" w:hAnsi="Times New Roman"/>
                      <w:color w:val="auto"/>
                      <w:szCs w:val="21"/>
                    </w:rPr>
                    <w:t>集中收集后外售</w:t>
                  </w:r>
                </w:p>
              </w:tc>
              <w:tc>
                <w:tcPr>
                  <w:tcW w:w="1365" w:type="dxa"/>
                  <w:noWrap w:val="0"/>
                  <w:vAlign w:val="center"/>
                </w:tcPr>
                <w:p w14:paraId="412761D8">
                  <w:pPr>
                    <w:pStyle w:val="79"/>
                    <w:adjustRightInd w:val="0"/>
                    <w:snapToGrid w:val="0"/>
                    <w:jc w:val="center"/>
                    <w:rPr>
                      <w:bCs/>
                      <w:color w:val="auto"/>
                      <w:szCs w:val="21"/>
                    </w:rPr>
                  </w:pPr>
                  <w:r>
                    <w:rPr>
                      <w:bCs/>
                      <w:color w:val="auto"/>
                      <w:szCs w:val="21"/>
                    </w:rPr>
                    <w:t>/</w:t>
                  </w:r>
                </w:p>
              </w:tc>
              <w:tc>
                <w:tcPr>
                  <w:tcW w:w="1073" w:type="dxa"/>
                  <w:shd w:val="clear" w:color="auto" w:fill="auto"/>
                  <w:noWrap w:val="0"/>
                  <w:vAlign w:val="center"/>
                </w:tcPr>
                <w:p w14:paraId="40172AB3">
                  <w:pPr>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2.5</w:t>
                  </w:r>
                </w:p>
              </w:tc>
            </w:tr>
            <w:tr w14:paraId="774A6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29E703CB">
                  <w:pPr>
                    <w:pStyle w:val="79"/>
                    <w:adjustRightInd w:val="0"/>
                    <w:snapToGrid w:val="0"/>
                    <w:jc w:val="center"/>
                    <w:rPr>
                      <w:bCs/>
                      <w:color w:val="auto"/>
                      <w:szCs w:val="21"/>
                    </w:rPr>
                  </w:pPr>
                </w:p>
              </w:tc>
              <w:tc>
                <w:tcPr>
                  <w:tcW w:w="2000" w:type="dxa"/>
                  <w:gridSpan w:val="2"/>
                  <w:noWrap w:val="0"/>
                  <w:vAlign w:val="center"/>
                </w:tcPr>
                <w:p w14:paraId="7AB52259">
                  <w:pPr>
                    <w:adjustRightInd w:val="0"/>
                    <w:snapToGrid w:val="0"/>
                    <w:spacing w:line="30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废边角料</w:t>
                  </w:r>
                </w:p>
              </w:tc>
              <w:tc>
                <w:tcPr>
                  <w:tcW w:w="2732" w:type="dxa"/>
                  <w:noWrap w:val="0"/>
                  <w:vAlign w:val="center"/>
                </w:tcPr>
                <w:p w14:paraId="08EF71E1">
                  <w:pPr>
                    <w:adjustRightInd w:val="0"/>
                    <w:snapToGrid w:val="0"/>
                    <w:jc w:val="center"/>
                    <w:rPr>
                      <w:rFonts w:hint="eastAsia" w:ascii="Times New Roman" w:hAnsi="Times New Roman"/>
                      <w:color w:val="auto"/>
                      <w:szCs w:val="21"/>
                    </w:rPr>
                  </w:pPr>
                  <w:r>
                    <w:rPr>
                      <w:rFonts w:hint="eastAsia" w:ascii="Times New Roman" w:hAnsi="Times New Roman"/>
                      <w:color w:val="auto"/>
                      <w:szCs w:val="21"/>
                    </w:rPr>
                    <w:t>集中收集后外售</w:t>
                  </w:r>
                </w:p>
              </w:tc>
              <w:tc>
                <w:tcPr>
                  <w:tcW w:w="1365" w:type="dxa"/>
                  <w:noWrap w:val="0"/>
                  <w:vAlign w:val="center"/>
                </w:tcPr>
                <w:p w14:paraId="4D6F02F8">
                  <w:pPr>
                    <w:pStyle w:val="79"/>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73" w:type="dxa"/>
                  <w:shd w:val="clear" w:color="auto" w:fill="auto"/>
                  <w:noWrap w:val="0"/>
                  <w:vAlign w:val="center"/>
                </w:tcPr>
                <w:p w14:paraId="4476F72D">
                  <w:pPr>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7</w:t>
                  </w:r>
                </w:p>
              </w:tc>
            </w:tr>
            <w:tr w14:paraId="417B0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center"/>
                </w:tcPr>
                <w:p w14:paraId="761FA775">
                  <w:pPr>
                    <w:widowControl/>
                    <w:adjustRightInd w:val="0"/>
                    <w:snapToGrid w:val="0"/>
                    <w:jc w:val="left"/>
                    <w:rPr>
                      <w:bCs/>
                      <w:color w:val="auto"/>
                      <w:szCs w:val="21"/>
                    </w:rPr>
                  </w:pPr>
                </w:p>
              </w:tc>
              <w:tc>
                <w:tcPr>
                  <w:tcW w:w="2000" w:type="dxa"/>
                  <w:gridSpan w:val="2"/>
                  <w:noWrap w:val="0"/>
                  <w:vAlign w:val="center"/>
                </w:tcPr>
                <w:p w14:paraId="4909CE83">
                  <w:pPr>
                    <w:adjustRightInd w:val="0"/>
                    <w:snapToGrid w:val="0"/>
                    <w:spacing w:line="300" w:lineRule="exact"/>
                    <w:jc w:val="center"/>
                    <w:rPr>
                      <w:rFonts w:ascii="Times New Roman" w:hAnsi="Times New Roman"/>
                      <w:color w:val="auto"/>
                      <w:kern w:val="2"/>
                      <w:sz w:val="21"/>
                      <w:szCs w:val="21"/>
                      <w:lang w:val="en-US" w:eastAsia="zh-CN" w:bidi="ar-SA"/>
                    </w:rPr>
                  </w:pPr>
                  <w:r>
                    <w:rPr>
                      <w:rFonts w:hint="eastAsia" w:ascii="Times New Roman" w:hAnsi="Times New Roman"/>
                      <w:color w:val="auto"/>
                      <w:szCs w:val="21"/>
                    </w:rPr>
                    <w:t>废包装袋</w:t>
                  </w:r>
                </w:p>
              </w:tc>
              <w:tc>
                <w:tcPr>
                  <w:tcW w:w="2732" w:type="dxa"/>
                  <w:noWrap w:val="0"/>
                  <w:vAlign w:val="center"/>
                </w:tcPr>
                <w:p w14:paraId="58CC2592">
                  <w:pPr>
                    <w:adjustRightInd w:val="0"/>
                    <w:snapToGrid w:val="0"/>
                    <w:jc w:val="center"/>
                    <w:rPr>
                      <w:color w:val="auto"/>
                      <w:szCs w:val="21"/>
                    </w:rPr>
                  </w:pPr>
                  <w:r>
                    <w:rPr>
                      <w:rFonts w:hint="eastAsia" w:ascii="Times New Roman" w:hAnsi="Times New Roman"/>
                      <w:color w:val="auto"/>
                      <w:szCs w:val="21"/>
                    </w:rPr>
                    <w:t>集中收集后外售</w:t>
                  </w:r>
                </w:p>
              </w:tc>
              <w:tc>
                <w:tcPr>
                  <w:tcW w:w="1365" w:type="dxa"/>
                  <w:noWrap w:val="0"/>
                  <w:vAlign w:val="center"/>
                </w:tcPr>
                <w:p w14:paraId="7CA1A04E">
                  <w:pPr>
                    <w:pStyle w:val="79"/>
                    <w:adjustRightInd w:val="0"/>
                    <w:snapToGrid w:val="0"/>
                    <w:jc w:val="center"/>
                    <w:rPr>
                      <w:bCs/>
                      <w:color w:val="auto"/>
                      <w:szCs w:val="21"/>
                    </w:rPr>
                  </w:pPr>
                  <w:r>
                    <w:rPr>
                      <w:bCs/>
                      <w:color w:val="auto"/>
                      <w:szCs w:val="21"/>
                    </w:rPr>
                    <w:t>/</w:t>
                  </w:r>
                </w:p>
              </w:tc>
              <w:tc>
                <w:tcPr>
                  <w:tcW w:w="1073" w:type="dxa"/>
                  <w:shd w:val="clear" w:color="auto" w:fill="auto"/>
                  <w:noWrap w:val="0"/>
                  <w:vAlign w:val="center"/>
                </w:tcPr>
                <w:p w14:paraId="1221A7D0">
                  <w:pPr>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4.2</w:t>
                  </w:r>
                </w:p>
              </w:tc>
            </w:tr>
            <w:tr w14:paraId="7E33D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vMerge w:val="continue"/>
                  <w:noWrap w:val="0"/>
                  <w:vAlign w:val="center"/>
                </w:tcPr>
                <w:p w14:paraId="1EC7212F">
                  <w:pPr>
                    <w:widowControl/>
                    <w:adjustRightInd w:val="0"/>
                    <w:snapToGrid w:val="0"/>
                    <w:jc w:val="left"/>
                    <w:rPr>
                      <w:bCs/>
                      <w:color w:val="auto"/>
                      <w:szCs w:val="21"/>
                    </w:rPr>
                  </w:pPr>
                </w:p>
              </w:tc>
              <w:tc>
                <w:tcPr>
                  <w:tcW w:w="2000" w:type="dxa"/>
                  <w:gridSpan w:val="2"/>
                  <w:noWrap w:val="0"/>
                  <w:vAlign w:val="center"/>
                </w:tcPr>
                <w:p w14:paraId="662020FB">
                  <w:pPr>
                    <w:pStyle w:val="24"/>
                    <w:widowControl/>
                    <w:spacing w:before="0" w:beforeAutospacing="0" w:after="0" w:afterAutospacing="0"/>
                    <w:contextualSpacing/>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废包装桶</w:t>
                  </w:r>
                </w:p>
              </w:tc>
              <w:tc>
                <w:tcPr>
                  <w:tcW w:w="2732" w:type="dxa"/>
                  <w:noWrap w:val="0"/>
                  <w:vAlign w:val="center"/>
                </w:tcPr>
                <w:p w14:paraId="431A1183">
                  <w:pPr>
                    <w:adjustRightInd w:val="0"/>
                    <w:snapToGrid w:val="0"/>
                    <w:jc w:val="center"/>
                    <w:rPr>
                      <w:color w:val="auto"/>
                      <w:szCs w:val="21"/>
                    </w:rPr>
                  </w:pPr>
                  <w:r>
                    <w:rPr>
                      <w:rFonts w:hint="eastAsia" w:ascii="Times New Roman" w:hAnsi="Times New Roman"/>
                      <w:color w:val="auto"/>
                      <w:szCs w:val="21"/>
                    </w:rPr>
                    <w:t>收集后</w:t>
                  </w:r>
                  <w:r>
                    <w:rPr>
                      <w:rFonts w:hint="eastAsia" w:ascii="Times New Roman" w:hAnsi="Times New Roman"/>
                      <w:bCs/>
                      <w:color w:val="auto"/>
                      <w:szCs w:val="21"/>
                    </w:rPr>
                    <w:t>暂存于危废暂存间，</w:t>
                  </w:r>
                  <w:r>
                    <w:rPr>
                      <w:rFonts w:hint="eastAsia" w:ascii="Times New Roman" w:hAnsi="Times New Roman"/>
                      <w:color w:val="auto"/>
                      <w:szCs w:val="21"/>
                    </w:rPr>
                    <w:t>委托陕西明瑞资源再生有限公司处置</w:t>
                  </w:r>
                </w:p>
              </w:tc>
              <w:tc>
                <w:tcPr>
                  <w:tcW w:w="1365" w:type="dxa"/>
                  <w:noWrap w:val="0"/>
                  <w:vAlign w:val="center"/>
                </w:tcPr>
                <w:p w14:paraId="1809F24B">
                  <w:pPr>
                    <w:pStyle w:val="79"/>
                    <w:adjustRightInd w:val="0"/>
                    <w:snapToGrid w:val="0"/>
                    <w:jc w:val="center"/>
                    <w:rPr>
                      <w:color w:val="auto"/>
                      <w:szCs w:val="21"/>
                    </w:rPr>
                  </w:pPr>
                  <w:r>
                    <w:rPr>
                      <w:bCs/>
                      <w:color w:val="auto"/>
                      <w:szCs w:val="21"/>
                    </w:rPr>
                    <w:t>/</w:t>
                  </w:r>
                </w:p>
              </w:tc>
              <w:tc>
                <w:tcPr>
                  <w:tcW w:w="1073" w:type="dxa"/>
                  <w:noWrap w:val="0"/>
                  <w:vAlign w:val="center"/>
                </w:tcPr>
                <w:p w14:paraId="23348FA0">
                  <w:pPr>
                    <w:jc w:val="center"/>
                    <w:rPr>
                      <w:rFonts w:hint="default" w:ascii="Times New Roman" w:hAnsi="Times New Roman" w:eastAsia="宋体"/>
                      <w:color w:val="auto"/>
                      <w:kern w:val="2"/>
                      <w:sz w:val="21"/>
                      <w:szCs w:val="21"/>
                      <w:lang w:val="en-US" w:eastAsia="zh-CN" w:bidi="ar-SA"/>
                    </w:rPr>
                  </w:pPr>
                  <w:r>
                    <w:rPr>
                      <w:rFonts w:hint="eastAsia"/>
                      <w:color w:val="auto"/>
                      <w:szCs w:val="21"/>
                      <w:lang w:val="en-US" w:eastAsia="zh-CN"/>
                    </w:rPr>
                    <w:t>12</w:t>
                  </w:r>
                </w:p>
              </w:tc>
            </w:tr>
            <w:tr w14:paraId="64A6C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top"/>
                </w:tcPr>
                <w:p w14:paraId="0B40C07B">
                  <w:pPr>
                    <w:widowControl/>
                    <w:adjustRightInd w:val="0"/>
                    <w:snapToGrid w:val="0"/>
                    <w:jc w:val="left"/>
                    <w:rPr>
                      <w:bCs/>
                      <w:color w:val="auto"/>
                      <w:szCs w:val="21"/>
                    </w:rPr>
                  </w:pPr>
                </w:p>
              </w:tc>
              <w:tc>
                <w:tcPr>
                  <w:tcW w:w="2000" w:type="dxa"/>
                  <w:gridSpan w:val="2"/>
                  <w:noWrap w:val="0"/>
                  <w:vAlign w:val="center"/>
                </w:tcPr>
                <w:p w14:paraId="480DF5A1">
                  <w:pPr>
                    <w:pStyle w:val="24"/>
                    <w:widowControl/>
                    <w:spacing w:before="0" w:beforeAutospacing="0" w:after="0" w:afterAutospacing="0"/>
                    <w:contextualSpacing/>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废机油</w:t>
                  </w:r>
                </w:p>
              </w:tc>
              <w:tc>
                <w:tcPr>
                  <w:tcW w:w="2732" w:type="dxa"/>
                  <w:vMerge w:val="restart"/>
                  <w:noWrap w:val="0"/>
                  <w:vAlign w:val="center"/>
                </w:tcPr>
                <w:p w14:paraId="65F9CC4B">
                  <w:pPr>
                    <w:adjustRightInd w:val="0"/>
                    <w:snapToGrid w:val="0"/>
                    <w:jc w:val="center"/>
                    <w:rPr>
                      <w:color w:val="auto"/>
                      <w:szCs w:val="21"/>
                    </w:rPr>
                  </w:pPr>
                  <w:r>
                    <w:rPr>
                      <w:rFonts w:hint="eastAsia" w:ascii="Times New Roman" w:hAnsi="Times New Roman"/>
                      <w:color w:val="auto"/>
                      <w:szCs w:val="21"/>
                    </w:rPr>
                    <w:t>在厂内危废暂存间暂存，定期交陕西明瑞资源再生有限公司进行处置</w:t>
                  </w:r>
                </w:p>
              </w:tc>
              <w:tc>
                <w:tcPr>
                  <w:tcW w:w="1365" w:type="dxa"/>
                  <w:noWrap w:val="0"/>
                  <w:vAlign w:val="center"/>
                </w:tcPr>
                <w:p w14:paraId="25D88C32">
                  <w:pPr>
                    <w:pStyle w:val="79"/>
                    <w:adjustRightInd w:val="0"/>
                    <w:snapToGrid w:val="0"/>
                    <w:jc w:val="center"/>
                    <w:rPr>
                      <w:bCs/>
                      <w:color w:val="auto"/>
                      <w:kern w:val="2"/>
                      <w:sz w:val="21"/>
                      <w:szCs w:val="21"/>
                      <w:lang w:val="en-US" w:eastAsia="zh-CN" w:bidi="ar-SA"/>
                    </w:rPr>
                  </w:pPr>
                  <w:r>
                    <w:rPr>
                      <w:bCs/>
                      <w:color w:val="auto"/>
                      <w:szCs w:val="21"/>
                    </w:rPr>
                    <w:t>/</w:t>
                  </w:r>
                </w:p>
              </w:tc>
              <w:tc>
                <w:tcPr>
                  <w:tcW w:w="1073" w:type="dxa"/>
                  <w:shd w:val="clear" w:color="auto" w:fill="auto"/>
                  <w:noWrap w:val="0"/>
                  <w:vAlign w:val="center"/>
                </w:tcPr>
                <w:p w14:paraId="7A920DFB">
                  <w:pPr>
                    <w:jc w:val="center"/>
                    <w:rPr>
                      <w:rFonts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0.5</w:t>
                  </w:r>
                </w:p>
              </w:tc>
            </w:tr>
            <w:tr w14:paraId="256AD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top"/>
                </w:tcPr>
                <w:p w14:paraId="1B9980F4">
                  <w:pPr>
                    <w:widowControl/>
                    <w:adjustRightInd w:val="0"/>
                    <w:snapToGrid w:val="0"/>
                    <w:jc w:val="left"/>
                    <w:rPr>
                      <w:bCs/>
                      <w:color w:val="auto"/>
                      <w:szCs w:val="21"/>
                    </w:rPr>
                  </w:pPr>
                </w:p>
              </w:tc>
              <w:tc>
                <w:tcPr>
                  <w:tcW w:w="2000" w:type="dxa"/>
                  <w:gridSpan w:val="2"/>
                  <w:noWrap w:val="0"/>
                  <w:vAlign w:val="center"/>
                </w:tcPr>
                <w:p w14:paraId="2AE1E0CA">
                  <w:pPr>
                    <w:pStyle w:val="24"/>
                    <w:widowControl/>
                    <w:spacing w:before="0" w:beforeAutospacing="0" w:after="0" w:afterAutospacing="0"/>
                    <w:contextualSpacing/>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废含油抹布、手套</w:t>
                  </w:r>
                </w:p>
              </w:tc>
              <w:tc>
                <w:tcPr>
                  <w:tcW w:w="2732" w:type="dxa"/>
                  <w:vMerge w:val="continue"/>
                  <w:noWrap w:val="0"/>
                  <w:vAlign w:val="top"/>
                </w:tcPr>
                <w:p w14:paraId="546087F9">
                  <w:pPr>
                    <w:adjustRightInd w:val="0"/>
                    <w:snapToGrid w:val="0"/>
                    <w:jc w:val="center"/>
                    <w:rPr>
                      <w:color w:val="auto"/>
                      <w:szCs w:val="21"/>
                    </w:rPr>
                  </w:pPr>
                </w:p>
              </w:tc>
              <w:tc>
                <w:tcPr>
                  <w:tcW w:w="1365" w:type="dxa"/>
                  <w:noWrap w:val="0"/>
                  <w:vAlign w:val="center"/>
                </w:tcPr>
                <w:p w14:paraId="626E52F8">
                  <w:pPr>
                    <w:pStyle w:val="79"/>
                    <w:adjustRightInd w:val="0"/>
                    <w:snapToGrid w:val="0"/>
                    <w:jc w:val="center"/>
                    <w:rPr>
                      <w:color w:val="auto"/>
                      <w:kern w:val="2"/>
                      <w:sz w:val="21"/>
                      <w:szCs w:val="21"/>
                      <w:lang w:val="en-US" w:eastAsia="zh-CN" w:bidi="ar-SA"/>
                    </w:rPr>
                  </w:pPr>
                  <w:r>
                    <w:rPr>
                      <w:bCs/>
                      <w:color w:val="auto"/>
                      <w:szCs w:val="21"/>
                    </w:rPr>
                    <w:t>/</w:t>
                  </w:r>
                </w:p>
              </w:tc>
              <w:tc>
                <w:tcPr>
                  <w:tcW w:w="1073" w:type="dxa"/>
                  <w:shd w:val="clear" w:color="auto" w:fill="auto"/>
                  <w:noWrap w:val="0"/>
                  <w:vAlign w:val="center"/>
                </w:tcPr>
                <w:p w14:paraId="6A90BB75">
                  <w:pPr>
                    <w:jc w:val="center"/>
                    <w:rPr>
                      <w:rFonts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0.02</w:t>
                  </w:r>
                </w:p>
              </w:tc>
            </w:tr>
            <w:tr w14:paraId="46744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7" w:type="dxa"/>
                  <w:vMerge w:val="continue"/>
                  <w:noWrap w:val="0"/>
                  <w:vAlign w:val="top"/>
                </w:tcPr>
                <w:p w14:paraId="0F757FA6">
                  <w:pPr>
                    <w:widowControl/>
                    <w:adjustRightInd w:val="0"/>
                    <w:snapToGrid w:val="0"/>
                    <w:jc w:val="left"/>
                    <w:rPr>
                      <w:bCs/>
                      <w:color w:val="auto"/>
                      <w:szCs w:val="21"/>
                    </w:rPr>
                  </w:pPr>
                </w:p>
              </w:tc>
              <w:tc>
                <w:tcPr>
                  <w:tcW w:w="2000" w:type="dxa"/>
                  <w:gridSpan w:val="2"/>
                  <w:noWrap w:val="0"/>
                  <w:vAlign w:val="center"/>
                </w:tcPr>
                <w:p w14:paraId="13FD8AFF">
                  <w:pPr>
                    <w:pStyle w:val="24"/>
                    <w:widowControl/>
                    <w:spacing w:before="0" w:beforeAutospacing="0" w:after="0" w:afterAutospacing="0"/>
                    <w:contextualSpacing/>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废活性炭</w:t>
                  </w:r>
                </w:p>
              </w:tc>
              <w:tc>
                <w:tcPr>
                  <w:tcW w:w="2732" w:type="dxa"/>
                  <w:vMerge w:val="continue"/>
                  <w:noWrap w:val="0"/>
                  <w:vAlign w:val="top"/>
                </w:tcPr>
                <w:p w14:paraId="4FDC14F9">
                  <w:pPr>
                    <w:adjustRightInd w:val="0"/>
                    <w:snapToGrid w:val="0"/>
                    <w:jc w:val="center"/>
                    <w:rPr>
                      <w:color w:val="auto"/>
                      <w:szCs w:val="21"/>
                    </w:rPr>
                  </w:pPr>
                </w:p>
              </w:tc>
              <w:tc>
                <w:tcPr>
                  <w:tcW w:w="1365" w:type="dxa"/>
                  <w:noWrap w:val="0"/>
                  <w:vAlign w:val="top"/>
                </w:tcPr>
                <w:p w14:paraId="3E470D55">
                  <w:pPr>
                    <w:pStyle w:val="79"/>
                    <w:adjustRightInd w:val="0"/>
                    <w:snapToGrid w:val="0"/>
                    <w:jc w:val="center"/>
                    <w:rPr>
                      <w:color w:val="auto"/>
                      <w:szCs w:val="21"/>
                    </w:rPr>
                  </w:pPr>
                  <w:r>
                    <w:rPr>
                      <w:bCs/>
                      <w:color w:val="auto"/>
                      <w:szCs w:val="21"/>
                    </w:rPr>
                    <w:t>/</w:t>
                  </w:r>
                </w:p>
              </w:tc>
              <w:tc>
                <w:tcPr>
                  <w:tcW w:w="1073" w:type="dxa"/>
                  <w:noWrap w:val="0"/>
                  <w:vAlign w:val="center"/>
                </w:tcPr>
                <w:p w14:paraId="0301CA7A">
                  <w:pPr>
                    <w:jc w:val="center"/>
                    <w:rPr>
                      <w:rFonts w:ascii="Times New Roman" w:hAnsi="Times New Roman"/>
                      <w:color w:val="auto"/>
                      <w:kern w:val="2"/>
                      <w:sz w:val="21"/>
                      <w:szCs w:val="21"/>
                      <w:lang w:val="en-US" w:eastAsia="zh-CN" w:bidi="ar-SA"/>
                    </w:rPr>
                  </w:pPr>
                  <w:r>
                    <w:rPr>
                      <w:rFonts w:hint="eastAsia" w:ascii="Times New Roman" w:hAnsi="Times New Roman"/>
                      <w:bCs/>
                      <w:color w:val="auto"/>
                      <w:kern w:val="0"/>
                      <w:szCs w:val="21"/>
                    </w:rPr>
                    <w:t>2.27</w:t>
                  </w:r>
                </w:p>
              </w:tc>
            </w:tr>
          </w:tbl>
          <w:p w14:paraId="2260F9A3">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color w:val="auto"/>
                <w:lang w:val="en-US"/>
              </w:rPr>
            </w:pPr>
            <w:r>
              <w:rPr>
                <w:rFonts w:hint="eastAsia" w:ascii="Times New Roman" w:hAnsi="Times New Roman"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val="en-US" w:eastAsia="zh-CN" w:bidi="ar"/>
              </w:rPr>
              <w:t>、</w:t>
            </w:r>
            <w:r>
              <w:rPr>
                <w:rFonts w:hint="eastAsia" w:ascii="宋体" w:hAnsi="宋体" w:eastAsia="宋体" w:cs="宋体"/>
                <w:b/>
                <w:bCs/>
                <w:color w:val="auto"/>
                <w:kern w:val="0"/>
                <w:sz w:val="24"/>
                <w:szCs w:val="24"/>
                <w:lang w:val="en-US" w:eastAsia="zh-CN" w:bidi="ar"/>
              </w:rPr>
              <w:t>企业原有环境问题及“以新带老”措施</w:t>
            </w:r>
          </w:p>
          <w:p w14:paraId="37D6FA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（1）</w:t>
            </w:r>
            <w:r>
              <w:rPr>
                <w:rFonts w:hint="eastAsia" w:ascii="Times New Roman" w:hAnsi="Times New Roman" w:eastAsia="宋体" w:cs="Times New Roman"/>
                <w:b w:val="0"/>
                <w:bCs w:val="0"/>
                <w:color w:val="auto"/>
                <w:sz w:val="24"/>
                <w:lang w:val="en-US" w:eastAsia="zh-CN"/>
              </w:rPr>
              <w:t>迁建前</w:t>
            </w:r>
          </w:p>
          <w:p w14:paraId="5A72FE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项目迁建后，原有厂房交还房东，原有设备迁建使用，项目迁建过程需严格执行《企业拆除活动污染防治技术规定（试行）》（环保部公告</w:t>
            </w:r>
            <w:r>
              <w:rPr>
                <w:rFonts w:hint="default" w:ascii="Times New Roman" w:hAnsi="Times New Roman" w:eastAsia="宋体" w:cs="Times New Roman"/>
                <w:b w:val="0"/>
                <w:bCs w:val="0"/>
                <w:color w:val="auto"/>
                <w:sz w:val="24"/>
                <w:lang w:val="en-US" w:eastAsia="zh-CN"/>
              </w:rPr>
              <w:t>2017</w:t>
            </w:r>
            <w:r>
              <w:rPr>
                <w:rFonts w:hint="eastAsia" w:ascii="Times New Roman" w:hAnsi="Times New Roman" w:eastAsia="宋体" w:cs="Times New Roman"/>
                <w:b w:val="0"/>
                <w:bCs w:val="0"/>
                <w:color w:val="auto"/>
                <w:sz w:val="24"/>
                <w:lang w:val="en-US" w:eastAsia="zh-CN"/>
              </w:rPr>
              <w:t>年第</w:t>
            </w:r>
            <w:r>
              <w:rPr>
                <w:rFonts w:hint="default" w:ascii="Times New Roman" w:hAnsi="Times New Roman" w:eastAsia="宋体" w:cs="Times New Roman"/>
                <w:b w:val="0"/>
                <w:bCs w:val="0"/>
                <w:color w:val="auto"/>
                <w:sz w:val="24"/>
                <w:lang w:val="en-US" w:eastAsia="zh-CN"/>
              </w:rPr>
              <w:t>78</w:t>
            </w:r>
            <w:r>
              <w:rPr>
                <w:rFonts w:hint="eastAsia" w:ascii="Times New Roman" w:hAnsi="Times New Roman" w:eastAsia="宋体" w:cs="Times New Roman"/>
                <w:b w:val="0"/>
                <w:bCs w:val="0"/>
                <w:color w:val="auto"/>
                <w:sz w:val="24"/>
                <w:lang w:val="en-US" w:eastAsia="zh-CN"/>
              </w:rPr>
              <w:t>号）及《关于加强工业企业关停、迁建及原址场地再开发利用过程中污染防治工作的通知》（环发</w:t>
            </w:r>
            <w:r>
              <w:rPr>
                <w:rFonts w:hint="eastAsia"/>
                <w:b w:val="0"/>
                <w:bCs w:val="0"/>
                <w:color w:val="auto"/>
                <w:sz w:val="24"/>
              </w:rPr>
              <w:t>〔</w:t>
            </w:r>
            <w:r>
              <w:rPr>
                <w:rFonts w:hint="default" w:ascii="Times New Roman" w:hAnsi="Times New Roman" w:eastAsia="宋体" w:cs="Times New Roman"/>
                <w:b w:val="0"/>
                <w:bCs w:val="0"/>
                <w:color w:val="auto"/>
                <w:sz w:val="24"/>
                <w:lang w:val="en-US" w:eastAsia="zh-CN"/>
              </w:rPr>
              <w:t>2014</w:t>
            </w:r>
            <w:r>
              <w:rPr>
                <w:rFonts w:hint="eastAsia"/>
                <w:b w:val="0"/>
                <w:bCs w:val="0"/>
                <w:color w:val="auto"/>
                <w:sz w:val="24"/>
              </w:rPr>
              <w:t>〕</w:t>
            </w:r>
            <w:r>
              <w:rPr>
                <w:rFonts w:hint="default" w:ascii="Times New Roman" w:hAnsi="Times New Roman" w:eastAsia="宋体" w:cs="Times New Roman"/>
                <w:b w:val="0"/>
                <w:bCs w:val="0"/>
                <w:color w:val="auto"/>
                <w:sz w:val="24"/>
                <w:lang w:val="en-US" w:eastAsia="zh-CN"/>
              </w:rPr>
              <w:t>66</w:t>
            </w:r>
            <w:r>
              <w:rPr>
                <w:rFonts w:hint="eastAsia" w:ascii="Times New Roman" w:hAnsi="Times New Roman" w:eastAsia="宋体" w:cs="Times New Roman"/>
                <w:b w:val="0"/>
                <w:bCs w:val="0"/>
                <w:color w:val="auto"/>
                <w:sz w:val="24"/>
                <w:lang w:val="en-US" w:eastAsia="zh-CN"/>
              </w:rPr>
              <w:t>号）等相关要求，贯彻落实拆除活动中各项污染防治工作，规范各类设施拆除过程，安全处置遗留固体废物，及时清运原厂区残留垃圾。</w:t>
            </w:r>
          </w:p>
          <w:p w14:paraId="772D42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b w:val="0"/>
                <w:bCs w:val="0"/>
                <w:color w:val="auto"/>
                <w:sz w:val="24"/>
                <w:lang w:val="en-US" w:eastAsia="zh-CN"/>
              </w:rPr>
              <w:t>原有</w:t>
            </w:r>
            <w:r>
              <w:rPr>
                <w:rFonts w:hint="eastAsia" w:ascii="Times New Roman" w:hAnsi="Times New Roman" w:eastAsia="宋体" w:cs="Times New Roman"/>
                <w:b w:val="0"/>
                <w:bCs w:val="0"/>
                <w:color w:val="auto"/>
                <w:sz w:val="24"/>
                <w:lang w:val="en-US" w:eastAsia="zh-CN"/>
              </w:rPr>
              <w:t>项目环境管理较好，废气、噪声达标排放，固废有效处置不外排，无环境污染事故和风险事故，与周边居民及企业无环保纠纷。无环境污染问题。</w:t>
            </w:r>
          </w:p>
          <w:p w14:paraId="38EC21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w:t>
            </w:r>
            <w:r>
              <w:rPr>
                <w:rFonts w:hint="eastAsia" w:ascii="Times New Roman" w:hAnsi="Times New Roman" w:eastAsia="宋体" w:cs="Times New Roman"/>
                <w:b w:val="0"/>
                <w:bCs w:val="0"/>
                <w:color w:val="auto"/>
                <w:sz w:val="24"/>
                <w:lang w:val="en-US" w:eastAsia="zh-CN"/>
              </w:rPr>
              <w:t>迁建后</w:t>
            </w:r>
          </w:p>
          <w:p w14:paraId="75EAE2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本项目迁建至</w:t>
            </w:r>
            <w:r>
              <w:rPr>
                <w:rFonts w:hint="eastAsia"/>
                <w:color w:val="auto"/>
                <w:sz w:val="24"/>
              </w:rPr>
              <w:t>泾河新城美国科技产业园宝信园区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lang w:val="en-US" w:eastAsia="zh-CN"/>
              </w:rPr>
              <w:t>根据现场踏勘及建设单位提供相关信息，本项目租赁</w:t>
            </w:r>
            <w:r>
              <w:rPr>
                <w:rFonts w:hint="eastAsia"/>
                <w:color w:val="auto"/>
                <w:sz w:val="24"/>
              </w:rPr>
              <w:t>陕西宝信金属科技有限公司</w:t>
            </w:r>
            <w:r>
              <w:rPr>
                <w:rFonts w:hint="eastAsia" w:ascii="Times New Roman" w:hAnsi="Times New Roman" w:eastAsia="宋体" w:cs="Times New Roman"/>
                <w:color w:val="auto"/>
                <w:sz w:val="24"/>
                <w:lang w:val="en-US" w:eastAsia="zh-CN"/>
              </w:rPr>
              <w:t>厂房原为闲置空厂房，无污染，未进行生产，无废物产生。租赁厂房四周建筑物均已建设完成，故无遗留环境问题。</w:t>
            </w:r>
          </w:p>
          <w:p w14:paraId="0EC76385">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5DFA072B">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4AEB5401">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35DAB4BF">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0AE119E2">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48F48E94">
            <w:pPr>
              <w:pStyle w:val="69"/>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b/>
                <w:bCs/>
                <w:color w:val="auto"/>
                <w:lang w:val="en-US" w:eastAsia="zh-CN"/>
              </w:rPr>
            </w:pPr>
          </w:p>
        </w:tc>
      </w:tr>
    </w:tbl>
    <w:p w14:paraId="19E08EDA">
      <w:pPr>
        <w:pStyle w:val="24"/>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F12EEA2">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37618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noWrap w:val="0"/>
            <w:vAlign w:val="center"/>
          </w:tcPr>
          <w:p w14:paraId="6C58A331">
            <w:pPr>
              <w:adjustRightInd w:val="0"/>
              <w:snapToGrid w:val="0"/>
              <w:jc w:val="center"/>
              <w:rPr>
                <w:color w:val="auto"/>
                <w:kern w:val="0"/>
                <w:sz w:val="24"/>
              </w:rPr>
            </w:pPr>
            <w:r>
              <w:rPr>
                <w:color w:val="auto"/>
                <w:kern w:val="0"/>
                <w:sz w:val="24"/>
              </w:rPr>
              <w:t>区域环境质量现状</w:t>
            </w:r>
          </w:p>
        </w:tc>
        <w:tc>
          <w:tcPr>
            <w:tcW w:w="8190" w:type="dxa"/>
            <w:noWrap w:val="0"/>
            <w:vAlign w:val="center"/>
          </w:tcPr>
          <w:p w14:paraId="10C2A72A">
            <w:pPr>
              <w:tabs>
                <w:tab w:val="left" w:pos="8607"/>
              </w:tabs>
              <w:spacing w:before="120" w:beforeLines="50" w:line="360" w:lineRule="auto"/>
              <w:ind w:firstLine="482" w:firstLineChars="200"/>
              <w:rPr>
                <w:b/>
                <w:color w:val="auto"/>
                <w:sz w:val="24"/>
              </w:rPr>
            </w:pPr>
            <w:r>
              <w:rPr>
                <w:b/>
                <w:color w:val="auto"/>
                <w:sz w:val="24"/>
              </w:rPr>
              <w:t>1、</w:t>
            </w:r>
            <w:r>
              <w:rPr>
                <w:rFonts w:hint="eastAsia"/>
                <w:b/>
                <w:color w:val="auto"/>
                <w:sz w:val="24"/>
              </w:rPr>
              <w:t>环境空气</w:t>
            </w:r>
            <w:r>
              <w:rPr>
                <w:b/>
                <w:color w:val="auto"/>
                <w:sz w:val="24"/>
              </w:rPr>
              <w:t>质量现状</w:t>
            </w:r>
          </w:p>
          <w:p w14:paraId="684A6785">
            <w:pPr>
              <w:tabs>
                <w:tab w:val="left" w:pos="8607"/>
              </w:tabs>
              <w:spacing w:line="360" w:lineRule="auto"/>
              <w:ind w:firstLine="480" w:firstLineChars="200"/>
              <w:rPr>
                <w:bCs/>
                <w:color w:val="auto"/>
                <w:sz w:val="24"/>
              </w:rPr>
            </w:pPr>
            <w:bookmarkStart w:id="7" w:name="_Toc58491014"/>
            <w:bookmarkStart w:id="8" w:name="_Toc58638882"/>
            <w:bookmarkStart w:id="9" w:name="_Toc58121777"/>
            <w:bookmarkStart w:id="10" w:name="_Toc68774027"/>
            <w:bookmarkStart w:id="11" w:name="_Toc61861954"/>
            <w:bookmarkStart w:id="12" w:name="_Toc58229306"/>
            <w:bookmarkStart w:id="13" w:name="_Toc68847870"/>
            <w:bookmarkStart w:id="14" w:name="_Toc58641493"/>
            <w:bookmarkStart w:id="15" w:name="_Toc68582481"/>
            <w:bookmarkStart w:id="16" w:name="_Toc58810542"/>
            <w:bookmarkStart w:id="17" w:name="_Toc58314442"/>
            <w:bookmarkStart w:id="18" w:name="_Toc57868326"/>
            <w:bookmarkStart w:id="19" w:name="_Toc68348238"/>
            <w:bookmarkStart w:id="20" w:name="_Toc59682789"/>
            <w:bookmarkStart w:id="21" w:name="_Toc60035525"/>
            <w:bookmarkStart w:id="22" w:name="_Toc58041094"/>
            <w:bookmarkStart w:id="23" w:name="_Toc58646773"/>
            <w:bookmarkStart w:id="24" w:name="_Toc59266590"/>
            <w:bookmarkStart w:id="25" w:name="_Toc59965649"/>
            <w:bookmarkStart w:id="26" w:name="_Toc59851101"/>
            <w:bookmarkStart w:id="27" w:name="_Toc60024601"/>
            <w:bookmarkStart w:id="28" w:name="_Toc58816645"/>
            <w:bookmarkStart w:id="29" w:name="_Toc58124711"/>
            <w:bookmarkStart w:id="30" w:name="_Toc68507198"/>
            <w:bookmarkStart w:id="31" w:name="_Toc100071049"/>
            <w:bookmarkStart w:id="32" w:name="_Toc68686395"/>
            <w:bookmarkStart w:id="33" w:name="_Toc68766602"/>
            <w:bookmarkStart w:id="34" w:name="_Toc68749951"/>
            <w:bookmarkStart w:id="35" w:name="_Toc58731260"/>
            <w:bookmarkStart w:id="36" w:name="_Toc68684089"/>
            <w:bookmarkStart w:id="37" w:name="_Toc58810455"/>
            <w:bookmarkStart w:id="38" w:name="_Toc68676526"/>
            <w:bookmarkStart w:id="39" w:name="_Toc58643194"/>
            <w:r>
              <w:rPr>
                <w:bCs/>
                <w:color w:val="auto"/>
                <w:sz w:val="24"/>
              </w:rPr>
              <w:t>（1）基本污染物环境质量现状</w:t>
            </w:r>
          </w:p>
          <w:p w14:paraId="77773485">
            <w:pPr>
              <w:spacing w:line="360" w:lineRule="auto"/>
              <w:ind w:firstLine="480" w:firstLineChars="200"/>
              <w:rPr>
                <w:color w:val="auto"/>
                <w:sz w:val="24"/>
              </w:rPr>
            </w:pPr>
            <w:r>
              <w:rPr>
                <w:color w:val="auto"/>
                <w:sz w:val="24"/>
              </w:rPr>
              <w:t>根据</w:t>
            </w:r>
            <w:r>
              <w:rPr>
                <w:rFonts w:hint="eastAsia"/>
                <w:color w:val="auto"/>
                <w:sz w:val="24"/>
              </w:rPr>
              <w:t>陕西省生态环境厅办公室</w:t>
            </w:r>
            <w:r>
              <w:rPr>
                <w:color w:val="auto"/>
                <w:sz w:val="24"/>
              </w:rPr>
              <w:t>202</w:t>
            </w:r>
            <w:r>
              <w:rPr>
                <w:rFonts w:hint="eastAsia"/>
                <w:color w:val="auto"/>
                <w:sz w:val="24"/>
                <w:lang w:val="en-US" w:eastAsia="zh-CN"/>
              </w:rPr>
              <w:t>5</w:t>
            </w:r>
            <w:r>
              <w:rPr>
                <w:color w:val="auto"/>
                <w:sz w:val="24"/>
              </w:rPr>
              <w:t>年1月</w:t>
            </w:r>
            <w:r>
              <w:rPr>
                <w:rFonts w:hint="eastAsia"/>
                <w:color w:val="auto"/>
                <w:sz w:val="24"/>
                <w:lang w:val="en-US" w:eastAsia="zh-CN"/>
              </w:rPr>
              <w:t>21</w:t>
            </w:r>
            <w:r>
              <w:rPr>
                <w:color w:val="auto"/>
                <w:sz w:val="24"/>
              </w:rPr>
              <w:t>日发布的《环保快报》附表</w:t>
            </w:r>
            <w:r>
              <w:rPr>
                <w:rFonts w:hint="eastAsia"/>
                <w:color w:val="auto"/>
                <w:sz w:val="24"/>
              </w:rPr>
              <w:t>4</w:t>
            </w:r>
            <w:r>
              <w:rPr>
                <w:color w:val="auto"/>
                <w:sz w:val="24"/>
              </w:rPr>
              <w:t>：</w:t>
            </w:r>
            <w:r>
              <w:rPr>
                <w:rFonts w:hint="eastAsia"/>
                <w:bCs/>
                <w:color w:val="auto"/>
                <w:sz w:val="24"/>
              </w:rPr>
              <w:t>“</w:t>
            </w:r>
            <w:r>
              <w:rPr>
                <w:rFonts w:hint="eastAsia"/>
                <w:color w:val="auto"/>
                <w:sz w:val="24"/>
              </w:rPr>
              <w:t>202</w:t>
            </w:r>
            <w:r>
              <w:rPr>
                <w:rFonts w:hint="eastAsia"/>
                <w:color w:val="auto"/>
                <w:sz w:val="24"/>
                <w:lang w:val="en-US" w:eastAsia="zh-CN"/>
              </w:rPr>
              <w:t>4</w:t>
            </w:r>
            <w:r>
              <w:rPr>
                <w:rFonts w:hint="eastAsia"/>
                <w:color w:val="auto"/>
                <w:sz w:val="24"/>
              </w:rPr>
              <w:t>年1～12月关中地区6</w:t>
            </w:r>
            <w:r>
              <w:rPr>
                <w:rFonts w:hint="eastAsia"/>
                <w:color w:val="auto"/>
                <w:sz w:val="24"/>
                <w:lang w:val="en-US" w:eastAsia="zh-CN"/>
              </w:rPr>
              <w:t>3</w:t>
            </w:r>
            <w:r>
              <w:rPr>
                <w:rFonts w:hint="eastAsia"/>
                <w:color w:val="auto"/>
                <w:sz w:val="24"/>
              </w:rPr>
              <w:t>个县（区）空气质量状况统计表</w:t>
            </w:r>
            <w:r>
              <w:rPr>
                <w:rFonts w:hint="eastAsia"/>
                <w:bCs/>
                <w:color w:val="auto"/>
                <w:sz w:val="24"/>
              </w:rPr>
              <w:t>”</w:t>
            </w:r>
            <w:r>
              <w:rPr>
                <w:bCs/>
                <w:color w:val="auto"/>
                <w:sz w:val="24"/>
              </w:rPr>
              <w:t>中</w:t>
            </w:r>
            <w:r>
              <w:rPr>
                <w:rFonts w:hint="eastAsia"/>
                <w:bCs/>
                <w:color w:val="auto"/>
                <w:sz w:val="24"/>
              </w:rPr>
              <w:t>西安市西咸新区环境</w:t>
            </w:r>
            <w:r>
              <w:rPr>
                <w:bCs/>
                <w:color w:val="auto"/>
                <w:sz w:val="24"/>
              </w:rPr>
              <w:t>空气</w:t>
            </w:r>
            <w:r>
              <w:rPr>
                <w:rFonts w:hint="eastAsia"/>
                <w:bCs/>
                <w:color w:val="auto"/>
                <w:sz w:val="24"/>
              </w:rPr>
              <w:t>质量数据进行评价，评价因子主要有SO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2</w:t>
            </w:r>
            <w:r>
              <w:rPr>
                <w:rFonts w:hint="eastAsia"/>
                <w:bCs/>
                <w:color w:val="auto"/>
                <w:sz w:val="24"/>
              </w:rPr>
              <w:t>、PM</w:t>
            </w:r>
            <w:r>
              <w:rPr>
                <w:rFonts w:hint="eastAsia"/>
                <w:bCs/>
                <w:color w:val="auto"/>
                <w:sz w:val="24"/>
                <w:vertAlign w:val="subscript"/>
              </w:rPr>
              <w:t>10</w:t>
            </w:r>
            <w:r>
              <w:rPr>
                <w:rFonts w:hint="eastAsia"/>
                <w:bCs/>
                <w:color w:val="auto"/>
                <w:sz w:val="24"/>
              </w:rPr>
              <w:t>、PM</w:t>
            </w:r>
            <w:r>
              <w:rPr>
                <w:rFonts w:hint="eastAsia"/>
                <w:bCs/>
                <w:color w:val="auto"/>
                <w:sz w:val="24"/>
                <w:vertAlign w:val="subscript"/>
              </w:rPr>
              <w:t>2.5</w:t>
            </w:r>
            <w:r>
              <w:rPr>
                <w:rFonts w:hint="eastAsia"/>
                <w:bCs/>
                <w:color w:val="auto"/>
                <w:sz w:val="24"/>
              </w:rPr>
              <w:t>、CO、O</w:t>
            </w:r>
            <w:r>
              <w:rPr>
                <w:rFonts w:hint="eastAsia"/>
                <w:bCs/>
                <w:color w:val="auto"/>
                <w:sz w:val="24"/>
                <w:vertAlign w:val="subscript"/>
              </w:rPr>
              <w:t>3</w:t>
            </w:r>
            <w:r>
              <w:rPr>
                <w:rFonts w:hint="eastAsia"/>
                <w:bCs/>
                <w:color w:val="auto"/>
                <w:sz w:val="24"/>
              </w:rPr>
              <w:t>六项指标，</w:t>
            </w:r>
            <w:r>
              <w:rPr>
                <w:bCs/>
                <w:color w:val="auto"/>
                <w:sz w:val="24"/>
              </w:rPr>
              <w:t>环境空气质量现状统计结果见下表。</w:t>
            </w:r>
          </w:p>
          <w:p w14:paraId="4C027F6A">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 xml:space="preserve">3-1  </w:t>
            </w:r>
            <w:r>
              <w:rPr>
                <w:rFonts w:hAnsi="Times New Roman" w:cs="Times New Roman"/>
                <w:b/>
                <w:bCs/>
                <w:color w:val="auto"/>
                <w:kern w:val="21"/>
                <w:szCs w:val="24"/>
              </w:rPr>
              <w:t>空气质量状况统计结果</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147"/>
              <w:gridCol w:w="1316"/>
              <w:gridCol w:w="1139"/>
              <w:gridCol w:w="1321"/>
              <w:gridCol w:w="1160"/>
            </w:tblGrid>
            <w:tr w14:paraId="5DC1A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02" w:type="pct"/>
                  <w:noWrap w:val="0"/>
                  <w:vAlign w:val="center"/>
                </w:tcPr>
                <w:p w14:paraId="3154A41C">
                  <w:pPr>
                    <w:pStyle w:val="26"/>
                    <w:spacing w:after="0"/>
                    <w:ind w:left="0" w:leftChars="0" w:firstLine="0" w:firstLineChars="0"/>
                    <w:jc w:val="center"/>
                    <w:rPr>
                      <w:b/>
                      <w:bCs/>
                      <w:color w:val="auto"/>
                      <w:sz w:val="21"/>
                      <w:szCs w:val="21"/>
                    </w:rPr>
                  </w:pPr>
                  <w:r>
                    <w:rPr>
                      <w:b/>
                      <w:bCs/>
                      <w:color w:val="auto"/>
                      <w:sz w:val="21"/>
                      <w:szCs w:val="21"/>
                    </w:rPr>
                    <w:t>污染物</w:t>
                  </w:r>
                </w:p>
              </w:tc>
              <w:tc>
                <w:tcPr>
                  <w:tcW w:w="1331" w:type="pct"/>
                  <w:noWrap w:val="0"/>
                  <w:vAlign w:val="center"/>
                </w:tcPr>
                <w:p w14:paraId="5018FC6C">
                  <w:pPr>
                    <w:pStyle w:val="26"/>
                    <w:spacing w:after="0"/>
                    <w:ind w:left="0" w:leftChars="0" w:firstLine="0" w:firstLineChars="0"/>
                    <w:jc w:val="center"/>
                    <w:rPr>
                      <w:b/>
                      <w:bCs/>
                      <w:color w:val="auto"/>
                      <w:sz w:val="21"/>
                      <w:szCs w:val="21"/>
                    </w:rPr>
                  </w:pPr>
                  <w:r>
                    <w:rPr>
                      <w:b/>
                      <w:bCs/>
                      <w:color w:val="auto"/>
                      <w:sz w:val="21"/>
                      <w:szCs w:val="21"/>
                    </w:rPr>
                    <w:t>年评价指标</w:t>
                  </w:r>
                </w:p>
              </w:tc>
              <w:tc>
                <w:tcPr>
                  <w:tcW w:w="817" w:type="pct"/>
                  <w:noWrap w:val="0"/>
                  <w:vAlign w:val="center"/>
                </w:tcPr>
                <w:p w14:paraId="2059374C">
                  <w:pPr>
                    <w:pStyle w:val="26"/>
                    <w:spacing w:after="0"/>
                    <w:ind w:left="0" w:leftChars="0" w:firstLine="0" w:firstLineChars="0"/>
                    <w:jc w:val="center"/>
                    <w:rPr>
                      <w:b/>
                      <w:bCs/>
                      <w:color w:val="auto"/>
                      <w:sz w:val="21"/>
                      <w:szCs w:val="21"/>
                    </w:rPr>
                  </w:pPr>
                  <w:r>
                    <w:rPr>
                      <w:b/>
                      <w:bCs/>
                      <w:color w:val="auto"/>
                      <w:sz w:val="21"/>
                      <w:szCs w:val="21"/>
                    </w:rPr>
                    <w:t>现状浓度</w:t>
                  </w:r>
                  <w:r>
                    <w:rPr>
                      <w:rFonts w:hint="eastAsia"/>
                      <w:b/>
                      <w:bCs/>
                      <w:color w:val="auto"/>
                      <w:sz w:val="21"/>
                      <w:szCs w:val="21"/>
                    </w:rPr>
                    <w:t>（</w:t>
                  </w:r>
                  <w:r>
                    <w:rPr>
                      <w:b/>
                      <w:color w:val="auto"/>
                      <w:sz w:val="21"/>
                      <w:szCs w:val="21"/>
                    </w:rPr>
                    <w:t>μg/m³</w:t>
                  </w:r>
                  <w:r>
                    <w:rPr>
                      <w:rFonts w:hint="eastAsia"/>
                      <w:b/>
                      <w:color w:val="auto"/>
                      <w:sz w:val="21"/>
                      <w:szCs w:val="21"/>
                    </w:rPr>
                    <w:t>）</w:t>
                  </w:r>
                </w:p>
              </w:tc>
              <w:tc>
                <w:tcPr>
                  <w:tcW w:w="707" w:type="pct"/>
                  <w:noWrap w:val="0"/>
                  <w:vAlign w:val="center"/>
                </w:tcPr>
                <w:p w14:paraId="6B19B80E">
                  <w:pPr>
                    <w:pStyle w:val="26"/>
                    <w:spacing w:after="0"/>
                    <w:ind w:left="0" w:leftChars="0" w:firstLine="0" w:firstLineChars="0"/>
                    <w:jc w:val="center"/>
                    <w:rPr>
                      <w:b/>
                      <w:bCs/>
                      <w:color w:val="auto"/>
                      <w:sz w:val="21"/>
                      <w:szCs w:val="21"/>
                    </w:rPr>
                  </w:pPr>
                  <w:r>
                    <w:rPr>
                      <w:b/>
                      <w:bCs/>
                      <w:color w:val="auto"/>
                      <w:sz w:val="21"/>
                      <w:szCs w:val="21"/>
                    </w:rPr>
                    <w:t>标准值</w:t>
                  </w:r>
                  <w:r>
                    <w:rPr>
                      <w:rFonts w:hint="eastAsia"/>
                      <w:b/>
                      <w:bCs/>
                      <w:color w:val="auto"/>
                      <w:sz w:val="21"/>
                      <w:szCs w:val="21"/>
                    </w:rPr>
                    <w:t>（</w:t>
                  </w:r>
                  <w:r>
                    <w:rPr>
                      <w:b/>
                      <w:color w:val="auto"/>
                      <w:sz w:val="21"/>
                      <w:szCs w:val="21"/>
                    </w:rPr>
                    <w:t>μg/m³</w:t>
                  </w:r>
                  <w:r>
                    <w:rPr>
                      <w:rFonts w:hint="eastAsia"/>
                      <w:b/>
                      <w:color w:val="auto"/>
                      <w:sz w:val="21"/>
                      <w:szCs w:val="21"/>
                    </w:rPr>
                    <w:t>）</w:t>
                  </w:r>
                </w:p>
              </w:tc>
              <w:tc>
                <w:tcPr>
                  <w:tcW w:w="820" w:type="pct"/>
                  <w:noWrap w:val="0"/>
                  <w:vAlign w:val="center"/>
                </w:tcPr>
                <w:p w14:paraId="6C55B3B9">
                  <w:pPr>
                    <w:pStyle w:val="26"/>
                    <w:spacing w:after="0"/>
                    <w:ind w:left="0" w:leftChars="0" w:firstLine="0" w:firstLineChars="0"/>
                    <w:jc w:val="center"/>
                    <w:rPr>
                      <w:b/>
                      <w:bCs/>
                      <w:color w:val="auto"/>
                      <w:sz w:val="21"/>
                      <w:szCs w:val="21"/>
                    </w:rPr>
                  </w:pPr>
                  <w:r>
                    <w:rPr>
                      <w:rFonts w:hint="eastAsia"/>
                      <w:b/>
                      <w:bCs/>
                      <w:color w:val="auto"/>
                      <w:sz w:val="21"/>
                      <w:szCs w:val="21"/>
                    </w:rPr>
                    <w:t>最大浓度占标率</w:t>
                  </w:r>
                  <w:r>
                    <w:rPr>
                      <w:b/>
                      <w:color w:val="auto"/>
                      <w:sz w:val="21"/>
                      <w:szCs w:val="21"/>
                    </w:rPr>
                    <w:t>%</w:t>
                  </w:r>
                </w:p>
              </w:tc>
              <w:tc>
                <w:tcPr>
                  <w:tcW w:w="720" w:type="pct"/>
                  <w:noWrap w:val="0"/>
                  <w:vAlign w:val="center"/>
                </w:tcPr>
                <w:p w14:paraId="62A11A02">
                  <w:pPr>
                    <w:pStyle w:val="26"/>
                    <w:spacing w:after="0"/>
                    <w:ind w:left="0" w:leftChars="0" w:firstLine="0" w:firstLineChars="0"/>
                    <w:jc w:val="center"/>
                    <w:rPr>
                      <w:b/>
                      <w:bCs/>
                      <w:color w:val="auto"/>
                      <w:sz w:val="21"/>
                      <w:szCs w:val="21"/>
                    </w:rPr>
                  </w:pPr>
                  <w:r>
                    <w:rPr>
                      <w:b/>
                      <w:bCs/>
                      <w:color w:val="auto"/>
                      <w:sz w:val="21"/>
                      <w:szCs w:val="21"/>
                    </w:rPr>
                    <w:t>达标情况</w:t>
                  </w:r>
                </w:p>
              </w:tc>
            </w:tr>
            <w:tr w14:paraId="213A1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5397789A">
                  <w:pPr>
                    <w:adjustRightInd w:val="0"/>
                    <w:snapToGrid w:val="0"/>
                    <w:jc w:val="center"/>
                    <w:rPr>
                      <w:color w:val="auto"/>
                      <w:szCs w:val="21"/>
                    </w:rPr>
                  </w:pPr>
                  <w:r>
                    <w:rPr>
                      <w:bCs/>
                      <w:color w:val="auto"/>
                      <w:szCs w:val="21"/>
                    </w:rPr>
                    <w:t>SO</w:t>
                  </w:r>
                  <w:r>
                    <w:rPr>
                      <w:bCs/>
                      <w:color w:val="auto"/>
                      <w:szCs w:val="21"/>
                      <w:vertAlign w:val="subscript"/>
                    </w:rPr>
                    <w:t>2</w:t>
                  </w:r>
                </w:p>
              </w:tc>
              <w:tc>
                <w:tcPr>
                  <w:tcW w:w="1331" w:type="pct"/>
                  <w:noWrap w:val="0"/>
                  <w:vAlign w:val="center"/>
                </w:tcPr>
                <w:p w14:paraId="6167E565">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5E644347">
                  <w:pPr>
                    <w:pStyle w:val="26"/>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lang w:val="en-US" w:eastAsia="zh-CN"/>
                    </w:rPr>
                    <w:t>5</w:t>
                  </w:r>
                </w:p>
              </w:tc>
              <w:tc>
                <w:tcPr>
                  <w:tcW w:w="707" w:type="pct"/>
                  <w:noWrap w:val="0"/>
                  <w:vAlign w:val="center"/>
                </w:tcPr>
                <w:p w14:paraId="72374901">
                  <w:pPr>
                    <w:pStyle w:val="26"/>
                    <w:spacing w:after="0"/>
                    <w:ind w:left="0" w:leftChars="0" w:firstLine="0" w:firstLineChars="0"/>
                    <w:jc w:val="center"/>
                    <w:rPr>
                      <w:bCs/>
                      <w:color w:val="auto"/>
                      <w:sz w:val="21"/>
                      <w:szCs w:val="21"/>
                    </w:rPr>
                  </w:pPr>
                  <w:r>
                    <w:rPr>
                      <w:bCs/>
                      <w:color w:val="auto"/>
                      <w:sz w:val="21"/>
                      <w:szCs w:val="21"/>
                    </w:rPr>
                    <w:t>60</w:t>
                  </w:r>
                </w:p>
              </w:tc>
              <w:tc>
                <w:tcPr>
                  <w:tcW w:w="820" w:type="pct"/>
                  <w:noWrap w:val="0"/>
                  <w:vAlign w:val="center"/>
                </w:tcPr>
                <w:p w14:paraId="16A4E3E6">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8.3</w:t>
                  </w:r>
                </w:p>
              </w:tc>
              <w:tc>
                <w:tcPr>
                  <w:tcW w:w="720" w:type="pct"/>
                  <w:noWrap w:val="0"/>
                  <w:vAlign w:val="center"/>
                </w:tcPr>
                <w:p w14:paraId="778F9FEB">
                  <w:pPr>
                    <w:pStyle w:val="26"/>
                    <w:spacing w:after="0"/>
                    <w:ind w:left="0" w:leftChars="0" w:firstLine="0" w:firstLineChars="0"/>
                    <w:jc w:val="center"/>
                    <w:rPr>
                      <w:bCs/>
                      <w:color w:val="auto"/>
                      <w:sz w:val="21"/>
                      <w:szCs w:val="21"/>
                    </w:rPr>
                  </w:pPr>
                  <w:r>
                    <w:rPr>
                      <w:bCs/>
                      <w:color w:val="auto"/>
                      <w:sz w:val="21"/>
                      <w:szCs w:val="21"/>
                    </w:rPr>
                    <w:t>达标</w:t>
                  </w:r>
                </w:p>
              </w:tc>
            </w:tr>
            <w:tr w14:paraId="338C2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2A3A4B1F">
                  <w:pPr>
                    <w:adjustRightInd w:val="0"/>
                    <w:snapToGrid w:val="0"/>
                    <w:jc w:val="center"/>
                    <w:rPr>
                      <w:color w:val="auto"/>
                      <w:szCs w:val="21"/>
                    </w:rPr>
                  </w:pPr>
                  <w:r>
                    <w:rPr>
                      <w:bCs/>
                      <w:color w:val="auto"/>
                      <w:szCs w:val="21"/>
                    </w:rPr>
                    <w:t>NO</w:t>
                  </w:r>
                  <w:r>
                    <w:rPr>
                      <w:bCs/>
                      <w:color w:val="auto"/>
                      <w:szCs w:val="21"/>
                      <w:vertAlign w:val="subscript"/>
                    </w:rPr>
                    <w:t>2</w:t>
                  </w:r>
                </w:p>
              </w:tc>
              <w:tc>
                <w:tcPr>
                  <w:tcW w:w="1331" w:type="pct"/>
                  <w:noWrap w:val="0"/>
                  <w:vAlign w:val="center"/>
                </w:tcPr>
                <w:p w14:paraId="5D087F9C">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5241B7C9">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31</w:t>
                  </w:r>
                </w:p>
              </w:tc>
              <w:tc>
                <w:tcPr>
                  <w:tcW w:w="707" w:type="pct"/>
                  <w:noWrap w:val="0"/>
                  <w:vAlign w:val="center"/>
                </w:tcPr>
                <w:p w14:paraId="5315CDB9">
                  <w:pPr>
                    <w:pStyle w:val="26"/>
                    <w:spacing w:after="0"/>
                    <w:ind w:left="0" w:leftChars="0" w:firstLine="0" w:firstLineChars="0"/>
                    <w:jc w:val="center"/>
                    <w:rPr>
                      <w:bCs/>
                      <w:color w:val="auto"/>
                      <w:sz w:val="21"/>
                      <w:szCs w:val="21"/>
                    </w:rPr>
                  </w:pPr>
                  <w:r>
                    <w:rPr>
                      <w:bCs/>
                      <w:color w:val="auto"/>
                      <w:sz w:val="21"/>
                      <w:szCs w:val="21"/>
                    </w:rPr>
                    <w:t>40</w:t>
                  </w:r>
                </w:p>
              </w:tc>
              <w:tc>
                <w:tcPr>
                  <w:tcW w:w="820" w:type="pct"/>
                  <w:noWrap w:val="0"/>
                  <w:vAlign w:val="center"/>
                </w:tcPr>
                <w:p w14:paraId="1005DDF0">
                  <w:pPr>
                    <w:pStyle w:val="26"/>
                    <w:spacing w:after="0"/>
                    <w:ind w:left="0" w:leftChars="0" w:firstLine="0" w:firstLineChars="0"/>
                    <w:jc w:val="center"/>
                    <w:rPr>
                      <w:bCs/>
                      <w:color w:val="auto"/>
                      <w:sz w:val="21"/>
                      <w:szCs w:val="21"/>
                    </w:rPr>
                  </w:pPr>
                  <w:r>
                    <w:rPr>
                      <w:rFonts w:hint="eastAsia"/>
                      <w:bCs/>
                      <w:color w:val="auto"/>
                      <w:sz w:val="21"/>
                      <w:szCs w:val="21"/>
                      <w:lang w:val="en-US" w:eastAsia="zh-CN"/>
                    </w:rPr>
                    <w:t>77</w:t>
                  </w:r>
                  <w:r>
                    <w:rPr>
                      <w:rFonts w:hint="eastAsia"/>
                      <w:bCs/>
                      <w:color w:val="auto"/>
                      <w:sz w:val="21"/>
                      <w:szCs w:val="21"/>
                    </w:rPr>
                    <w:t>.5</w:t>
                  </w:r>
                </w:p>
              </w:tc>
              <w:tc>
                <w:tcPr>
                  <w:tcW w:w="720" w:type="pct"/>
                  <w:noWrap w:val="0"/>
                  <w:vAlign w:val="center"/>
                </w:tcPr>
                <w:p w14:paraId="2ABBF5B1">
                  <w:pPr>
                    <w:pStyle w:val="26"/>
                    <w:spacing w:after="0"/>
                    <w:ind w:left="0" w:leftChars="0" w:firstLine="0" w:firstLineChars="0"/>
                    <w:jc w:val="center"/>
                    <w:rPr>
                      <w:bCs/>
                      <w:color w:val="auto"/>
                      <w:sz w:val="21"/>
                      <w:szCs w:val="21"/>
                    </w:rPr>
                  </w:pPr>
                  <w:r>
                    <w:rPr>
                      <w:bCs/>
                      <w:color w:val="auto"/>
                      <w:sz w:val="21"/>
                      <w:szCs w:val="21"/>
                    </w:rPr>
                    <w:t>达标</w:t>
                  </w:r>
                </w:p>
              </w:tc>
            </w:tr>
            <w:tr w14:paraId="2574F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02356284">
                  <w:pPr>
                    <w:adjustRightInd w:val="0"/>
                    <w:snapToGrid w:val="0"/>
                    <w:jc w:val="center"/>
                    <w:rPr>
                      <w:color w:val="auto"/>
                      <w:szCs w:val="21"/>
                    </w:rPr>
                  </w:pPr>
                  <w:r>
                    <w:rPr>
                      <w:bCs/>
                      <w:color w:val="auto"/>
                      <w:szCs w:val="21"/>
                    </w:rPr>
                    <w:t>PM</w:t>
                  </w:r>
                  <w:r>
                    <w:rPr>
                      <w:bCs/>
                      <w:color w:val="auto"/>
                      <w:szCs w:val="21"/>
                      <w:vertAlign w:val="subscript"/>
                    </w:rPr>
                    <w:t>2.5</w:t>
                  </w:r>
                </w:p>
              </w:tc>
              <w:tc>
                <w:tcPr>
                  <w:tcW w:w="1331" w:type="pct"/>
                  <w:noWrap w:val="0"/>
                  <w:vAlign w:val="center"/>
                </w:tcPr>
                <w:p w14:paraId="251E16B0">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7B4FA2A5">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43</w:t>
                  </w:r>
                </w:p>
              </w:tc>
              <w:tc>
                <w:tcPr>
                  <w:tcW w:w="707" w:type="pct"/>
                  <w:noWrap w:val="0"/>
                  <w:vAlign w:val="center"/>
                </w:tcPr>
                <w:p w14:paraId="0CD0D266">
                  <w:pPr>
                    <w:pStyle w:val="26"/>
                    <w:spacing w:after="0"/>
                    <w:ind w:left="0" w:leftChars="0" w:firstLine="0" w:firstLineChars="0"/>
                    <w:jc w:val="center"/>
                    <w:rPr>
                      <w:bCs/>
                      <w:color w:val="auto"/>
                      <w:sz w:val="21"/>
                      <w:szCs w:val="21"/>
                    </w:rPr>
                  </w:pPr>
                  <w:r>
                    <w:rPr>
                      <w:bCs/>
                      <w:color w:val="auto"/>
                      <w:sz w:val="21"/>
                      <w:szCs w:val="21"/>
                    </w:rPr>
                    <w:t>35</w:t>
                  </w:r>
                </w:p>
              </w:tc>
              <w:tc>
                <w:tcPr>
                  <w:tcW w:w="820" w:type="pct"/>
                  <w:noWrap w:val="0"/>
                  <w:vAlign w:val="center"/>
                </w:tcPr>
                <w:p w14:paraId="18B6398F">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rPr>
                    <w:t>1</w:t>
                  </w:r>
                  <w:r>
                    <w:rPr>
                      <w:rFonts w:hint="eastAsia"/>
                      <w:bCs/>
                      <w:color w:val="auto"/>
                      <w:sz w:val="21"/>
                      <w:szCs w:val="21"/>
                      <w:lang w:val="en-US" w:eastAsia="zh-CN"/>
                    </w:rPr>
                    <w:t>22.9</w:t>
                  </w:r>
                </w:p>
              </w:tc>
              <w:tc>
                <w:tcPr>
                  <w:tcW w:w="720" w:type="pct"/>
                  <w:noWrap w:val="0"/>
                  <w:vAlign w:val="center"/>
                </w:tcPr>
                <w:p w14:paraId="7CF890E2">
                  <w:pPr>
                    <w:pStyle w:val="26"/>
                    <w:spacing w:after="0"/>
                    <w:ind w:left="0" w:leftChars="0" w:firstLine="0" w:firstLineChars="0"/>
                    <w:jc w:val="center"/>
                    <w:rPr>
                      <w:bCs/>
                      <w:color w:val="auto"/>
                      <w:sz w:val="21"/>
                      <w:szCs w:val="21"/>
                    </w:rPr>
                  </w:pPr>
                  <w:r>
                    <w:rPr>
                      <w:bCs/>
                      <w:color w:val="auto"/>
                      <w:sz w:val="21"/>
                      <w:szCs w:val="21"/>
                    </w:rPr>
                    <w:t>不达标</w:t>
                  </w:r>
                </w:p>
              </w:tc>
            </w:tr>
            <w:tr w14:paraId="779D8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5614E212">
                  <w:pPr>
                    <w:adjustRightInd w:val="0"/>
                    <w:snapToGrid w:val="0"/>
                    <w:jc w:val="center"/>
                    <w:rPr>
                      <w:color w:val="auto"/>
                      <w:szCs w:val="21"/>
                    </w:rPr>
                  </w:pPr>
                  <w:r>
                    <w:rPr>
                      <w:bCs/>
                      <w:color w:val="auto"/>
                      <w:szCs w:val="21"/>
                    </w:rPr>
                    <w:t>PM</w:t>
                  </w:r>
                  <w:r>
                    <w:rPr>
                      <w:bCs/>
                      <w:color w:val="auto"/>
                      <w:szCs w:val="21"/>
                      <w:vertAlign w:val="subscript"/>
                    </w:rPr>
                    <w:t>10</w:t>
                  </w:r>
                </w:p>
              </w:tc>
              <w:tc>
                <w:tcPr>
                  <w:tcW w:w="1331" w:type="pct"/>
                  <w:noWrap w:val="0"/>
                  <w:vAlign w:val="center"/>
                </w:tcPr>
                <w:p w14:paraId="28C4FA7F">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5C15E103">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74</w:t>
                  </w:r>
                </w:p>
              </w:tc>
              <w:tc>
                <w:tcPr>
                  <w:tcW w:w="707" w:type="pct"/>
                  <w:noWrap w:val="0"/>
                  <w:vAlign w:val="center"/>
                </w:tcPr>
                <w:p w14:paraId="3B8EABDE">
                  <w:pPr>
                    <w:pStyle w:val="26"/>
                    <w:spacing w:after="0"/>
                    <w:ind w:left="0" w:leftChars="0" w:firstLine="0" w:firstLineChars="0"/>
                    <w:jc w:val="center"/>
                    <w:rPr>
                      <w:bCs/>
                      <w:color w:val="auto"/>
                      <w:sz w:val="21"/>
                      <w:szCs w:val="21"/>
                    </w:rPr>
                  </w:pPr>
                  <w:r>
                    <w:rPr>
                      <w:bCs/>
                      <w:color w:val="auto"/>
                      <w:sz w:val="21"/>
                      <w:szCs w:val="21"/>
                    </w:rPr>
                    <w:t>70</w:t>
                  </w:r>
                </w:p>
              </w:tc>
              <w:tc>
                <w:tcPr>
                  <w:tcW w:w="820" w:type="pct"/>
                  <w:noWrap w:val="0"/>
                  <w:vAlign w:val="center"/>
                </w:tcPr>
                <w:p w14:paraId="756C2DC6">
                  <w:pPr>
                    <w:pStyle w:val="26"/>
                    <w:spacing w:after="0"/>
                    <w:ind w:left="0" w:leftChars="0" w:firstLine="0" w:firstLineChars="0"/>
                    <w:jc w:val="center"/>
                    <w:rPr>
                      <w:rFonts w:hint="default" w:eastAsia="宋体"/>
                      <w:bCs/>
                      <w:color w:val="auto"/>
                      <w:sz w:val="21"/>
                      <w:szCs w:val="21"/>
                      <w:lang w:val="en-US" w:eastAsia="zh-CN"/>
                    </w:rPr>
                  </w:pPr>
                  <w:r>
                    <w:rPr>
                      <w:bCs/>
                      <w:color w:val="auto"/>
                      <w:sz w:val="21"/>
                      <w:szCs w:val="21"/>
                    </w:rPr>
                    <w:t>1</w:t>
                  </w:r>
                  <w:r>
                    <w:rPr>
                      <w:rFonts w:hint="eastAsia"/>
                      <w:bCs/>
                      <w:color w:val="auto"/>
                      <w:sz w:val="21"/>
                      <w:szCs w:val="21"/>
                      <w:lang w:val="en-US" w:eastAsia="zh-CN"/>
                    </w:rPr>
                    <w:t>05.7</w:t>
                  </w:r>
                </w:p>
              </w:tc>
              <w:tc>
                <w:tcPr>
                  <w:tcW w:w="720" w:type="pct"/>
                  <w:noWrap w:val="0"/>
                  <w:vAlign w:val="center"/>
                </w:tcPr>
                <w:p w14:paraId="7E6DAF7E">
                  <w:pPr>
                    <w:pStyle w:val="26"/>
                    <w:spacing w:after="0"/>
                    <w:ind w:left="0" w:leftChars="0" w:firstLine="0" w:firstLineChars="0"/>
                    <w:jc w:val="center"/>
                    <w:rPr>
                      <w:bCs/>
                      <w:color w:val="auto"/>
                      <w:sz w:val="21"/>
                      <w:szCs w:val="21"/>
                    </w:rPr>
                  </w:pPr>
                  <w:r>
                    <w:rPr>
                      <w:bCs/>
                      <w:color w:val="auto"/>
                      <w:sz w:val="21"/>
                      <w:szCs w:val="21"/>
                    </w:rPr>
                    <w:t>不达标</w:t>
                  </w:r>
                </w:p>
              </w:tc>
            </w:tr>
            <w:tr w14:paraId="36302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2" w:type="pct"/>
                  <w:noWrap w:val="0"/>
                  <w:vAlign w:val="center"/>
                </w:tcPr>
                <w:p w14:paraId="4F15B1E9">
                  <w:pPr>
                    <w:adjustRightInd w:val="0"/>
                    <w:snapToGrid w:val="0"/>
                    <w:jc w:val="center"/>
                    <w:rPr>
                      <w:color w:val="auto"/>
                      <w:szCs w:val="21"/>
                    </w:rPr>
                  </w:pPr>
                  <w:r>
                    <w:rPr>
                      <w:bCs/>
                      <w:color w:val="auto"/>
                      <w:szCs w:val="21"/>
                    </w:rPr>
                    <w:t>CO</w:t>
                  </w:r>
                </w:p>
              </w:tc>
              <w:tc>
                <w:tcPr>
                  <w:tcW w:w="1331" w:type="pct"/>
                  <w:noWrap w:val="0"/>
                  <w:vAlign w:val="center"/>
                </w:tcPr>
                <w:p w14:paraId="50CEEFEB">
                  <w:pPr>
                    <w:pStyle w:val="26"/>
                    <w:spacing w:after="0"/>
                    <w:ind w:left="0" w:leftChars="0" w:firstLine="0" w:firstLineChars="0"/>
                    <w:jc w:val="center"/>
                    <w:rPr>
                      <w:color w:val="auto"/>
                      <w:sz w:val="21"/>
                      <w:szCs w:val="21"/>
                    </w:rPr>
                  </w:pPr>
                  <w:r>
                    <w:rPr>
                      <w:color w:val="auto"/>
                      <w:sz w:val="21"/>
                      <w:szCs w:val="21"/>
                    </w:rPr>
                    <w:t>24小时平均</w:t>
                  </w:r>
                  <w:r>
                    <w:rPr>
                      <w:rFonts w:hint="eastAsia"/>
                      <w:color w:val="auto"/>
                      <w:sz w:val="21"/>
                      <w:szCs w:val="21"/>
                    </w:rPr>
                    <w:t>第</w:t>
                  </w:r>
                  <w:r>
                    <w:rPr>
                      <w:color w:val="auto"/>
                      <w:sz w:val="21"/>
                      <w:szCs w:val="21"/>
                    </w:rPr>
                    <w:t>95百分位浓度</w:t>
                  </w:r>
                </w:p>
              </w:tc>
              <w:tc>
                <w:tcPr>
                  <w:tcW w:w="817" w:type="pct"/>
                  <w:noWrap w:val="0"/>
                  <w:vAlign w:val="center"/>
                </w:tcPr>
                <w:p w14:paraId="74CD32A7">
                  <w:pPr>
                    <w:pStyle w:val="26"/>
                    <w:spacing w:after="0"/>
                    <w:ind w:left="0" w:leftChars="0" w:firstLine="0" w:firstLineChars="0"/>
                    <w:jc w:val="center"/>
                    <w:rPr>
                      <w:bCs/>
                      <w:color w:val="auto"/>
                      <w:sz w:val="21"/>
                      <w:szCs w:val="21"/>
                    </w:rPr>
                  </w:pPr>
                  <w:r>
                    <w:rPr>
                      <w:rFonts w:hint="eastAsia"/>
                      <w:bCs/>
                      <w:color w:val="auto"/>
                      <w:sz w:val="21"/>
                      <w:szCs w:val="21"/>
                    </w:rPr>
                    <w:t>1</w:t>
                  </w:r>
                  <w:r>
                    <w:rPr>
                      <w:rFonts w:hint="eastAsia"/>
                      <w:bCs/>
                      <w:color w:val="auto"/>
                      <w:sz w:val="21"/>
                      <w:szCs w:val="21"/>
                      <w:lang w:val="en-US" w:eastAsia="zh-CN"/>
                    </w:rPr>
                    <w:t>1</w:t>
                  </w:r>
                  <w:r>
                    <w:rPr>
                      <w:rFonts w:hint="eastAsia"/>
                      <w:bCs/>
                      <w:color w:val="auto"/>
                      <w:sz w:val="21"/>
                      <w:szCs w:val="21"/>
                    </w:rPr>
                    <w:t>00</w:t>
                  </w:r>
                </w:p>
              </w:tc>
              <w:tc>
                <w:tcPr>
                  <w:tcW w:w="707" w:type="pct"/>
                  <w:noWrap w:val="0"/>
                  <w:vAlign w:val="center"/>
                </w:tcPr>
                <w:p w14:paraId="514B25B0">
                  <w:pPr>
                    <w:pStyle w:val="26"/>
                    <w:spacing w:after="0"/>
                    <w:ind w:left="0" w:leftChars="0" w:firstLine="0" w:firstLineChars="0"/>
                    <w:jc w:val="center"/>
                    <w:rPr>
                      <w:bCs/>
                      <w:color w:val="auto"/>
                      <w:sz w:val="21"/>
                      <w:szCs w:val="21"/>
                    </w:rPr>
                  </w:pPr>
                  <w:r>
                    <w:rPr>
                      <w:bCs/>
                      <w:color w:val="auto"/>
                      <w:sz w:val="21"/>
                      <w:szCs w:val="21"/>
                    </w:rPr>
                    <w:t>4</w:t>
                  </w:r>
                  <w:r>
                    <w:rPr>
                      <w:rFonts w:hint="eastAsia"/>
                      <w:bCs/>
                      <w:color w:val="auto"/>
                      <w:sz w:val="21"/>
                      <w:szCs w:val="21"/>
                    </w:rPr>
                    <w:t>000</w:t>
                  </w:r>
                </w:p>
              </w:tc>
              <w:tc>
                <w:tcPr>
                  <w:tcW w:w="820" w:type="pct"/>
                  <w:noWrap w:val="0"/>
                  <w:vAlign w:val="center"/>
                </w:tcPr>
                <w:p w14:paraId="5E6A36C0">
                  <w:pPr>
                    <w:pStyle w:val="26"/>
                    <w:spacing w:after="0"/>
                    <w:ind w:left="0" w:leftChars="0" w:firstLine="0" w:firstLineChars="0"/>
                    <w:jc w:val="center"/>
                    <w:rPr>
                      <w:bCs/>
                      <w:color w:val="auto"/>
                      <w:sz w:val="21"/>
                      <w:szCs w:val="21"/>
                    </w:rPr>
                  </w:pPr>
                  <w:r>
                    <w:rPr>
                      <w:rFonts w:hint="eastAsia"/>
                      <w:bCs/>
                      <w:color w:val="auto"/>
                      <w:sz w:val="21"/>
                      <w:szCs w:val="21"/>
                      <w:lang w:val="en-US" w:eastAsia="zh-CN"/>
                    </w:rPr>
                    <w:t>27</w:t>
                  </w:r>
                  <w:r>
                    <w:rPr>
                      <w:rFonts w:hint="eastAsia"/>
                      <w:bCs/>
                      <w:color w:val="auto"/>
                      <w:sz w:val="21"/>
                      <w:szCs w:val="21"/>
                    </w:rPr>
                    <w:t>.5</w:t>
                  </w:r>
                </w:p>
              </w:tc>
              <w:tc>
                <w:tcPr>
                  <w:tcW w:w="720" w:type="pct"/>
                  <w:noWrap w:val="0"/>
                  <w:vAlign w:val="center"/>
                </w:tcPr>
                <w:p w14:paraId="135DD6A8">
                  <w:pPr>
                    <w:pStyle w:val="26"/>
                    <w:spacing w:after="0"/>
                    <w:ind w:left="0" w:leftChars="0" w:firstLine="0" w:firstLineChars="0"/>
                    <w:jc w:val="center"/>
                    <w:rPr>
                      <w:bCs/>
                      <w:color w:val="auto"/>
                      <w:sz w:val="21"/>
                      <w:szCs w:val="21"/>
                    </w:rPr>
                  </w:pPr>
                  <w:r>
                    <w:rPr>
                      <w:bCs/>
                      <w:color w:val="auto"/>
                      <w:sz w:val="21"/>
                      <w:szCs w:val="21"/>
                    </w:rPr>
                    <w:t>达标</w:t>
                  </w:r>
                </w:p>
              </w:tc>
            </w:tr>
            <w:tr w14:paraId="6CA88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2" w:type="pct"/>
                  <w:noWrap w:val="0"/>
                  <w:vAlign w:val="center"/>
                </w:tcPr>
                <w:p w14:paraId="695C082C">
                  <w:pPr>
                    <w:pStyle w:val="26"/>
                    <w:spacing w:after="0"/>
                    <w:ind w:left="0" w:leftChars="0" w:firstLine="0" w:firstLineChars="0"/>
                    <w:jc w:val="center"/>
                    <w:rPr>
                      <w:color w:val="auto"/>
                      <w:sz w:val="21"/>
                      <w:szCs w:val="21"/>
                    </w:rPr>
                  </w:pPr>
                  <w:r>
                    <w:rPr>
                      <w:bCs/>
                      <w:color w:val="auto"/>
                      <w:sz w:val="21"/>
                      <w:szCs w:val="21"/>
                    </w:rPr>
                    <w:t>O</w:t>
                  </w:r>
                  <w:r>
                    <w:rPr>
                      <w:bCs/>
                      <w:color w:val="auto"/>
                      <w:sz w:val="21"/>
                      <w:szCs w:val="21"/>
                      <w:vertAlign w:val="subscript"/>
                    </w:rPr>
                    <w:t>3</w:t>
                  </w:r>
                </w:p>
              </w:tc>
              <w:tc>
                <w:tcPr>
                  <w:tcW w:w="1331" w:type="pct"/>
                  <w:noWrap w:val="0"/>
                  <w:vAlign w:val="center"/>
                </w:tcPr>
                <w:p w14:paraId="770D176C">
                  <w:pPr>
                    <w:pStyle w:val="26"/>
                    <w:spacing w:after="0"/>
                    <w:ind w:left="0" w:leftChars="0" w:firstLine="0" w:firstLineChars="0"/>
                    <w:jc w:val="center"/>
                    <w:rPr>
                      <w:color w:val="auto"/>
                      <w:sz w:val="21"/>
                      <w:szCs w:val="21"/>
                    </w:rPr>
                  </w:pPr>
                  <w:r>
                    <w:rPr>
                      <w:color w:val="auto"/>
                      <w:sz w:val="21"/>
                      <w:szCs w:val="21"/>
                    </w:rPr>
                    <w:t>日最大8小时平均第90百分位浓度</w:t>
                  </w:r>
                </w:p>
              </w:tc>
              <w:tc>
                <w:tcPr>
                  <w:tcW w:w="817" w:type="pct"/>
                  <w:noWrap w:val="0"/>
                  <w:vAlign w:val="center"/>
                </w:tcPr>
                <w:p w14:paraId="61838F0E">
                  <w:pPr>
                    <w:pStyle w:val="26"/>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rPr>
                    <w:t>16</w:t>
                  </w:r>
                  <w:r>
                    <w:rPr>
                      <w:rFonts w:hint="eastAsia"/>
                      <w:bCs/>
                      <w:color w:val="auto"/>
                      <w:sz w:val="21"/>
                      <w:szCs w:val="21"/>
                      <w:lang w:val="en-US" w:eastAsia="zh-CN"/>
                    </w:rPr>
                    <w:t>8</w:t>
                  </w:r>
                </w:p>
              </w:tc>
              <w:tc>
                <w:tcPr>
                  <w:tcW w:w="707" w:type="pct"/>
                  <w:noWrap w:val="0"/>
                  <w:vAlign w:val="center"/>
                </w:tcPr>
                <w:p w14:paraId="34780CAF">
                  <w:pPr>
                    <w:pStyle w:val="26"/>
                    <w:spacing w:after="0"/>
                    <w:ind w:left="0" w:leftChars="0" w:firstLine="0" w:firstLineChars="0"/>
                    <w:jc w:val="center"/>
                    <w:rPr>
                      <w:bCs/>
                      <w:color w:val="auto"/>
                      <w:sz w:val="21"/>
                      <w:szCs w:val="21"/>
                    </w:rPr>
                  </w:pPr>
                  <w:r>
                    <w:rPr>
                      <w:bCs/>
                      <w:color w:val="auto"/>
                      <w:sz w:val="21"/>
                      <w:szCs w:val="21"/>
                    </w:rPr>
                    <w:t>160</w:t>
                  </w:r>
                </w:p>
              </w:tc>
              <w:tc>
                <w:tcPr>
                  <w:tcW w:w="820" w:type="pct"/>
                  <w:noWrap w:val="0"/>
                  <w:vAlign w:val="center"/>
                </w:tcPr>
                <w:p w14:paraId="6A972E4F">
                  <w:pPr>
                    <w:pStyle w:val="26"/>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rPr>
                    <w:t>10</w:t>
                  </w:r>
                  <w:r>
                    <w:rPr>
                      <w:rFonts w:hint="eastAsia"/>
                      <w:bCs/>
                      <w:color w:val="auto"/>
                      <w:sz w:val="21"/>
                      <w:szCs w:val="21"/>
                      <w:lang w:val="en-US" w:eastAsia="zh-CN"/>
                    </w:rPr>
                    <w:t>5</w:t>
                  </w:r>
                </w:p>
              </w:tc>
              <w:tc>
                <w:tcPr>
                  <w:tcW w:w="720" w:type="pct"/>
                  <w:noWrap w:val="0"/>
                  <w:vAlign w:val="center"/>
                </w:tcPr>
                <w:p w14:paraId="12E578DD">
                  <w:pPr>
                    <w:pStyle w:val="26"/>
                    <w:spacing w:after="0"/>
                    <w:ind w:left="0" w:leftChars="0" w:firstLine="0" w:firstLineChars="0"/>
                    <w:jc w:val="center"/>
                    <w:rPr>
                      <w:bCs/>
                      <w:color w:val="auto"/>
                      <w:sz w:val="21"/>
                      <w:szCs w:val="21"/>
                    </w:rPr>
                  </w:pPr>
                  <w:r>
                    <w:rPr>
                      <w:rFonts w:hint="eastAsia"/>
                      <w:bCs/>
                      <w:color w:val="auto"/>
                      <w:sz w:val="21"/>
                      <w:szCs w:val="21"/>
                    </w:rPr>
                    <w:t>不</w:t>
                  </w:r>
                  <w:r>
                    <w:rPr>
                      <w:bCs/>
                      <w:color w:val="auto"/>
                      <w:sz w:val="21"/>
                      <w:szCs w:val="21"/>
                    </w:rPr>
                    <w:t>达标</w:t>
                  </w:r>
                </w:p>
              </w:tc>
            </w:tr>
          </w:tbl>
          <w:p w14:paraId="41EE73E6">
            <w:pPr>
              <w:spacing w:before="120" w:beforeLines="50" w:line="360" w:lineRule="auto"/>
              <w:ind w:firstLine="480" w:firstLineChars="200"/>
              <w:rPr>
                <w:color w:val="auto"/>
                <w:sz w:val="24"/>
              </w:rPr>
            </w:pPr>
            <w:r>
              <w:rPr>
                <w:color w:val="auto"/>
                <w:sz w:val="24"/>
              </w:rPr>
              <w:t>根据</w:t>
            </w:r>
            <w:r>
              <w:rPr>
                <w:rFonts w:hint="eastAsia"/>
                <w:color w:val="auto"/>
                <w:sz w:val="24"/>
              </w:rPr>
              <w:t>上表</w:t>
            </w:r>
            <w:r>
              <w:rPr>
                <w:color w:val="auto"/>
                <w:sz w:val="24"/>
              </w:rPr>
              <w:t>可知，</w:t>
            </w:r>
            <w:r>
              <w:rPr>
                <w:rFonts w:hint="eastAsia"/>
                <w:color w:val="auto"/>
                <w:sz w:val="24"/>
              </w:rPr>
              <w:t>项目所在区域SO</w:t>
            </w:r>
            <w:r>
              <w:rPr>
                <w:rFonts w:hint="eastAsia"/>
                <w:color w:val="auto"/>
                <w:sz w:val="24"/>
                <w:vertAlign w:val="subscript"/>
              </w:rPr>
              <w:t>2</w:t>
            </w:r>
            <w:r>
              <w:rPr>
                <w:rFonts w:hint="eastAsia"/>
                <w:color w:val="auto"/>
                <w:sz w:val="24"/>
              </w:rPr>
              <w:t>年平均质量浓度、NO</w:t>
            </w:r>
            <w:r>
              <w:rPr>
                <w:rFonts w:hint="eastAsia"/>
                <w:color w:val="auto"/>
                <w:sz w:val="24"/>
                <w:vertAlign w:val="subscript"/>
              </w:rPr>
              <w:t>2</w:t>
            </w:r>
            <w:r>
              <w:rPr>
                <w:rFonts w:hint="eastAsia"/>
                <w:color w:val="auto"/>
                <w:sz w:val="24"/>
              </w:rPr>
              <w:t>年平均质量浓度和CO24小时平均第95百分位浓度均满足《环境空气质量标准》（GB3095-2012）中二级标准，O</w:t>
            </w:r>
            <w:r>
              <w:rPr>
                <w:rFonts w:hint="eastAsia"/>
                <w:color w:val="auto"/>
                <w:sz w:val="24"/>
                <w:vertAlign w:val="subscript"/>
              </w:rPr>
              <w:t>3</w:t>
            </w:r>
            <w:r>
              <w:rPr>
                <w:rFonts w:hint="eastAsia"/>
                <w:color w:val="auto"/>
                <w:sz w:val="24"/>
                <w:szCs w:val="32"/>
              </w:rPr>
              <w:t>日最大8小时平均第90百分位浓度</w:t>
            </w:r>
            <w:r>
              <w:rPr>
                <w:rFonts w:hint="eastAsia"/>
                <w:color w:val="auto"/>
                <w:sz w:val="24"/>
              </w:rPr>
              <w:t>、PM</w:t>
            </w:r>
            <w:r>
              <w:rPr>
                <w:rFonts w:hint="eastAsia"/>
                <w:color w:val="auto"/>
                <w:sz w:val="24"/>
                <w:vertAlign w:val="subscript"/>
              </w:rPr>
              <w:t>2.5</w:t>
            </w:r>
            <w:r>
              <w:rPr>
                <w:rFonts w:hint="eastAsia"/>
                <w:color w:val="auto"/>
                <w:sz w:val="24"/>
              </w:rPr>
              <w:t>年平均质量浓度和PM</w:t>
            </w:r>
            <w:r>
              <w:rPr>
                <w:rFonts w:hint="eastAsia"/>
                <w:color w:val="auto"/>
                <w:sz w:val="24"/>
                <w:vertAlign w:val="subscript"/>
              </w:rPr>
              <w:t>10</w:t>
            </w:r>
            <w:r>
              <w:rPr>
                <w:color w:val="auto"/>
                <w:sz w:val="24"/>
                <w:szCs w:val="32"/>
              </w:rPr>
              <w:t>年平均质量浓度</w:t>
            </w:r>
            <w:r>
              <w:rPr>
                <w:rFonts w:hint="eastAsia"/>
                <w:color w:val="auto"/>
                <w:sz w:val="24"/>
              </w:rPr>
              <w:t>均不满足《环境空气质量标准》（GB3095-2012）中二级标准，因此本项目所在区域为环境空气不达标区。</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46788E51">
            <w:pPr>
              <w:tabs>
                <w:tab w:val="left" w:pos="8607"/>
              </w:tabs>
              <w:adjustRightInd w:val="0"/>
              <w:snapToGrid w:val="0"/>
              <w:spacing w:line="360" w:lineRule="auto"/>
              <w:ind w:firstLine="480" w:firstLineChars="200"/>
              <w:jc w:val="left"/>
              <w:rPr>
                <w:bCs/>
                <w:color w:val="auto"/>
                <w:sz w:val="24"/>
              </w:rPr>
            </w:pPr>
            <w:r>
              <w:rPr>
                <w:bCs/>
                <w:color w:val="auto"/>
                <w:sz w:val="24"/>
              </w:rPr>
              <w:t>（2）特征污染物</w:t>
            </w:r>
          </w:p>
          <w:p w14:paraId="252EF255">
            <w:pPr>
              <w:spacing w:line="360" w:lineRule="auto"/>
              <w:ind w:firstLine="480" w:firstLineChars="200"/>
              <w:rPr>
                <w:color w:val="auto"/>
                <w:sz w:val="24"/>
              </w:rPr>
            </w:pPr>
            <w:r>
              <w:rPr>
                <w:rFonts w:hint="eastAsia"/>
                <w:color w:val="auto"/>
                <w:sz w:val="24"/>
                <w:lang w:val="en-US" w:eastAsia="zh-CN"/>
              </w:rPr>
              <w:t>为了解项目所在地</w:t>
            </w:r>
            <w:r>
              <w:rPr>
                <w:rFonts w:hint="eastAsia"/>
                <w:color w:val="auto"/>
                <w:sz w:val="24"/>
              </w:rPr>
              <w:t>总悬浮颗粒物（TSP）</w:t>
            </w:r>
            <w:r>
              <w:rPr>
                <w:rFonts w:hint="eastAsia"/>
                <w:color w:val="auto"/>
                <w:sz w:val="24"/>
                <w:lang w:val="en-US" w:eastAsia="zh-CN"/>
              </w:rPr>
              <w:t>和</w:t>
            </w:r>
            <w:r>
              <w:rPr>
                <w:rFonts w:hint="eastAsia"/>
                <w:color w:val="auto"/>
                <w:sz w:val="24"/>
              </w:rPr>
              <w:t>非甲烷总烃</w:t>
            </w:r>
            <w:r>
              <w:rPr>
                <w:rFonts w:hint="eastAsia"/>
                <w:color w:val="auto"/>
                <w:sz w:val="24"/>
                <w:lang w:val="en-US" w:eastAsia="zh-CN"/>
              </w:rPr>
              <w:t>环境质量现状</w:t>
            </w:r>
            <w:r>
              <w:rPr>
                <w:rFonts w:hint="eastAsia"/>
                <w:color w:val="auto"/>
                <w:sz w:val="24"/>
              </w:rPr>
              <w:t>，</w:t>
            </w:r>
            <w:r>
              <w:rPr>
                <w:rFonts w:hint="eastAsia"/>
                <w:color w:val="auto"/>
                <w:sz w:val="24"/>
                <w:lang w:val="en-US" w:eastAsia="zh-CN"/>
              </w:rPr>
              <w:t>本次评价非甲烷总烃、颗粒物</w:t>
            </w:r>
            <w:r>
              <w:rPr>
                <w:rFonts w:hint="eastAsia"/>
                <w:color w:val="auto"/>
                <w:sz w:val="24"/>
              </w:rPr>
              <w:t>引用</w:t>
            </w:r>
            <w:r>
              <w:rPr>
                <w:rFonts w:hint="eastAsia"/>
                <w:color w:val="auto"/>
                <w:sz w:val="24"/>
                <w:highlight w:val="none"/>
              </w:rPr>
              <w:t>《陕西</w:t>
            </w:r>
            <w:r>
              <w:rPr>
                <w:rFonts w:hint="eastAsia"/>
                <w:color w:val="auto"/>
                <w:sz w:val="24"/>
                <w:highlight w:val="none"/>
                <w:lang w:val="en-US" w:eastAsia="zh-CN"/>
              </w:rPr>
              <w:t>国久泰新材料科技有限公司塑料管生产项目</w:t>
            </w:r>
            <w:r>
              <w:rPr>
                <w:rFonts w:hint="eastAsia"/>
                <w:color w:val="auto"/>
                <w:sz w:val="24"/>
                <w:highlight w:val="none"/>
              </w:rPr>
              <w:t>环境质量现状监测报告》（具体见附件</w:t>
            </w:r>
            <w:r>
              <w:rPr>
                <w:rFonts w:hint="eastAsia"/>
                <w:color w:val="auto"/>
                <w:sz w:val="24"/>
                <w:highlight w:val="none"/>
                <w:lang w:val="en-US" w:eastAsia="zh-CN"/>
              </w:rPr>
              <w:t>5</w:t>
            </w:r>
            <w:r>
              <w:rPr>
                <w:rFonts w:hint="eastAsia"/>
                <w:color w:val="auto"/>
                <w:sz w:val="24"/>
                <w:highlight w:val="none"/>
              </w:rPr>
              <w:t>），监测点位为本项目</w:t>
            </w:r>
            <w:r>
              <w:rPr>
                <w:rFonts w:hint="eastAsia"/>
                <w:color w:val="auto"/>
                <w:sz w:val="24"/>
                <w:highlight w:val="none"/>
                <w:lang w:val="en-US" w:eastAsia="zh-CN"/>
              </w:rPr>
              <w:t>东</w:t>
            </w:r>
            <w:r>
              <w:rPr>
                <w:rFonts w:hint="eastAsia"/>
                <w:color w:val="auto"/>
                <w:sz w:val="24"/>
                <w:highlight w:val="none"/>
              </w:rPr>
              <w:t>南侧</w:t>
            </w:r>
            <w:r>
              <w:rPr>
                <w:rFonts w:hint="eastAsia"/>
                <w:color w:val="auto"/>
                <w:sz w:val="24"/>
                <w:highlight w:val="none"/>
                <w:lang w:val="en-US" w:eastAsia="zh-CN"/>
              </w:rPr>
              <w:t>4.5k</w:t>
            </w:r>
            <w:r>
              <w:rPr>
                <w:rFonts w:hint="eastAsia"/>
                <w:color w:val="auto"/>
                <w:sz w:val="24"/>
                <w:highlight w:val="none"/>
              </w:rPr>
              <w:t>m，监测日期为202</w:t>
            </w:r>
            <w:r>
              <w:rPr>
                <w:rFonts w:hint="eastAsia"/>
                <w:color w:val="auto"/>
                <w:sz w:val="24"/>
                <w:highlight w:val="none"/>
                <w:lang w:val="en-US" w:eastAsia="zh-CN"/>
              </w:rPr>
              <w:t>3</w:t>
            </w:r>
            <w:r>
              <w:rPr>
                <w:rFonts w:hint="eastAsia"/>
                <w:color w:val="auto"/>
                <w:sz w:val="24"/>
                <w:highlight w:val="none"/>
              </w:rPr>
              <w:t>年</w:t>
            </w:r>
            <w:r>
              <w:rPr>
                <w:rFonts w:hint="eastAsia"/>
                <w:color w:val="auto"/>
                <w:sz w:val="24"/>
                <w:highlight w:val="none"/>
                <w:lang w:val="en-US" w:eastAsia="zh-CN"/>
              </w:rPr>
              <w:t>1</w:t>
            </w:r>
            <w:r>
              <w:rPr>
                <w:rFonts w:hint="eastAsia"/>
                <w:color w:val="auto"/>
                <w:sz w:val="24"/>
                <w:highlight w:val="none"/>
              </w:rPr>
              <w:t>月</w:t>
            </w:r>
            <w:r>
              <w:rPr>
                <w:rFonts w:hint="eastAsia"/>
                <w:color w:val="auto"/>
                <w:sz w:val="24"/>
                <w:highlight w:val="none"/>
                <w:lang w:val="en-US" w:eastAsia="zh-CN"/>
              </w:rPr>
              <w:t>12</w:t>
            </w:r>
            <w:r>
              <w:rPr>
                <w:rFonts w:hint="eastAsia"/>
                <w:color w:val="auto"/>
                <w:sz w:val="24"/>
                <w:highlight w:val="none"/>
              </w:rPr>
              <w:t>日至</w:t>
            </w:r>
            <w:r>
              <w:rPr>
                <w:rFonts w:hint="eastAsia"/>
                <w:color w:val="auto"/>
                <w:sz w:val="24"/>
                <w:highlight w:val="none"/>
                <w:lang w:val="en-US" w:eastAsia="zh-CN"/>
              </w:rPr>
              <w:t>1</w:t>
            </w:r>
            <w:r>
              <w:rPr>
                <w:rFonts w:hint="eastAsia"/>
                <w:color w:val="auto"/>
                <w:sz w:val="24"/>
                <w:highlight w:val="none"/>
              </w:rPr>
              <w:t>月</w:t>
            </w:r>
            <w:r>
              <w:rPr>
                <w:rFonts w:hint="eastAsia"/>
                <w:color w:val="auto"/>
                <w:sz w:val="24"/>
                <w:highlight w:val="none"/>
                <w:lang w:val="en-US" w:eastAsia="zh-CN"/>
              </w:rPr>
              <w:t>19</w:t>
            </w:r>
            <w:r>
              <w:rPr>
                <w:rFonts w:hint="eastAsia"/>
                <w:color w:val="auto"/>
                <w:sz w:val="24"/>
                <w:highlight w:val="none"/>
              </w:rPr>
              <w:t>日</w:t>
            </w:r>
            <w:r>
              <w:rPr>
                <w:rFonts w:hint="eastAsia"/>
                <w:color w:val="auto"/>
                <w:sz w:val="24"/>
              </w:rPr>
              <w:t>。监测数据在有效期内，本次监测数据引用合理。监测结果</w:t>
            </w:r>
            <w:r>
              <w:rPr>
                <w:color w:val="auto"/>
                <w:sz w:val="24"/>
              </w:rPr>
              <w:t>如下：</w:t>
            </w:r>
          </w:p>
          <w:p w14:paraId="2EBDDC34">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3-2</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特征污染物</w:t>
            </w:r>
            <w:r>
              <w:rPr>
                <w:rFonts w:hint="eastAsia" w:hAnsi="Times New Roman" w:cs="Times New Roman"/>
                <w:b/>
                <w:bCs/>
                <w:color w:val="auto"/>
                <w:kern w:val="21"/>
                <w:szCs w:val="24"/>
                <w:lang w:val="en-US" w:eastAsia="zh-CN"/>
              </w:rPr>
              <w:t>现状</w:t>
            </w:r>
            <w:r>
              <w:rPr>
                <w:rFonts w:hint="eastAsia" w:hAnsi="Times New Roman" w:cs="Times New Roman"/>
                <w:b/>
                <w:bCs/>
                <w:color w:val="auto"/>
                <w:kern w:val="21"/>
                <w:szCs w:val="24"/>
              </w:rPr>
              <w:t>监测结果一览表</w:t>
            </w:r>
          </w:p>
          <w:tbl>
            <w:tblPr>
              <w:tblStyle w:val="27"/>
              <w:tblW w:w="80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94"/>
              <w:gridCol w:w="1701"/>
              <w:gridCol w:w="958"/>
              <w:gridCol w:w="592"/>
              <w:gridCol w:w="592"/>
              <w:gridCol w:w="592"/>
              <w:gridCol w:w="592"/>
              <w:gridCol w:w="1052"/>
              <w:gridCol w:w="1081"/>
            </w:tblGrid>
            <w:tr w14:paraId="4B3DCB5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24" w:hRule="atLeast"/>
                <w:jc w:val="center"/>
              </w:trPr>
              <w:tc>
                <w:tcPr>
                  <w:tcW w:w="555" w:type="pct"/>
                  <w:noWrap w:val="0"/>
                  <w:vAlign w:val="center"/>
                </w:tcPr>
                <w:p w14:paraId="3E97477F">
                  <w:pPr>
                    <w:widowControl/>
                    <w:jc w:val="center"/>
                    <w:rPr>
                      <w:b/>
                      <w:bCs/>
                      <w:color w:val="auto"/>
                      <w:szCs w:val="21"/>
                      <w:highlight w:val="none"/>
                    </w:rPr>
                  </w:pPr>
                  <w:r>
                    <w:rPr>
                      <w:b/>
                      <w:bCs/>
                      <w:color w:val="auto"/>
                      <w:szCs w:val="21"/>
                      <w:highlight w:val="none"/>
                    </w:rPr>
                    <w:t>污染物</w:t>
                  </w:r>
                </w:p>
              </w:tc>
              <w:tc>
                <w:tcPr>
                  <w:tcW w:w="1055" w:type="pct"/>
                  <w:noWrap w:val="0"/>
                  <w:vAlign w:val="center"/>
                </w:tcPr>
                <w:p w14:paraId="51D52C2F">
                  <w:pPr>
                    <w:widowControl/>
                    <w:jc w:val="center"/>
                    <w:rPr>
                      <w:b/>
                      <w:bCs/>
                      <w:color w:val="auto"/>
                      <w:szCs w:val="21"/>
                      <w:highlight w:val="none"/>
                    </w:rPr>
                  </w:pPr>
                  <w:r>
                    <w:rPr>
                      <w:b/>
                      <w:bCs/>
                      <w:color w:val="auto"/>
                      <w:szCs w:val="21"/>
                      <w:highlight w:val="none"/>
                    </w:rPr>
                    <w:t>采样日期</w:t>
                  </w:r>
                </w:p>
              </w:tc>
              <w:tc>
                <w:tcPr>
                  <w:tcW w:w="594" w:type="pct"/>
                  <w:noWrap w:val="0"/>
                  <w:vAlign w:val="center"/>
                </w:tcPr>
                <w:p w14:paraId="1FC75AA7">
                  <w:pPr>
                    <w:widowControl/>
                    <w:jc w:val="center"/>
                    <w:rPr>
                      <w:b/>
                      <w:bCs/>
                      <w:color w:val="auto"/>
                      <w:szCs w:val="21"/>
                      <w:highlight w:val="none"/>
                    </w:rPr>
                  </w:pPr>
                  <w:r>
                    <w:rPr>
                      <w:b/>
                      <w:bCs/>
                      <w:color w:val="auto"/>
                      <w:szCs w:val="21"/>
                      <w:highlight w:val="none"/>
                    </w:rPr>
                    <w:t>单位</w:t>
                  </w:r>
                </w:p>
              </w:tc>
              <w:tc>
                <w:tcPr>
                  <w:tcW w:w="1470" w:type="pct"/>
                  <w:gridSpan w:val="4"/>
                  <w:noWrap w:val="0"/>
                  <w:vAlign w:val="center"/>
                </w:tcPr>
                <w:p w14:paraId="36A63AE8">
                  <w:pPr>
                    <w:widowControl/>
                    <w:jc w:val="center"/>
                    <w:rPr>
                      <w:b/>
                      <w:bCs/>
                      <w:color w:val="auto"/>
                      <w:szCs w:val="21"/>
                      <w:highlight w:val="none"/>
                    </w:rPr>
                  </w:pPr>
                  <w:r>
                    <w:rPr>
                      <w:b/>
                      <w:bCs/>
                      <w:color w:val="auto"/>
                      <w:szCs w:val="21"/>
                      <w:highlight w:val="none"/>
                    </w:rPr>
                    <w:t>检测结果</w:t>
                  </w:r>
                </w:p>
              </w:tc>
              <w:tc>
                <w:tcPr>
                  <w:tcW w:w="653" w:type="pct"/>
                  <w:noWrap w:val="0"/>
                  <w:vAlign w:val="center"/>
                </w:tcPr>
                <w:p w14:paraId="6BAF1A70">
                  <w:pPr>
                    <w:widowControl/>
                    <w:jc w:val="center"/>
                    <w:rPr>
                      <w:b/>
                      <w:bCs/>
                      <w:color w:val="auto"/>
                      <w:szCs w:val="21"/>
                      <w:highlight w:val="none"/>
                    </w:rPr>
                  </w:pPr>
                  <w:r>
                    <w:rPr>
                      <w:b/>
                      <w:bCs/>
                      <w:color w:val="auto"/>
                      <w:szCs w:val="21"/>
                      <w:highlight w:val="none"/>
                    </w:rPr>
                    <w:t>标准值</w:t>
                  </w:r>
                </w:p>
              </w:tc>
              <w:tc>
                <w:tcPr>
                  <w:tcW w:w="671" w:type="pct"/>
                  <w:noWrap w:val="0"/>
                  <w:vAlign w:val="center"/>
                </w:tcPr>
                <w:p w14:paraId="2D7C28FB">
                  <w:pPr>
                    <w:widowControl/>
                    <w:jc w:val="center"/>
                    <w:rPr>
                      <w:b/>
                      <w:bCs/>
                      <w:color w:val="auto"/>
                      <w:szCs w:val="21"/>
                      <w:highlight w:val="none"/>
                    </w:rPr>
                  </w:pPr>
                  <w:r>
                    <w:rPr>
                      <w:b/>
                      <w:bCs/>
                      <w:color w:val="auto"/>
                      <w:szCs w:val="21"/>
                      <w:highlight w:val="none"/>
                    </w:rPr>
                    <w:t>达标情况</w:t>
                  </w:r>
                </w:p>
              </w:tc>
            </w:tr>
            <w:tr w14:paraId="638C566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restart"/>
                  <w:noWrap w:val="0"/>
                  <w:vAlign w:val="center"/>
                </w:tcPr>
                <w:p w14:paraId="02C718BA">
                  <w:pPr>
                    <w:widowControl/>
                    <w:jc w:val="center"/>
                    <w:rPr>
                      <w:color w:val="auto"/>
                      <w:szCs w:val="21"/>
                      <w:highlight w:val="none"/>
                    </w:rPr>
                  </w:pPr>
                  <w:r>
                    <w:rPr>
                      <w:color w:val="auto"/>
                      <w:szCs w:val="21"/>
                      <w:highlight w:val="none"/>
                    </w:rPr>
                    <w:t>TSP</w:t>
                  </w:r>
                </w:p>
              </w:tc>
              <w:tc>
                <w:tcPr>
                  <w:tcW w:w="1055" w:type="pct"/>
                  <w:noWrap w:val="0"/>
                  <w:vAlign w:val="center"/>
                </w:tcPr>
                <w:p w14:paraId="4F67594F">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w:t>
                  </w:r>
                  <w:r>
                    <w:rPr>
                      <w:rFonts w:hint="eastAsia"/>
                      <w:color w:val="auto"/>
                      <w:szCs w:val="21"/>
                      <w:highlight w:val="none"/>
                    </w:rPr>
                    <w:t>2日</w:t>
                  </w:r>
                  <w:r>
                    <w:rPr>
                      <w:rFonts w:hint="eastAsia"/>
                      <w:color w:val="auto"/>
                      <w:szCs w:val="21"/>
                      <w:highlight w:val="none"/>
                      <w:lang w:val="en-US" w:eastAsia="zh-CN"/>
                    </w:rPr>
                    <w:t>~13日</w:t>
                  </w:r>
                </w:p>
              </w:tc>
              <w:tc>
                <w:tcPr>
                  <w:tcW w:w="594" w:type="pct"/>
                  <w:vMerge w:val="restart"/>
                  <w:noWrap w:val="0"/>
                  <w:vAlign w:val="center"/>
                </w:tcPr>
                <w:p w14:paraId="5E5489C3">
                  <w:pPr>
                    <w:widowControl/>
                    <w:jc w:val="center"/>
                    <w:textAlignment w:val="center"/>
                    <w:rPr>
                      <w:color w:val="auto"/>
                      <w:szCs w:val="21"/>
                      <w:highlight w:val="none"/>
                    </w:rPr>
                  </w:pPr>
                  <w:r>
                    <w:rPr>
                      <w:color w:val="auto"/>
                      <w:szCs w:val="21"/>
                      <w:highlight w:val="none"/>
                    </w:rPr>
                    <w:t>mg/m³</w:t>
                  </w:r>
                </w:p>
              </w:tc>
              <w:tc>
                <w:tcPr>
                  <w:tcW w:w="1470" w:type="pct"/>
                  <w:gridSpan w:val="4"/>
                  <w:noWrap w:val="0"/>
                  <w:vAlign w:val="center"/>
                </w:tcPr>
                <w:p w14:paraId="40EF5A3F">
                  <w:pPr>
                    <w:widowControl/>
                    <w:jc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209</w:t>
                  </w:r>
                </w:p>
              </w:tc>
              <w:tc>
                <w:tcPr>
                  <w:tcW w:w="653" w:type="pct"/>
                  <w:vMerge w:val="restart"/>
                  <w:noWrap w:val="0"/>
                  <w:vAlign w:val="center"/>
                </w:tcPr>
                <w:p w14:paraId="2592683C">
                  <w:pPr>
                    <w:widowControl/>
                    <w:jc w:val="center"/>
                    <w:rPr>
                      <w:color w:val="auto"/>
                      <w:szCs w:val="21"/>
                      <w:highlight w:val="none"/>
                    </w:rPr>
                  </w:pPr>
                  <w:r>
                    <w:rPr>
                      <w:color w:val="auto"/>
                      <w:szCs w:val="21"/>
                      <w:highlight w:val="none"/>
                    </w:rPr>
                    <w:t>0.3</w:t>
                  </w:r>
                </w:p>
              </w:tc>
              <w:tc>
                <w:tcPr>
                  <w:tcW w:w="671" w:type="pct"/>
                  <w:vMerge w:val="restart"/>
                  <w:noWrap w:val="0"/>
                  <w:vAlign w:val="center"/>
                </w:tcPr>
                <w:p w14:paraId="461CC170">
                  <w:pPr>
                    <w:widowControl/>
                    <w:jc w:val="center"/>
                    <w:rPr>
                      <w:color w:val="auto"/>
                      <w:szCs w:val="21"/>
                      <w:highlight w:val="none"/>
                    </w:rPr>
                  </w:pPr>
                  <w:r>
                    <w:rPr>
                      <w:color w:val="auto"/>
                      <w:szCs w:val="21"/>
                      <w:highlight w:val="none"/>
                    </w:rPr>
                    <w:t>达标</w:t>
                  </w:r>
                </w:p>
              </w:tc>
            </w:tr>
            <w:tr w14:paraId="2D3EB05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0B4A0A18">
                  <w:pPr>
                    <w:widowControl/>
                    <w:jc w:val="center"/>
                    <w:rPr>
                      <w:color w:val="auto"/>
                      <w:szCs w:val="21"/>
                      <w:highlight w:val="none"/>
                    </w:rPr>
                  </w:pPr>
                </w:p>
              </w:tc>
              <w:tc>
                <w:tcPr>
                  <w:tcW w:w="1055" w:type="pct"/>
                  <w:noWrap w:val="0"/>
                  <w:vAlign w:val="center"/>
                </w:tcPr>
                <w:p w14:paraId="0B4A44E3">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13</w:t>
                  </w:r>
                  <w:r>
                    <w:rPr>
                      <w:rFonts w:hint="eastAsia"/>
                      <w:color w:val="auto"/>
                      <w:szCs w:val="21"/>
                      <w:highlight w:val="none"/>
                    </w:rPr>
                    <w:t>日</w:t>
                  </w:r>
                  <w:r>
                    <w:rPr>
                      <w:rFonts w:hint="eastAsia"/>
                      <w:color w:val="auto"/>
                      <w:szCs w:val="21"/>
                      <w:highlight w:val="none"/>
                      <w:lang w:val="en-US" w:eastAsia="zh-CN"/>
                    </w:rPr>
                    <w:t>~14日</w:t>
                  </w:r>
                </w:p>
              </w:tc>
              <w:tc>
                <w:tcPr>
                  <w:tcW w:w="594" w:type="pct"/>
                  <w:vMerge w:val="continue"/>
                  <w:noWrap w:val="0"/>
                  <w:vAlign w:val="center"/>
                </w:tcPr>
                <w:p w14:paraId="31E41E16">
                  <w:pPr>
                    <w:widowControl/>
                    <w:jc w:val="center"/>
                    <w:textAlignment w:val="center"/>
                    <w:rPr>
                      <w:color w:val="auto"/>
                      <w:szCs w:val="21"/>
                      <w:highlight w:val="none"/>
                    </w:rPr>
                  </w:pPr>
                </w:p>
              </w:tc>
              <w:tc>
                <w:tcPr>
                  <w:tcW w:w="1470" w:type="pct"/>
                  <w:gridSpan w:val="4"/>
                  <w:noWrap w:val="0"/>
                  <w:vAlign w:val="center"/>
                </w:tcPr>
                <w:p w14:paraId="723ED8E4">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0.149</w:t>
                  </w:r>
                </w:p>
              </w:tc>
              <w:tc>
                <w:tcPr>
                  <w:tcW w:w="653" w:type="pct"/>
                  <w:vMerge w:val="continue"/>
                  <w:noWrap w:val="0"/>
                  <w:vAlign w:val="center"/>
                </w:tcPr>
                <w:p w14:paraId="4BD59BFF">
                  <w:pPr>
                    <w:widowControl/>
                    <w:jc w:val="center"/>
                    <w:rPr>
                      <w:color w:val="auto"/>
                      <w:szCs w:val="21"/>
                      <w:highlight w:val="none"/>
                    </w:rPr>
                  </w:pPr>
                </w:p>
              </w:tc>
              <w:tc>
                <w:tcPr>
                  <w:tcW w:w="671" w:type="pct"/>
                  <w:vMerge w:val="continue"/>
                  <w:noWrap w:val="0"/>
                  <w:vAlign w:val="center"/>
                </w:tcPr>
                <w:p w14:paraId="3E7F8151">
                  <w:pPr>
                    <w:widowControl/>
                    <w:jc w:val="center"/>
                    <w:rPr>
                      <w:color w:val="auto"/>
                      <w:szCs w:val="21"/>
                      <w:highlight w:val="none"/>
                    </w:rPr>
                  </w:pPr>
                </w:p>
              </w:tc>
            </w:tr>
            <w:tr w14:paraId="5D3CC88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7E9D442C">
                  <w:pPr>
                    <w:widowControl/>
                    <w:jc w:val="center"/>
                    <w:rPr>
                      <w:color w:val="auto"/>
                      <w:szCs w:val="21"/>
                      <w:highlight w:val="none"/>
                    </w:rPr>
                  </w:pPr>
                </w:p>
              </w:tc>
              <w:tc>
                <w:tcPr>
                  <w:tcW w:w="1055" w:type="pct"/>
                  <w:noWrap w:val="0"/>
                  <w:vAlign w:val="center"/>
                </w:tcPr>
                <w:p w14:paraId="280F6C11">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14</w:t>
                  </w:r>
                  <w:r>
                    <w:rPr>
                      <w:rFonts w:hint="eastAsia"/>
                      <w:color w:val="auto"/>
                      <w:szCs w:val="21"/>
                      <w:highlight w:val="none"/>
                    </w:rPr>
                    <w:t>日</w:t>
                  </w:r>
                  <w:r>
                    <w:rPr>
                      <w:rFonts w:hint="eastAsia"/>
                      <w:color w:val="auto"/>
                      <w:szCs w:val="21"/>
                      <w:highlight w:val="none"/>
                      <w:lang w:val="en-US" w:eastAsia="zh-CN"/>
                    </w:rPr>
                    <w:t>~15日</w:t>
                  </w:r>
                </w:p>
              </w:tc>
              <w:tc>
                <w:tcPr>
                  <w:tcW w:w="594" w:type="pct"/>
                  <w:vMerge w:val="continue"/>
                  <w:noWrap w:val="0"/>
                  <w:vAlign w:val="center"/>
                </w:tcPr>
                <w:p w14:paraId="6890FEE8">
                  <w:pPr>
                    <w:widowControl/>
                    <w:jc w:val="center"/>
                    <w:textAlignment w:val="center"/>
                    <w:rPr>
                      <w:color w:val="auto"/>
                      <w:szCs w:val="21"/>
                      <w:highlight w:val="none"/>
                    </w:rPr>
                  </w:pPr>
                </w:p>
              </w:tc>
              <w:tc>
                <w:tcPr>
                  <w:tcW w:w="1470" w:type="pct"/>
                  <w:gridSpan w:val="4"/>
                  <w:noWrap w:val="0"/>
                  <w:vAlign w:val="center"/>
                </w:tcPr>
                <w:p w14:paraId="009F406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0.096</w:t>
                  </w:r>
                </w:p>
              </w:tc>
              <w:tc>
                <w:tcPr>
                  <w:tcW w:w="653" w:type="pct"/>
                  <w:vMerge w:val="continue"/>
                  <w:noWrap w:val="0"/>
                  <w:vAlign w:val="center"/>
                </w:tcPr>
                <w:p w14:paraId="631095BD">
                  <w:pPr>
                    <w:widowControl/>
                    <w:jc w:val="center"/>
                    <w:rPr>
                      <w:color w:val="auto"/>
                      <w:szCs w:val="21"/>
                      <w:highlight w:val="none"/>
                    </w:rPr>
                  </w:pPr>
                </w:p>
              </w:tc>
              <w:tc>
                <w:tcPr>
                  <w:tcW w:w="671" w:type="pct"/>
                  <w:vMerge w:val="continue"/>
                  <w:noWrap w:val="0"/>
                  <w:vAlign w:val="center"/>
                </w:tcPr>
                <w:p w14:paraId="2C070045">
                  <w:pPr>
                    <w:widowControl/>
                    <w:jc w:val="center"/>
                    <w:rPr>
                      <w:color w:val="auto"/>
                      <w:szCs w:val="21"/>
                      <w:highlight w:val="none"/>
                    </w:rPr>
                  </w:pPr>
                </w:p>
              </w:tc>
            </w:tr>
            <w:tr w14:paraId="7392201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4F3778DD">
                  <w:pPr>
                    <w:widowControl/>
                    <w:jc w:val="center"/>
                    <w:rPr>
                      <w:color w:val="auto"/>
                      <w:szCs w:val="21"/>
                      <w:highlight w:val="none"/>
                    </w:rPr>
                  </w:pPr>
                </w:p>
              </w:tc>
              <w:tc>
                <w:tcPr>
                  <w:tcW w:w="1055" w:type="pct"/>
                  <w:noWrap w:val="0"/>
                  <w:vAlign w:val="center"/>
                </w:tcPr>
                <w:p w14:paraId="4E9A5078">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15</w:t>
                  </w:r>
                  <w:r>
                    <w:rPr>
                      <w:rFonts w:hint="eastAsia"/>
                      <w:color w:val="auto"/>
                      <w:szCs w:val="21"/>
                      <w:highlight w:val="none"/>
                    </w:rPr>
                    <w:t>日</w:t>
                  </w:r>
                  <w:r>
                    <w:rPr>
                      <w:rFonts w:hint="eastAsia"/>
                      <w:color w:val="auto"/>
                      <w:szCs w:val="21"/>
                      <w:highlight w:val="none"/>
                      <w:lang w:val="en-US" w:eastAsia="zh-CN"/>
                    </w:rPr>
                    <w:t>~16日</w:t>
                  </w:r>
                </w:p>
              </w:tc>
              <w:tc>
                <w:tcPr>
                  <w:tcW w:w="594" w:type="pct"/>
                  <w:vMerge w:val="continue"/>
                  <w:noWrap w:val="0"/>
                  <w:vAlign w:val="center"/>
                </w:tcPr>
                <w:p w14:paraId="221EDED6">
                  <w:pPr>
                    <w:widowControl/>
                    <w:jc w:val="center"/>
                    <w:textAlignment w:val="center"/>
                    <w:rPr>
                      <w:color w:val="auto"/>
                      <w:szCs w:val="21"/>
                      <w:highlight w:val="none"/>
                    </w:rPr>
                  </w:pPr>
                </w:p>
              </w:tc>
              <w:tc>
                <w:tcPr>
                  <w:tcW w:w="1470" w:type="pct"/>
                  <w:gridSpan w:val="4"/>
                  <w:noWrap w:val="0"/>
                  <w:vAlign w:val="center"/>
                </w:tcPr>
                <w:p w14:paraId="7BC2F68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0.081</w:t>
                  </w:r>
                </w:p>
              </w:tc>
              <w:tc>
                <w:tcPr>
                  <w:tcW w:w="653" w:type="pct"/>
                  <w:vMerge w:val="continue"/>
                  <w:noWrap w:val="0"/>
                  <w:vAlign w:val="center"/>
                </w:tcPr>
                <w:p w14:paraId="5A0CB0C9">
                  <w:pPr>
                    <w:widowControl/>
                    <w:jc w:val="center"/>
                    <w:rPr>
                      <w:color w:val="auto"/>
                      <w:szCs w:val="21"/>
                      <w:highlight w:val="none"/>
                    </w:rPr>
                  </w:pPr>
                </w:p>
              </w:tc>
              <w:tc>
                <w:tcPr>
                  <w:tcW w:w="671" w:type="pct"/>
                  <w:vMerge w:val="continue"/>
                  <w:noWrap w:val="0"/>
                  <w:vAlign w:val="center"/>
                </w:tcPr>
                <w:p w14:paraId="6A74C45C">
                  <w:pPr>
                    <w:widowControl/>
                    <w:jc w:val="center"/>
                    <w:rPr>
                      <w:color w:val="auto"/>
                      <w:szCs w:val="21"/>
                      <w:highlight w:val="none"/>
                    </w:rPr>
                  </w:pPr>
                </w:p>
              </w:tc>
            </w:tr>
            <w:tr w14:paraId="0A9D34A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370D47E4">
                  <w:pPr>
                    <w:widowControl/>
                    <w:jc w:val="center"/>
                    <w:rPr>
                      <w:color w:val="auto"/>
                      <w:szCs w:val="21"/>
                      <w:highlight w:val="none"/>
                    </w:rPr>
                  </w:pPr>
                </w:p>
              </w:tc>
              <w:tc>
                <w:tcPr>
                  <w:tcW w:w="1055" w:type="pct"/>
                  <w:noWrap w:val="0"/>
                  <w:vAlign w:val="center"/>
                </w:tcPr>
                <w:p w14:paraId="679599BB">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16</w:t>
                  </w:r>
                  <w:r>
                    <w:rPr>
                      <w:rFonts w:hint="eastAsia"/>
                      <w:color w:val="auto"/>
                      <w:szCs w:val="21"/>
                      <w:highlight w:val="none"/>
                    </w:rPr>
                    <w:t>日</w:t>
                  </w:r>
                  <w:r>
                    <w:rPr>
                      <w:rFonts w:hint="eastAsia"/>
                      <w:color w:val="auto"/>
                      <w:szCs w:val="21"/>
                      <w:highlight w:val="none"/>
                      <w:lang w:val="en-US" w:eastAsia="zh-CN"/>
                    </w:rPr>
                    <w:t>~17日</w:t>
                  </w:r>
                </w:p>
              </w:tc>
              <w:tc>
                <w:tcPr>
                  <w:tcW w:w="594" w:type="pct"/>
                  <w:vMerge w:val="continue"/>
                  <w:noWrap w:val="0"/>
                  <w:vAlign w:val="center"/>
                </w:tcPr>
                <w:p w14:paraId="7C4D6B75">
                  <w:pPr>
                    <w:widowControl/>
                    <w:jc w:val="center"/>
                    <w:textAlignment w:val="center"/>
                    <w:rPr>
                      <w:color w:val="auto"/>
                      <w:szCs w:val="21"/>
                      <w:highlight w:val="none"/>
                    </w:rPr>
                  </w:pPr>
                </w:p>
              </w:tc>
              <w:tc>
                <w:tcPr>
                  <w:tcW w:w="1470" w:type="pct"/>
                  <w:gridSpan w:val="4"/>
                  <w:noWrap w:val="0"/>
                  <w:vAlign w:val="center"/>
                </w:tcPr>
                <w:p w14:paraId="66CD44A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0.148</w:t>
                  </w:r>
                </w:p>
              </w:tc>
              <w:tc>
                <w:tcPr>
                  <w:tcW w:w="653" w:type="pct"/>
                  <w:vMerge w:val="continue"/>
                  <w:noWrap w:val="0"/>
                  <w:vAlign w:val="center"/>
                </w:tcPr>
                <w:p w14:paraId="31CB66F2">
                  <w:pPr>
                    <w:widowControl/>
                    <w:jc w:val="center"/>
                    <w:rPr>
                      <w:color w:val="auto"/>
                      <w:szCs w:val="21"/>
                      <w:highlight w:val="none"/>
                    </w:rPr>
                  </w:pPr>
                </w:p>
              </w:tc>
              <w:tc>
                <w:tcPr>
                  <w:tcW w:w="671" w:type="pct"/>
                  <w:vMerge w:val="continue"/>
                  <w:noWrap w:val="0"/>
                  <w:vAlign w:val="center"/>
                </w:tcPr>
                <w:p w14:paraId="0EEB4C77">
                  <w:pPr>
                    <w:widowControl/>
                    <w:jc w:val="center"/>
                    <w:rPr>
                      <w:color w:val="auto"/>
                      <w:szCs w:val="21"/>
                      <w:highlight w:val="none"/>
                    </w:rPr>
                  </w:pPr>
                </w:p>
              </w:tc>
            </w:tr>
            <w:tr w14:paraId="024059D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6C9E857F">
                  <w:pPr>
                    <w:widowControl/>
                    <w:jc w:val="center"/>
                    <w:rPr>
                      <w:color w:val="auto"/>
                      <w:szCs w:val="21"/>
                      <w:highlight w:val="none"/>
                    </w:rPr>
                  </w:pPr>
                </w:p>
              </w:tc>
              <w:tc>
                <w:tcPr>
                  <w:tcW w:w="1055" w:type="pct"/>
                  <w:noWrap w:val="0"/>
                  <w:vAlign w:val="center"/>
                </w:tcPr>
                <w:p w14:paraId="1300BBA6">
                  <w:pPr>
                    <w:widowControl/>
                    <w:jc w:val="center"/>
                    <w:textAlignment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17</w:t>
                  </w:r>
                  <w:r>
                    <w:rPr>
                      <w:rFonts w:hint="eastAsia"/>
                      <w:color w:val="auto"/>
                      <w:szCs w:val="21"/>
                      <w:highlight w:val="none"/>
                    </w:rPr>
                    <w:t>日</w:t>
                  </w:r>
                  <w:r>
                    <w:rPr>
                      <w:rFonts w:hint="eastAsia"/>
                      <w:color w:val="auto"/>
                      <w:szCs w:val="21"/>
                      <w:highlight w:val="none"/>
                      <w:lang w:val="en-US" w:eastAsia="zh-CN"/>
                    </w:rPr>
                    <w:t>~18日</w:t>
                  </w:r>
                </w:p>
              </w:tc>
              <w:tc>
                <w:tcPr>
                  <w:tcW w:w="594" w:type="pct"/>
                  <w:vMerge w:val="continue"/>
                  <w:noWrap w:val="0"/>
                  <w:vAlign w:val="center"/>
                </w:tcPr>
                <w:p w14:paraId="7C405755">
                  <w:pPr>
                    <w:widowControl/>
                    <w:jc w:val="center"/>
                    <w:textAlignment w:val="center"/>
                    <w:rPr>
                      <w:color w:val="auto"/>
                      <w:szCs w:val="21"/>
                      <w:highlight w:val="none"/>
                    </w:rPr>
                  </w:pPr>
                </w:p>
              </w:tc>
              <w:tc>
                <w:tcPr>
                  <w:tcW w:w="1470" w:type="pct"/>
                  <w:gridSpan w:val="4"/>
                  <w:noWrap w:val="0"/>
                  <w:vAlign w:val="center"/>
                </w:tcPr>
                <w:p w14:paraId="0B665EA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0.188</w:t>
                  </w:r>
                </w:p>
              </w:tc>
              <w:tc>
                <w:tcPr>
                  <w:tcW w:w="653" w:type="pct"/>
                  <w:vMerge w:val="continue"/>
                  <w:noWrap w:val="0"/>
                  <w:vAlign w:val="center"/>
                </w:tcPr>
                <w:p w14:paraId="2BC37253">
                  <w:pPr>
                    <w:widowControl/>
                    <w:jc w:val="center"/>
                    <w:rPr>
                      <w:color w:val="auto"/>
                      <w:szCs w:val="21"/>
                      <w:highlight w:val="none"/>
                    </w:rPr>
                  </w:pPr>
                </w:p>
              </w:tc>
              <w:tc>
                <w:tcPr>
                  <w:tcW w:w="671" w:type="pct"/>
                  <w:vMerge w:val="continue"/>
                  <w:noWrap w:val="0"/>
                  <w:vAlign w:val="center"/>
                </w:tcPr>
                <w:p w14:paraId="434EFB52">
                  <w:pPr>
                    <w:widowControl/>
                    <w:jc w:val="center"/>
                    <w:rPr>
                      <w:color w:val="auto"/>
                      <w:szCs w:val="21"/>
                      <w:highlight w:val="none"/>
                    </w:rPr>
                  </w:pPr>
                </w:p>
              </w:tc>
            </w:tr>
            <w:tr w14:paraId="300B430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6A51CB5A">
                  <w:pPr>
                    <w:widowControl/>
                    <w:jc w:val="center"/>
                    <w:rPr>
                      <w:color w:val="auto"/>
                      <w:szCs w:val="21"/>
                      <w:highlight w:val="none"/>
                    </w:rPr>
                  </w:pPr>
                </w:p>
              </w:tc>
              <w:tc>
                <w:tcPr>
                  <w:tcW w:w="1055" w:type="pct"/>
                  <w:noWrap w:val="0"/>
                  <w:vAlign w:val="center"/>
                </w:tcPr>
                <w:p w14:paraId="7932F586">
                  <w:pPr>
                    <w:widowControl/>
                    <w:jc w:val="center"/>
                    <w:textAlignment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18</w:t>
                  </w:r>
                  <w:r>
                    <w:rPr>
                      <w:rFonts w:hint="eastAsia"/>
                      <w:color w:val="auto"/>
                      <w:szCs w:val="21"/>
                      <w:highlight w:val="none"/>
                    </w:rPr>
                    <w:t>日</w:t>
                  </w:r>
                  <w:r>
                    <w:rPr>
                      <w:rFonts w:hint="eastAsia"/>
                      <w:color w:val="auto"/>
                      <w:szCs w:val="21"/>
                      <w:highlight w:val="none"/>
                      <w:lang w:val="en-US" w:eastAsia="zh-CN"/>
                    </w:rPr>
                    <w:t>~19日</w:t>
                  </w:r>
                </w:p>
              </w:tc>
              <w:tc>
                <w:tcPr>
                  <w:tcW w:w="594" w:type="pct"/>
                  <w:vMerge w:val="continue"/>
                  <w:noWrap w:val="0"/>
                  <w:vAlign w:val="center"/>
                </w:tcPr>
                <w:p w14:paraId="3CCF17E9">
                  <w:pPr>
                    <w:widowControl/>
                    <w:jc w:val="center"/>
                    <w:textAlignment w:val="center"/>
                    <w:rPr>
                      <w:color w:val="auto"/>
                      <w:szCs w:val="21"/>
                      <w:highlight w:val="none"/>
                    </w:rPr>
                  </w:pPr>
                </w:p>
              </w:tc>
              <w:tc>
                <w:tcPr>
                  <w:tcW w:w="1470" w:type="pct"/>
                  <w:gridSpan w:val="4"/>
                  <w:noWrap w:val="0"/>
                  <w:vAlign w:val="center"/>
                </w:tcPr>
                <w:p w14:paraId="52FCAA81">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0.192</w:t>
                  </w:r>
                </w:p>
              </w:tc>
              <w:tc>
                <w:tcPr>
                  <w:tcW w:w="653" w:type="pct"/>
                  <w:vMerge w:val="continue"/>
                  <w:noWrap w:val="0"/>
                  <w:vAlign w:val="center"/>
                </w:tcPr>
                <w:p w14:paraId="183F939C">
                  <w:pPr>
                    <w:widowControl/>
                    <w:jc w:val="center"/>
                    <w:rPr>
                      <w:color w:val="auto"/>
                      <w:szCs w:val="21"/>
                      <w:highlight w:val="none"/>
                    </w:rPr>
                  </w:pPr>
                </w:p>
              </w:tc>
              <w:tc>
                <w:tcPr>
                  <w:tcW w:w="671" w:type="pct"/>
                  <w:vMerge w:val="continue"/>
                  <w:noWrap w:val="0"/>
                  <w:vAlign w:val="center"/>
                </w:tcPr>
                <w:p w14:paraId="3B8F8CB8">
                  <w:pPr>
                    <w:widowControl/>
                    <w:jc w:val="center"/>
                    <w:rPr>
                      <w:color w:val="auto"/>
                      <w:szCs w:val="21"/>
                      <w:highlight w:val="none"/>
                    </w:rPr>
                  </w:pPr>
                </w:p>
              </w:tc>
            </w:tr>
            <w:tr w14:paraId="7AB157A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restart"/>
                  <w:noWrap w:val="0"/>
                  <w:vAlign w:val="center"/>
                </w:tcPr>
                <w:p w14:paraId="0FA42FF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非甲烷总烃</w:t>
                  </w:r>
                </w:p>
              </w:tc>
              <w:tc>
                <w:tcPr>
                  <w:tcW w:w="1055" w:type="pct"/>
                  <w:shd w:val="clear" w:color="auto" w:fill="auto"/>
                  <w:noWrap w:val="0"/>
                  <w:vAlign w:val="center"/>
                </w:tcPr>
                <w:p w14:paraId="243377D6">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w:t>
                  </w:r>
                  <w:r>
                    <w:rPr>
                      <w:rFonts w:hint="eastAsia"/>
                      <w:color w:val="auto"/>
                      <w:szCs w:val="21"/>
                      <w:highlight w:val="none"/>
                    </w:rPr>
                    <w:t>2日</w:t>
                  </w:r>
                  <w:r>
                    <w:rPr>
                      <w:rFonts w:hint="eastAsia"/>
                      <w:color w:val="auto"/>
                      <w:szCs w:val="21"/>
                      <w:highlight w:val="none"/>
                      <w:lang w:val="en-US" w:eastAsia="zh-CN"/>
                    </w:rPr>
                    <w:t>~13日</w:t>
                  </w:r>
                </w:p>
              </w:tc>
              <w:tc>
                <w:tcPr>
                  <w:tcW w:w="594" w:type="pct"/>
                  <w:vMerge w:val="restart"/>
                  <w:noWrap w:val="0"/>
                  <w:vAlign w:val="center"/>
                </w:tcPr>
                <w:p w14:paraId="12473622">
                  <w:pPr>
                    <w:widowControl/>
                    <w:jc w:val="center"/>
                    <w:textAlignment w:val="center"/>
                    <w:rPr>
                      <w:color w:val="auto"/>
                      <w:szCs w:val="21"/>
                      <w:highlight w:val="none"/>
                    </w:rPr>
                  </w:pPr>
                  <w:r>
                    <w:rPr>
                      <w:color w:val="auto"/>
                      <w:szCs w:val="21"/>
                      <w:highlight w:val="none"/>
                    </w:rPr>
                    <w:t>mg/m³</w:t>
                  </w:r>
                </w:p>
              </w:tc>
              <w:tc>
                <w:tcPr>
                  <w:tcW w:w="367" w:type="pct"/>
                  <w:noWrap w:val="0"/>
                  <w:vAlign w:val="center"/>
                </w:tcPr>
                <w:p w14:paraId="5C1DA729">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367" w:type="pct"/>
                  <w:noWrap w:val="0"/>
                  <w:vAlign w:val="center"/>
                </w:tcPr>
                <w:p w14:paraId="366D756C">
                  <w:pPr>
                    <w:widowControl/>
                    <w:jc w:val="center"/>
                    <w:rPr>
                      <w:rFonts w:hint="default"/>
                      <w:color w:val="auto"/>
                      <w:szCs w:val="21"/>
                      <w:highlight w:val="none"/>
                      <w:lang w:val="en-US" w:eastAsia="zh-CN"/>
                    </w:rPr>
                  </w:pPr>
                  <w:r>
                    <w:rPr>
                      <w:rFonts w:hint="eastAsia"/>
                      <w:color w:val="auto"/>
                      <w:szCs w:val="21"/>
                      <w:highlight w:val="none"/>
                      <w:lang w:val="en-US" w:eastAsia="zh-CN"/>
                    </w:rPr>
                    <w:t>0.92</w:t>
                  </w:r>
                </w:p>
              </w:tc>
              <w:tc>
                <w:tcPr>
                  <w:tcW w:w="367" w:type="pct"/>
                  <w:noWrap w:val="0"/>
                  <w:vAlign w:val="center"/>
                </w:tcPr>
                <w:p w14:paraId="657FEDEC">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142D5571">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653" w:type="pct"/>
                  <w:vMerge w:val="restart"/>
                  <w:noWrap w:val="0"/>
                  <w:vAlign w:val="center"/>
                </w:tcPr>
                <w:p w14:paraId="7D53C6B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671" w:type="pct"/>
                  <w:vMerge w:val="restart"/>
                  <w:noWrap w:val="0"/>
                  <w:vAlign w:val="center"/>
                </w:tcPr>
                <w:p w14:paraId="4A496B1D">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达标</w:t>
                  </w:r>
                </w:p>
              </w:tc>
            </w:tr>
            <w:tr w14:paraId="19EFB4E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17897676">
                  <w:pPr>
                    <w:widowControl/>
                    <w:jc w:val="center"/>
                    <w:rPr>
                      <w:color w:val="auto"/>
                      <w:szCs w:val="21"/>
                      <w:highlight w:val="none"/>
                    </w:rPr>
                  </w:pPr>
                </w:p>
              </w:tc>
              <w:tc>
                <w:tcPr>
                  <w:tcW w:w="1055" w:type="pct"/>
                  <w:shd w:val="clear" w:color="auto" w:fill="auto"/>
                  <w:noWrap w:val="0"/>
                  <w:vAlign w:val="center"/>
                </w:tcPr>
                <w:p w14:paraId="70C90A4B">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13</w:t>
                  </w:r>
                  <w:r>
                    <w:rPr>
                      <w:rFonts w:hint="eastAsia"/>
                      <w:color w:val="auto"/>
                      <w:szCs w:val="21"/>
                      <w:highlight w:val="none"/>
                    </w:rPr>
                    <w:t>日</w:t>
                  </w:r>
                  <w:r>
                    <w:rPr>
                      <w:rFonts w:hint="eastAsia"/>
                      <w:color w:val="auto"/>
                      <w:szCs w:val="21"/>
                      <w:highlight w:val="none"/>
                      <w:lang w:val="en-US" w:eastAsia="zh-CN"/>
                    </w:rPr>
                    <w:t>~14日</w:t>
                  </w:r>
                </w:p>
              </w:tc>
              <w:tc>
                <w:tcPr>
                  <w:tcW w:w="594" w:type="pct"/>
                  <w:vMerge w:val="continue"/>
                  <w:noWrap w:val="0"/>
                  <w:vAlign w:val="center"/>
                </w:tcPr>
                <w:p w14:paraId="5C8B2F0E">
                  <w:pPr>
                    <w:widowControl/>
                    <w:jc w:val="center"/>
                    <w:textAlignment w:val="center"/>
                    <w:rPr>
                      <w:color w:val="auto"/>
                      <w:szCs w:val="21"/>
                      <w:highlight w:val="none"/>
                    </w:rPr>
                  </w:pPr>
                </w:p>
              </w:tc>
              <w:tc>
                <w:tcPr>
                  <w:tcW w:w="367" w:type="pct"/>
                  <w:noWrap w:val="0"/>
                  <w:vAlign w:val="center"/>
                </w:tcPr>
                <w:p w14:paraId="0DC44D80">
                  <w:pPr>
                    <w:widowControl/>
                    <w:jc w:val="center"/>
                    <w:rPr>
                      <w:rFonts w:hint="default"/>
                      <w:color w:val="auto"/>
                      <w:szCs w:val="21"/>
                      <w:highlight w:val="none"/>
                      <w:lang w:val="en-US" w:eastAsia="zh-CN"/>
                    </w:rPr>
                  </w:pPr>
                  <w:r>
                    <w:rPr>
                      <w:rFonts w:hint="eastAsia"/>
                      <w:color w:val="auto"/>
                      <w:szCs w:val="21"/>
                      <w:highlight w:val="none"/>
                      <w:lang w:val="en-US" w:eastAsia="zh-CN"/>
                    </w:rPr>
                    <w:t>0.82</w:t>
                  </w:r>
                </w:p>
              </w:tc>
              <w:tc>
                <w:tcPr>
                  <w:tcW w:w="367" w:type="pct"/>
                  <w:noWrap w:val="0"/>
                  <w:vAlign w:val="center"/>
                </w:tcPr>
                <w:p w14:paraId="3C33E11C">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47B106F4">
                  <w:pPr>
                    <w:widowControl/>
                    <w:jc w:val="center"/>
                    <w:rPr>
                      <w:rFonts w:hint="default"/>
                      <w:color w:val="auto"/>
                      <w:szCs w:val="21"/>
                      <w:highlight w:val="none"/>
                      <w:lang w:val="en-US" w:eastAsia="zh-CN"/>
                    </w:rPr>
                  </w:pPr>
                  <w:r>
                    <w:rPr>
                      <w:rFonts w:hint="eastAsia"/>
                      <w:color w:val="auto"/>
                      <w:szCs w:val="21"/>
                      <w:highlight w:val="none"/>
                      <w:lang w:val="en-US" w:eastAsia="zh-CN"/>
                    </w:rPr>
                    <w:t>0.84</w:t>
                  </w:r>
                </w:p>
              </w:tc>
              <w:tc>
                <w:tcPr>
                  <w:tcW w:w="367" w:type="pct"/>
                  <w:noWrap w:val="0"/>
                  <w:vAlign w:val="center"/>
                </w:tcPr>
                <w:p w14:paraId="247A99B5">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653" w:type="pct"/>
                  <w:vMerge w:val="continue"/>
                  <w:noWrap w:val="0"/>
                  <w:vAlign w:val="center"/>
                </w:tcPr>
                <w:p w14:paraId="7CF3FC35">
                  <w:pPr>
                    <w:widowControl/>
                    <w:jc w:val="center"/>
                    <w:rPr>
                      <w:color w:val="auto"/>
                      <w:szCs w:val="21"/>
                      <w:highlight w:val="none"/>
                    </w:rPr>
                  </w:pPr>
                </w:p>
              </w:tc>
              <w:tc>
                <w:tcPr>
                  <w:tcW w:w="671" w:type="pct"/>
                  <w:vMerge w:val="continue"/>
                  <w:noWrap w:val="0"/>
                  <w:vAlign w:val="center"/>
                </w:tcPr>
                <w:p w14:paraId="05CE5B01">
                  <w:pPr>
                    <w:widowControl/>
                    <w:jc w:val="center"/>
                    <w:rPr>
                      <w:color w:val="auto"/>
                      <w:szCs w:val="21"/>
                      <w:highlight w:val="none"/>
                    </w:rPr>
                  </w:pPr>
                </w:p>
              </w:tc>
            </w:tr>
            <w:tr w14:paraId="15370A1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1BEB6349">
                  <w:pPr>
                    <w:widowControl/>
                    <w:jc w:val="center"/>
                    <w:rPr>
                      <w:color w:val="auto"/>
                      <w:szCs w:val="21"/>
                      <w:highlight w:val="none"/>
                    </w:rPr>
                  </w:pPr>
                </w:p>
              </w:tc>
              <w:tc>
                <w:tcPr>
                  <w:tcW w:w="1055" w:type="pct"/>
                  <w:shd w:val="clear" w:color="auto" w:fill="auto"/>
                  <w:noWrap w:val="0"/>
                  <w:vAlign w:val="center"/>
                </w:tcPr>
                <w:p w14:paraId="605E44B1">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14</w:t>
                  </w:r>
                  <w:r>
                    <w:rPr>
                      <w:rFonts w:hint="eastAsia"/>
                      <w:color w:val="auto"/>
                      <w:szCs w:val="21"/>
                      <w:highlight w:val="none"/>
                    </w:rPr>
                    <w:t>日</w:t>
                  </w:r>
                  <w:r>
                    <w:rPr>
                      <w:rFonts w:hint="eastAsia"/>
                      <w:color w:val="auto"/>
                      <w:szCs w:val="21"/>
                      <w:highlight w:val="none"/>
                      <w:lang w:val="en-US" w:eastAsia="zh-CN"/>
                    </w:rPr>
                    <w:t>~15日</w:t>
                  </w:r>
                </w:p>
              </w:tc>
              <w:tc>
                <w:tcPr>
                  <w:tcW w:w="594" w:type="pct"/>
                  <w:vMerge w:val="continue"/>
                  <w:noWrap w:val="0"/>
                  <w:vAlign w:val="center"/>
                </w:tcPr>
                <w:p w14:paraId="73B82F79">
                  <w:pPr>
                    <w:widowControl/>
                    <w:jc w:val="center"/>
                    <w:textAlignment w:val="center"/>
                    <w:rPr>
                      <w:color w:val="auto"/>
                      <w:szCs w:val="21"/>
                      <w:highlight w:val="none"/>
                    </w:rPr>
                  </w:pPr>
                </w:p>
              </w:tc>
              <w:tc>
                <w:tcPr>
                  <w:tcW w:w="367" w:type="pct"/>
                  <w:noWrap w:val="0"/>
                  <w:vAlign w:val="center"/>
                </w:tcPr>
                <w:p w14:paraId="29E7A736">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367" w:type="pct"/>
                  <w:noWrap w:val="0"/>
                  <w:vAlign w:val="center"/>
                </w:tcPr>
                <w:p w14:paraId="0FD22446">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367" w:type="pct"/>
                  <w:noWrap w:val="0"/>
                  <w:vAlign w:val="center"/>
                </w:tcPr>
                <w:p w14:paraId="478FF833">
                  <w:pPr>
                    <w:widowControl/>
                    <w:jc w:val="center"/>
                    <w:rPr>
                      <w:rFonts w:hint="default"/>
                      <w:color w:val="auto"/>
                      <w:szCs w:val="21"/>
                      <w:highlight w:val="none"/>
                      <w:lang w:val="en-US" w:eastAsia="zh-CN"/>
                    </w:rPr>
                  </w:pPr>
                  <w:r>
                    <w:rPr>
                      <w:rFonts w:hint="eastAsia"/>
                      <w:color w:val="auto"/>
                      <w:szCs w:val="21"/>
                      <w:highlight w:val="none"/>
                      <w:lang w:val="en-US" w:eastAsia="zh-CN"/>
                    </w:rPr>
                    <w:t>0.85</w:t>
                  </w:r>
                </w:p>
              </w:tc>
              <w:tc>
                <w:tcPr>
                  <w:tcW w:w="367" w:type="pct"/>
                  <w:noWrap w:val="0"/>
                  <w:vAlign w:val="center"/>
                </w:tcPr>
                <w:p w14:paraId="0C659164">
                  <w:pPr>
                    <w:widowControl/>
                    <w:jc w:val="center"/>
                    <w:rPr>
                      <w:rFonts w:hint="default"/>
                      <w:color w:val="auto"/>
                      <w:szCs w:val="21"/>
                      <w:highlight w:val="none"/>
                      <w:lang w:val="en-US" w:eastAsia="zh-CN"/>
                    </w:rPr>
                  </w:pPr>
                  <w:r>
                    <w:rPr>
                      <w:rFonts w:hint="eastAsia"/>
                      <w:color w:val="auto"/>
                      <w:szCs w:val="21"/>
                      <w:highlight w:val="none"/>
                      <w:lang w:val="en-US" w:eastAsia="zh-CN"/>
                    </w:rPr>
                    <w:t>0.85</w:t>
                  </w:r>
                </w:p>
              </w:tc>
              <w:tc>
                <w:tcPr>
                  <w:tcW w:w="653" w:type="pct"/>
                  <w:vMerge w:val="continue"/>
                  <w:noWrap w:val="0"/>
                  <w:vAlign w:val="center"/>
                </w:tcPr>
                <w:p w14:paraId="1F23C13E">
                  <w:pPr>
                    <w:widowControl/>
                    <w:jc w:val="center"/>
                    <w:rPr>
                      <w:color w:val="auto"/>
                      <w:szCs w:val="21"/>
                      <w:highlight w:val="none"/>
                    </w:rPr>
                  </w:pPr>
                </w:p>
              </w:tc>
              <w:tc>
                <w:tcPr>
                  <w:tcW w:w="671" w:type="pct"/>
                  <w:vMerge w:val="continue"/>
                  <w:noWrap w:val="0"/>
                  <w:vAlign w:val="center"/>
                </w:tcPr>
                <w:p w14:paraId="51DD8396">
                  <w:pPr>
                    <w:widowControl/>
                    <w:jc w:val="center"/>
                    <w:rPr>
                      <w:color w:val="auto"/>
                      <w:szCs w:val="21"/>
                      <w:highlight w:val="none"/>
                    </w:rPr>
                  </w:pPr>
                </w:p>
              </w:tc>
            </w:tr>
            <w:tr w14:paraId="383BE63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437AA003">
                  <w:pPr>
                    <w:widowControl/>
                    <w:jc w:val="center"/>
                    <w:rPr>
                      <w:color w:val="auto"/>
                      <w:szCs w:val="21"/>
                      <w:highlight w:val="none"/>
                    </w:rPr>
                  </w:pPr>
                </w:p>
              </w:tc>
              <w:tc>
                <w:tcPr>
                  <w:tcW w:w="1055" w:type="pct"/>
                  <w:shd w:val="clear" w:color="auto" w:fill="auto"/>
                  <w:noWrap w:val="0"/>
                  <w:vAlign w:val="center"/>
                </w:tcPr>
                <w:p w14:paraId="48F192F2">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15</w:t>
                  </w:r>
                  <w:r>
                    <w:rPr>
                      <w:rFonts w:hint="eastAsia"/>
                      <w:color w:val="auto"/>
                      <w:szCs w:val="21"/>
                      <w:highlight w:val="none"/>
                    </w:rPr>
                    <w:t>日</w:t>
                  </w:r>
                  <w:r>
                    <w:rPr>
                      <w:rFonts w:hint="eastAsia"/>
                      <w:color w:val="auto"/>
                      <w:szCs w:val="21"/>
                      <w:highlight w:val="none"/>
                      <w:lang w:val="en-US" w:eastAsia="zh-CN"/>
                    </w:rPr>
                    <w:t>~16日</w:t>
                  </w:r>
                </w:p>
              </w:tc>
              <w:tc>
                <w:tcPr>
                  <w:tcW w:w="594" w:type="pct"/>
                  <w:vMerge w:val="continue"/>
                  <w:noWrap w:val="0"/>
                  <w:vAlign w:val="center"/>
                </w:tcPr>
                <w:p w14:paraId="72E7FA9C">
                  <w:pPr>
                    <w:widowControl/>
                    <w:jc w:val="center"/>
                    <w:textAlignment w:val="center"/>
                    <w:rPr>
                      <w:color w:val="auto"/>
                      <w:szCs w:val="21"/>
                      <w:highlight w:val="none"/>
                    </w:rPr>
                  </w:pPr>
                </w:p>
              </w:tc>
              <w:tc>
                <w:tcPr>
                  <w:tcW w:w="367" w:type="pct"/>
                  <w:noWrap w:val="0"/>
                  <w:vAlign w:val="center"/>
                </w:tcPr>
                <w:p w14:paraId="73203B2A">
                  <w:pPr>
                    <w:widowControl/>
                    <w:jc w:val="center"/>
                    <w:rPr>
                      <w:rFonts w:hint="default"/>
                      <w:color w:val="auto"/>
                      <w:szCs w:val="21"/>
                      <w:highlight w:val="none"/>
                      <w:lang w:val="en-US" w:eastAsia="zh-CN"/>
                    </w:rPr>
                  </w:pPr>
                  <w:r>
                    <w:rPr>
                      <w:rFonts w:hint="eastAsia"/>
                      <w:color w:val="auto"/>
                      <w:szCs w:val="21"/>
                      <w:highlight w:val="none"/>
                      <w:lang w:val="en-US" w:eastAsia="zh-CN"/>
                    </w:rPr>
                    <w:t>0.82</w:t>
                  </w:r>
                </w:p>
              </w:tc>
              <w:tc>
                <w:tcPr>
                  <w:tcW w:w="367" w:type="pct"/>
                  <w:noWrap w:val="0"/>
                  <w:vAlign w:val="center"/>
                </w:tcPr>
                <w:p w14:paraId="6FB0EAF2">
                  <w:pPr>
                    <w:widowControl/>
                    <w:jc w:val="center"/>
                    <w:rPr>
                      <w:rFonts w:hint="default"/>
                      <w:color w:val="auto"/>
                      <w:szCs w:val="21"/>
                      <w:highlight w:val="none"/>
                      <w:lang w:val="en-US" w:eastAsia="zh-CN"/>
                    </w:rPr>
                  </w:pPr>
                  <w:r>
                    <w:rPr>
                      <w:rFonts w:hint="eastAsia"/>
                      <w:color w:val="auto"/>
                      <w:szCs w:val="21"/>
                      <w:highlight w:val="none"/>
                      <w:lang w:val="en-US" w:eastAsia="zh-CN"/>
                    </w:rPr>
                    <w:t>0.86</w:t>
                  </w:r>
                </w:p>
              </w:tc>
              <w:tc>
                <w:tcPr>
                  <w:tcW w:w="367" w:type="pct"/>
                  <w:noWrap w:val="0"/>
                  <w:vAlign w:val="center"/>
                </w:tcPr>
                <w:p w14:paraId="27246986">
                  <w:pPr>
                    <w:widowControl/>
                    <w:jc w:val="center"/>
                    <w:rPr>
                      <w:rFonts w:hint="default"/>
                      <w:color w:val="auto"/>
                      <w:szCs w:val="21"/>
                      <w:highlight w:val="none"/>
                      <w:lang w:val="en-US" w:eastAsia="zh-CN"/>
                    </w:rPr>
                  </w:pPr>
                  <w:r>
                    <w:rPr>
                      <w:rFonts w:hint="eastAsia"/>
                      <w:color w:val="auto"/>
                      <w:szCs w:val="21"/>
                      <w:highlight w:val="none"/>
                      <w:lang w:val="en-US" w:eastAsia="zh-CN"/>
                    </w:rPr>
                    <w:t>0.86</w:t>
                  </w:r>
                </w:p>
              </w:tc>
              <w:tc>
                <w:tcPr>
                  <w:tcW w:w="367" w:type="pct"/>
                  <w:noWrap w:val="0"/>
                  <w:vAlign w:val="center"/>
                </w:tcPr>
                <w:p w14:paraId="21363FAB">
                  <w:pPr>
                    <w:widowControl/>
                    <w:jc w:val="center"/>
                    <w:rPr>
                      <w:rFonts w:hint="default"/>
                      <w:color w:val="auto"/>
                      <w:szCs w:val="21"/>
                      <w:highlight w:val="none"/>
                      <w:lang w:val="en-US" w:eastAsia="zh-CN"/>
                    </w:rPr>
                  </w:pPr>
                  <w:r>
                    <w:rPr>
                      <w:rFonts w:hint="eastAsia"/>
                      <w:color w:val="auto"/>
                      <w:szCs w:val="21"/>
                      <w:highlight w:val="none"/>
                      <w:lang w:val="en-US" w:eastAsia="zh-CN"/>
                    </w:rPr>
                    <w:t>0.85</w:t>
                  </w:r>
                </w:p>
              </w:tc>
              <w:tc>
                <w:tcPr>
                  <w:tcW w:w="653" w:type="pct"/>
                  <w:vMerge w:val="continue"/>
                  <w:noWrap w:val="0"/>
                  <w:vAlign w:val="center"/>
                </w:tcPr>
                <w:p w14:paraId="1A19DCA4">
                  <w:pPr>
                    <w:widowControl/>
                    <w:jc w:val="center"/>
                    <w:rPr>
                      <w:color w:val="auto"/>
                      <w:szCs w:val="21"/>
                      <w:highlight w:val="none"/>
                    </w:rPr>
                  </w:pPr>
                </w:p>
              </w:tc>
              <w:tc>
                <w:tcPr>
                  <w:tcW w:w="671" w:type="pct"/>
                  <w:vMerge w:val="continue"/>
                  <w:noWrap w:val="0"/>
                  <w:vAlign w:val="center"/>
                </w:tcPr>
                <w:p w14:paraId="2C5B74DB">
                  <w:pPr>
                    <w:widowControl/>
                    <w:jc w:val="center"/>
                    <w:rPr>
                      <w:color w:val="auto"/>
                      <w:szCs w:val="21"/>
                      <w:highlight w:val="none"/>
                    </w:rPr>
                  </w:pPr>
                </w:p>
              </w:tc>
            </w:tr>
            <w:tr w14:paraId="518D639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0E24A097">
                  <w:pPr>
                    <w:widowControl/>
                    <w:jc w:val="center"/>
                    <w:rPr>
                      <w:color w:val="auto"/>
                      <w:szCs w:val="21"/>
                      <w:highlight w:val="none"/>
                    </w:rPr>
                  </w:pPr>
                </w:p>
              </w:tc>
              <w:tc>
                <w:tcPr>
                  <w:tcW w:w="1055" w:type="pct"/>
                  <w:shd w:val="clear" w:color="auto" w:fill="auto"/>
                  <w:noWrap w:val="0"/>
                  <w:vAlign w:val="center"/>
                </w:tcPr>
                <w:p w14:paraId="0FDD5912">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16</w:t>
                  </w:r>
                  <w:r>
                    <w:rPr>
                      <w:rFonts w:hint="eastAsia"/>
                      <w:color w:val="auto"/>
                      <w:szCs w:val="21"/>
                      <w:highlight w:val="none"/>
                    </w:rPr>
                    <w:t>日</w:t>
                  </w:r>
                  <w:r>
                    <w:rPr>
                      <w:rFonts w:hint="eastAsia"/>
                      <w:color w:val="auto"/>
                      <w:szCs w:val="21"/>
                      <w:highlight w:val="none"/>
                      <w:lang w:val="en-US" w:eastAsia="zh-CN"/>
                    </w:rPr>
                    <w:t>~17日</w:t>
                  </w:r>
                </w:p>
              </w:tc>
              <w:tc>
                <w:tcPr>
                  <w:tcW w:w="594" w:type="pct"/>
                  <w:vMerge w:val="continue"/>
                  <w:noWrap w:val="0"/>
                  <w:vAlign w:val="center"/>
                </w:tcPr>
                <w:p w14:paraId="285BD647">
                  <w:pPr>
                    <w:widowControl/>
                    <w:jc w:val="center"/>
                    <w:textAlignment w:val="center"/>
                    <w:rPr>
                      <w:color w:val="auto"/>
                      <w:szCs w:val="21"/>
                      <w:highlight w:val="none"/>
                    </w:rPr>
                  </w:pPr>
                </w:p>
              </w:tc>
              <w:tc>
                <w:tcPr>
                  <w:tcW w:w="367" w:type="pct"/>
                  <w:noWrap w:val="0"/>
                  <w:vAlign w:val="center"/>
                </w:tcPr>
                <w:p w14:paraId="54C546BC">
                  <w:pPr>
                    <w:widowControl/>
                    <w:jc w:val="center"/>
                    <w:rPr>
                      <w:rFonts w:hint="default"/>
                      <w:color w:val="auto"/>
                      <w:szCs w:val="21"/>
                      <w:highlight w:val="none"/>
                      <w:lang w:val="en-US" w:eastAsia="zh-CN"/>
                    </w:rPr>
                  </w:pPr>
                  <w:r>
                    <w:rPr>
                      <w:rFonts w:hint="eastAsia"/>
                      <w:color w:val="auto"/>
                      <w:szCs w:val="21"/>
                      <w:highlight w:val="none"/>
                      <w:lang w:val="en-US" w:eastAsia="zh-CN"/>
                    </w:rPr>
                    <w:t>0.90</w:t>
                  </w:r>
                </w:p>
              </w:tc>
              <w:tc>
                <w:tcPr>
                  <w:tcW w:w="367" w:type="pct"/>
                  <w:noWrap w:val="0"/>
                  <w:vAlign w:val="center"/>
                </w:tcPr>
                <w:p w14:paraId="38FB7B33">
                  <w:pPr>
                    <w:widowControl/>
                    <w:jc w:val="center"/>
                    <w:rPr>
                      <w:rFonts w:hint="default"/>
                      <w:color w:val="auto"/>
                      <w:szCs w:val="21"/>
                      <w:highlight w:val="none"/>
                      <w:lang w:val="en-US" w:eastAsia="zh-CN"/>
                    </w:rPr>
                  </w:pPr>
                  <w:r>
                    <w:rPr>
                      <w:rFonts w:hint="eastAsia"/>
                      <w:color w:val="auto"/>
                      <w:szCs w:val="21"/>
                      <w:highlight w:val="none"/>
                      <w:lang w:val="en-US" w:eastAsia="zh-CN"/>
                    </w:rPr>
                    <w:t>0.88</w:t>
                  </w:r>
                </w:p>
              </w:tc>
              <w:tc>
                <w:tcPr>
                  <w:tcW w:w="367" w:type="pct"/>
                  <w:noWrap w:val="0"/>
                  <w:vAlign w:val="center"/>
                </w:tcPr>
                <w:p w14:paraId="31B3E72A">
                  <w:pPr>
                    <w:widowControl/>
                    <w:jc w:val="center"/>
                    <w:rPr>
                      <w:rFonts w:hint="default"/>
                      <w:color w:val="auto"/>
                      <w:szCs w:val="21"/>
                      <w:highlight w:val="none"/>
                      <w:lang w:val="en-US" w:eastAsia="zh-CN"/>
                    </w:rPr>
                  </w:pPr>
                  <w:r>
                    <w:rPr>
                      <w:rFonts w:hint="eastAsia"/>
                      <w:color w:val="auto"/>
                      <w:szCs w:val="21"/>
                      <w:highlight w:val="none"/>
                      <w:lang w:val="en-US" w:eastAsia="zh-CN"/>
                    </w:rPr>
                    <w:t>0.83</w:t>
                  </w:r>
                </w:p>
              </w:tc>
              <w:tc>
                <w:tcPr>
                  <w:tcW w:w="367" w:type="pct"/>
                  <w:noWrap w:val="0"/>
                  <w:vAlign w:val="center"/>
                </w:tcPr>
                <w:p w14:paraId="6B86BC69">
                  <w:pPr>
                    <w:widowControl/>
                    <w:jc w:val="center"/>
                    <w:rPr>
                      <w:rFonts w:hint="default"/>
                      <w:color w:val="auto"/>
                      <w:szCs w:val="21"/>
                      <w:highlight w:val="none"/>
                      <w:lang w:val="en-US" w:eastAsia="zh-CN"/>
                    </w:rPr>
                  </w:pPr>
                  <w:r>
                    <w:rPr>
                      <w:rFonts w:hint="eastAsia"/>
                      <w:color w:val="auto"/>
                      <w:szCs w:val="21"/>
                      <w:highlight w:val="none"/>
                      <w:lang w:val="en-US" w:eastAsia="zh-CN"/>
                    </w:rPr>
                    <w:t>0.80</w:t>
                  </w:r>
                </w:p>
              </w:tc>
              <w:tc>
                <w:tcPr>
                  <w:tcW w:w="653" w:type="pct"/>
                  <w:vMerge w:val="continue"/>
                  <w:noWrap w:val="0"/>
                  <w:vAlign w:val="center"/>
                </w:tcPr>
                <w:p w14:paraId="50D7773B">
                  <w:pPr>
                    <w:widowControl/>
                    <w:jc w:val="center"/>
                    <w:rPr>
                      <w:color w:val="auto"/>
                      <w:szCs w:val="21"/>
                      <w:highlight w:val="none"/>
                    </w:rPr>
                  </w:pPr>
                </w:p>
              </w:tc>
              <w:tc>
                <w:tcPr>
                  <w:tcW w:w="671" w:type="pct"/>
                  <w:vMerge w:val="continue"/>
                  <w:noWrap w:val="0"/>
                  <w:vAlign w:val="center"/>
                </w:tcPr>
                <w:p w14:paraId="546F83F8">
                  <w:pPr>
                    <w:widowControl/>
                    <w:jc w:val="center"/>
                    <w:rPr>
                      <w:color w:val="auto"/>
                      <w:szCs w:val="21"/>
                      <w:highlight w:val="none"/>
                    </w:rPr>
                  </w:pPr>
                </w:p>
              </w:tc>
            </w:tr>
            <w:tr w14:paraId="0E459FE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6825A0C2">
                  <w:pPr>
                    <w:widowControl/>
                    <w:jc w:val="center"/>
                    <w:rPr>
                      <w:color w:val="auto"/>
                      <w:szCs w:val="21"/>
                      <w:highlight w:val="none"/>
                    </w:rPr>
                  </w:pPr>
                </w:p>
              </w:tc>
              <w:tc>
                <w:tcPr>
                  <w:tcW w:w="1055" w:type="pct"/>
                  <w:shd w:val="clear" w:color="auto" w:fill="auto"/>
                  <w:noWrap w:val="0"/>
                  <w:vAlign w:val="center"/>
                </w:tcPr>
                <w:p w14:paraId="32A56FF2">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17</w:t>
                  </w:r>
                  <w:r>
                    <w:rPr>
                      <w:rFonts w:hint="eastAsia"/>
                      <w:color w:val="auto"/>
                      <w:szCs w:val="21"/>
                      <w:highlight w:val="none"/>
                    </w:rPr>
                    <w:t>日</w:t>
                  </w:r>
                  <w:r>
                    <w:rPr>
                      <w:rFonts w:hint="eastAsia"/>
                      <w:color w:val="auto"/>
                      <w:szCs w:val="21"/>
                      <w:highlight w:val="none"/>
                      <w:lang w:val="en-US" w:eastAsia="zh-CN"/>
                    </w:rPr>
                    <w:t>~18日</w:t>
                  </w:r>
                </w:p>
              </w:tc>
              <w:tc>
                <w:tcPr>
                  <w:tcW w:w="594" w:type="pct"/>
                  <w:vMerge w:val="continue"/>
                  <w:noWrap w:val="0"/>
                  <w:vAlign w:val="center"/>
                </w:tcPr>
                <w:p w14:paraId="507B0AFB">
                  <w:pPr>
                    <w:widowControl/>
                    <w:jc w:val="center"/>
                    <w:textAlignment w:val="center"/>
                    <w:rPr>
                      <w:color w:val="auto"/>
                      <w:szCs w:val="21"/>
                      <w:highlight w:val="none"/>
                    </w:rPr>
                  </w:pPr>
                </w:p>
              </w:tc>
              <w:tc>
                <w:tcPr>
                  <w:tcW w:w="367" w:type="pct"/>
                  <w:noWrap w:val="0"/>
                  <w:vAlign w:val="center"/>
                </w:tcPr>
                <w:p w14:paraId="3C7F3519">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0CFB57B4">
                  <w:pPr>
                    <w:widowControl/>
                    <w:jc w:val="center"/>
                    <w:rPr>
                      <w:rFonts w:hint="default"/>
                      <w:color w:val="auto"/>
                      <w:szCs w:val="21"/>
                      <w:highlight w:val="none"/>
                      <w:lang w:val="en-US" w:eastAsia="zh-CN"/>
                    </w:rPr>
                  </w:pPr>
                  <w:r>
                    <w:rPr>
                      <w:rFonts w:hint="eastAsia"/>
                      <w:color w:val="auto"/>
                      <w:szCs w:val="21"/>
                      <w:highlight w:val="none"/>
                      <w:lang w:val="en-US" w:eastAsia="zh-CN"/>
                    </w:rPr>
                    <w:t>0.91</w:t>
                  </w:r>
                </w:p>
              </w:tc>
              <w:tc>
                <w:tcPr>
                  <w:tcW w:w="367" w:type="pct"/>
                  <w:noWrap w:val="0"/>
                  <w:vAlign w:val="center"/>
                </w:tcPr>
                <w:p w14:paraId="7F8A8D07">
                  <w:pPr>
                    <w:widowControl/>
                    <w:jc w:val="center"/>
                    <w:rPr>
                      <w:rFonts w:hint="default"/>
                      <w:color w:val="auto"/>
                      <w:szCs w:val="21"/>
                      <w:highlight w:val="none"/>
                      <w:lang w:val="en-US" w:eastAsia="zh-CN"/>
                    </w:rPr>
                  </w:pPr>
                  <w:r>
                    <w:rPr>
                      <w:rFonts w:hint="eastAsia"/>
                      <w:color w:val="auto"/>
                      <w:szCs w:val="21"/>
                      <w:highlight w:val="none"/>
                      <w:lang w:val="en-US" w:eastAsia="zh-CN"/>
                    </w:rPr>
                    <w:t>0.91</w:t>
                  </w:r>
                </w:p>
              </w:tc>
              <w:tc>
                <w:tcPr>
                  <w:tcW w:w="367" w:type="pct"/>
                  <w:noWrap w:val="0"/>
                  <w:vAlign w:val="center"/>
                </w:tcPr>
                <w:p w14:paraId="5A979C8B">
                  <w:pPr>
                    <w:widowControl/>
                    <w:jc w:val="center"/>
                    <w:rPr>
                      <w:rFonts w:hint="default"/>
                      <w:color w:val="auto"/>
                      <w:szCs w:val="21"/>
                      <w:highlight w:val="none"/>
                      <w:lang w:val="en-US" w:eastAsia="zh-CN"/>
                    </w:rPr>
                  </w:pPr>
                  <w:r>
                    <w:rPr>
                      <w:rFonts w:hint="eastAsia"/>
                      <w:color w:val="auto"/>
                      <w:szCs w:val="21"/>
                      <w:highlight w:val="none"/>
                      <w:lang w:val="en-US" w:eastAsia="zh-CN"/>
                    </w:rPr>
                    <w:t>0.93</w:t>
                  </w:r>
                </w:p>
              </w:tc>
              <w:tc>
                <w:tcPr>
                  <w:tcW w:w="653" w:type="pct"/>
                  <w:vMerge w:val="continue"/>
                  <w:noWrap w:val="0"/>
                  <w:vAlign w:val="center"/>
                </w:tcPr>
                <w:p w14:paraId="34F97332">
                  <w:pPr>
                    <w:widowControl/>
                    <w:jc w:val="center"/>
                    <w:rPr>
                      <w:color w:val="auto"/>
                      <w:szCs w:val="21"/>
                      <w:highlight w:val="none"/>
                    </w:rPr>
                  </w:pPr>
                </w:p>
              </w:tc>
              <w:tc>
                <w:tcPr>
                  <w:tcW w:w="671" w:type="pct"/>
                  <w:vMerge w:val="continue"/>
                  <w:noWrap w:val="0"/>
                  <w:vAlign w:val="center"/>
                </w:tcPr>
                <w:p w14:paraId="51D5807C">
                  <w:pPr>
                    <w:widowControl/>
                    <w:jc w:val="center"/>
                    <w:rPr>
                      <w:color w:val="auto"/>
                      <w:szCs w:val="21"/>
                      <w:highlight w:val="none"/>
                    </w:rPr>
                  </w:pPr>
                </w:p>
              </w:tc>
            </w:tr>
            <w:tr w14:paraId="5BB48E8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32A548DA">
                  <w:pPr>
                    <w:widowControl/>
                    <w:jc w:val="center"/>
                    <w:rPr>
                      <w:color w:val="auto"/>
                      <w:szCs w:val="21"/>
                      <w:highlight w:val="none"/>
                    </w:rPr>
                  </w:pPr>
                </w:p>
              </w:tc>
              <w:tc>
                <w:tcPr>
                  <w:tcW w:w="1055" w:type="pct"/>
                  <w:shd w:val="clear" w:color="auto" w:fill="auto"/>
                  <w:noWrap w:val="0"/>
                  <w:vAlign w:val="center"/>
                </w:tcPr>
                <w:p w14:paraId="3A6EDEBF">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18</w:t>
                  </w:r>
                  <w:r>
                    <w:rPr>
                      <w:rFonts w:hint="eastAsia"/>
                      <w:color w:val="auto"/>
                      <w:szCs w:val="21"/>
                      <w:highlight w:val="none"/>
                    </w:rPr>
                    <w:t>日</w:t>
                  </w:r>
                  <w:r>
                    <w:rPr>
                      <w:rFonts w:hint="eastAsia"/>
                      <w:color w:val="auto"/>
                      <w:szCs w:val="21"/>
                      <w:highlight w:val="none"/>
                      <w:lang w:val="en-US" w:eastAsia="zh-CN"/>
                    </w:rPr>
                    <w:t>~19日</w:t>
                  </w:r>
                </w:p>
              </w:tc>
              <w:tc>
                <w:tcPr>
                  <w:tcW w:w="594" w:type="pct"/>
                  <w:vMerge w:val="continue"/>
                  <w:noWrap w:val="0"/>
                  <w:vAlign w:val="center"/>
                </w:tcPr>
                <w:p w14:paraId="3696B190">
                  <w:pPr>
                    <w:widowControl/>
                    <w:jc w:val="center"/>
                    <w:textAlignment w:val="center"/>
                    <w:rPr>
                      <w:color w:val="auto"/>
                      <w:szCs w:val="21"/>
                      <w:highlight w:val="none"/>
                    </w:rPr>
                  </w:pPr>
                </w:p>
              </w:tc>
              <w:tc>
                <w:tcPr>
                  <w:tcW w:w="367" w:type="pct"/>
                  <w:noWrap w:val="0"/>
                  <w:vAlign w:val="center"/>
                </w:tcPr>
                <w:p w14:paraId="5A878AF5">
                  <w:pPr>
                    <w:widowControl/>
                    <w:jc w:val="center"/>
                    <w:rPr>
                      <w:rFonts w:hint="default"/>
                      <w:color w:val="auto"/>
                      <w:szCs w:val="21"/>
                      <w:highlight w:val="none"/>
                      <w:lang w:val="en-US" w:eastAsia="zh-CN"/>
                    </w:rPr>
                  </w:pPr>
                  <w:r>
                    <w:rPr>
                      <w:rFonts w:hint="eastAsia"/>
                      <w:color w:val="auto"/>
                      <w:szCs w:val="21"/>
                      <w:highlight w:val="none"/>
                      <w:lang w:val="en-US" w:eastAsia="zh-CN"/>
                    </w:rPr>
                    <w:t>0.90</w:t>
                  </w:r>
                </w:p>
              </w:tc>
              <w:tc>
                <w:tcPr>
                  <w:tcW w:w="367" w:type="pct"/>
                  <w:noWrap w:val="0"/>
                  <w:vAlign w:val="center"/>
                </w:tcPr>
                <w:p w14:paraId="201C84E3">
                  <w:pPr>
                    <w:widowControl/>
                    <w:jc w:val="center"/>
                    <w:rPr>
                      <w:rFonts w:hint="default"/>
                      <w:color w:val="auto"/>
                      <w:szCs w:val="21"/>
                      <w:highlight w:val="none"/>
                      <w:lang w:val="en-US" w:eastAsia="zh-CN"/>
                    </w:rPr>
                  </w:pPr>
                  <w:r>
                    <w:rPr>
                      <w:rFonts w:hint="eastAsia"/>
                      <w:color w:val="auto"/>
                      <w:szCs w:val="21"/>
                      <w:highlight w:val="none"/>
                      <w:lang w:val="en-US" w:eastAsia="zh-CN"/>
                    </w:rPr>
                    <w:t>0.88</w:t>
                  </w:r>
                </w:p>
              </w:tc>
              <w:tc>
                <w:tcPr>
                  <w:tcW w:w="367" w:type="pct"/>
                  <w:noWrap w:val="0"/>
                  <w:vAlign w:val="center"/>
                </w:tcPr>
                <w:p w14:paraId="26A49C32">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495585C0">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653" w:type="pct"/>
                  <w:vMerge w:val="continue"/>
                  <w:noWrap w:val="0"/>
                  <w:vAlign w:val="center"/>
                </w:tcPr>
                <w:p w14:paraId="7642D0B4">
                  <w:pPr>
                    <w:widowControl/>
                    <w:jc w:val="center"/>
                    <w:rPr>
                      <w:color w:val="auto"/>
                      <w:szCs w:val="21"/>
                      <w:highlight w:val="none"/>
                    </w:rPr>
                  </w:pPr>
                </w:p>
              </w:tc>
              <w:tc>
                <w:tcPr>
                  <w:tcW w:w="671" w:type="pct"/>
                  <w:vMerge w:val="continue"/>
                  <w:noWrap w:val="0"/>
                  <w:vAlign w:val="center"/>
                </w:tcPr>
                <w:p w14:paraId="00991679">
                  <w:pPr>
                    <w:widowControl/>
                    <w:jc w:val="center"/>
                    <w:rPr>
                      <w:color w:val="auto"/>
                      <w:szCs w:val="21"/>
                      <w:highlight w:val="none"/>
                    </w:rPr>
                  </w:pPr>
                </w:p>
              </w:tc>
            </w:tr>
          </w:tbl>
          <w:p w14:paraId="1D3E5B52">
            <w:pPr>
              <w:spacing w:before="120" w:beforeLines="50" w:line="360" w:lineRule="auto"/>
              <w:ind w:firstLine="480" w:firstLineChars="200"/>
              <w:rPr>
                <w:color w:val="auto"/>
                <w:sz w:val="24"/>
                <w:lang w:bidi="ar"/>
              </w:rPr>
            </w:pPr>
            <w:r>
              <w:rPr>
                <w:rFonts w:hint="eastAsia"/>
                <w:color w:val="auto"/>
                <w:sz w:val="24"/>
                <w:lang w:bidi="ar"/>
              </w:rPr>
              <w:t>根据监测结果可知，项目所在区域总悬浮颗粒物（TSP）24小时均值监测期间满足《环境空气质量标准》（GB3095-2012）</w:t>
            </w:r>
            <w:r>
              <w:rPr>
                <w:rFonts w:hint="eastAsia"/>
                <w:color w:val="auto"/>
                <w:sz w:val="24"/>
                <w:lang w:val="en-US" w:eastAsia="zh-CN" w:bidi="ar"/>
              </w:rPr>
              <w:t>及修改单</w:t>
            </w:r>
            <w:r>
              <w:rPr>
                <w:rFonts w:hint="eastAsia"/>
                <w:color w:val="auto"/>
                <w:sz w:val="24"/>
                <w:lang w:bidi="ar"/>
              </w:rPr>
              <w:t>中二级标准限值</w:t>
            </w:r>
            <w:r>
              <w:rPr>
                <w:rFonts w:hint="eastAsia"/>
                <w:color w:val="auto"/>
                <w:sz w:val="24"/>
                <w:lang w:eastAsia="zh-CN" w:bidi="ar"/>
              </w:rPr>
              <w:t>；</w:t>
            </w:r>
            <w:r>
              <w:rPr>
                <w:color w:val="auto"/>
                <w:sz w:val="24"/>
              </w:rPr>
              <w:t>非甲烷总烃监测期间满足</w:t>
            </w:r>
            <w:r>
              <w:rPr>
                <w:color w:val="auto"/>
                <w:sz w:val="24"/>
                <w:szCs w:val="32"/>
              </w:rPr>
              <w:t>《大气污染物综合排放标准详解》</w:t>
            </w:r>
            <w:r>
              <w:rPr>
                <w:color w:val="auto"/>
                <w:sz w:val="24"/>
              </w:rPr>
              <w:t>（国家环境保护局科技标准司）中限值</w:t>
            </w:r>
            <w:r>
              <w:rPr>
                <w:rFonts w:hint="eastAsia"/>
                <w:color w:val="auto"/>
                <w:sz w:val="24"/>
                <w:lang w:eastAsia="zh-CN"/>
              </w:rPr>
              <w:t>。</w:t>
            </w:r>
          </w:p>
          <w:p w14:paraId="4BA9640C">
            <w:pPr>
              <w:adjustRightInd w:val="0"/>
              <w:snapToGrid w:val="0"/>
              <w:spacing w:line="360" w:lineRule="auto"/>
              <w:ind w:firstLine="482" w:firstLineChars="200"/>
              <w:rPr>
                <w:b/>
                <w:color w:val="auto"/>
                <w:sz w:val="24"/>
              </w:rPr>
            </w:pPr>
            <w:r>
              <w:rPr>
                <w:rFonts w:hint="eastAsia"/>
                <w:b/>
                <w:color w:val="auto"/>
                <w:sz w:val="24"/>
                <w:lang w:val="en-US" w:eastAsia="zh-CN"/>
              </w:rPr>
              <w:t>2</w:t>
            </w:r>
            <w:r>
              <w:rPr>
                <w:rFonts w:hint="eastAsia"/>
                <w:b/>
                <w:color w:val="auto"/>
                <w:sz w:val="24"/>
              </w:rPr>
              <w:t>、地下水、土壤</w:t>
            </w:r>
            <w:r>
              <w:rPr>
                <w:b/>
                <w:color w:val="auto"/>
                <w:sz w:val="24"/>
              </w:rPr>
              <w:t>环境质量现状</w:t>
            </w:r>
          </w:p>
          <w:p w14:paraId="6E2005F5">
            <w:pPr>
              <w:adjustRightInd w:val="0"/>
              <w:snapToGrid w:val="0"/>
              <w:spacing w:line="360" w:lineRule="auto"/>
              <w:ind w:firstLine="480" w:firstLineChars="200"/>
              <w:rPr>
                <w:rFonts w:hint="eastAsia"/>
                <w:color w:val="auto"/>
                <w:sz w:val="24"/>
              </w:rPr>
            </w:pPr>
            <w:r>
              <w:rPr>
                <w:rFonts w:hint="eastAsia"/>
                <w:color w:val="auto"/>
                <w:sz w:val="24"/>
              </w:rPr>
              <w:t>根据《建设项目环境影响报告表编制技术指南》，原则上不开展地下水、土壤环境质量现状调查。本项目在已建设的厂房内建设，厂房内地面全部硬化，不存在地下水、土壤污染途径，无需开展地下水、土壤环境质量现状调查。</w:t>
            </w:r>
          </w:p>
          <w:p w14:paraId="44220FCD">
            <w:pPr>
              <w:adjustRightInd w:val="0"/>
              <w:snapToGrid w:val="0"/>
              <w:spacing w:line="360" w:lineRule="auto"/>
              <w:ind w:firstLine="482" w:firstLineChars="200"/>
              <w:rPr>
                <w:b/>
                <w:bCs/>
                <w:color w:val="auto"/>
                <w:sz w:val="24"/>
              </w:rPr>
            </w:pPr>
            <w:r>
              <w:rPr>
                <w:rFonts w:hint="eastAsia"/>
                <w:b/>
                <w:bCs/>
                <w:color w:val="auto"/>
                <w:sz w:val="24"/>
                <w:lang w:val="en-US" w:eastAsia="zh-CN"/>
              </w:rPr>
              <w:t>3</w:t>
            </w:r>
            <w:r>
              <w:rPr>
                <w:rFonts w:hint="eastAsia"/>
                <w:b/>
                <w:bCs/>
                <w:color w:val="auto"/>
                <w:sz w:val="24"/>
              </w:rPr>
              <w:t>、生态</w:t>
            </w:r>
            <w:r>
              <w:rPr>
                <w:b/>
                <w:bCs/>
                <w:color w:val="auto"/>
                <w:sz w:val="24"/>
              </w:rPr>
              <w:t>环境质量现状</w:t>
            </w:r>
          </w:p>
          <w:p w14:paraId="4EC4D22C">
            <w:pPr>
              <w:pStyle w:val="65"/>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color w:val="auto"/>
              </w:rPr>
            </w:pPr>
            <w:r>
              <w:rPr>
                <w:rFonts w:hint="eastAsia"/>
                <w:color w:val="auto"/>
              </w:rPr>
              <w:t>根据《建设项目环境影响报告表编制技术指南》，本项目位于城市建成区内，无新增用地，故不进行生态现状调查。</w:t>
            </w:r>
          </w:p>
        </w:tc>
      </w:tr>
      <w:tr w14:paraId="1A702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noWrap w:val="0"/>
            <w:vAlign w:val="center"/>
          </w:tcPr>
          <w:p w14:paraId="5A833FC8">
            <w:pPr>
              <w:adjustRightInd w:val="0"/>
              <w:snapToGrid w:val="0"/>
              <w:jc w:val="center"/>
              <w:rPr>
                <w:color w:val="auto"/>
                <w:kern w:val="0"/>
                <w:szCs w:val="21"/>
              </w:rPr>
            </w:pPr>
            <w:r>
              <w:rPr>
                <w:color w:val="auto"/>
                <w:kern w:val="0"/>
                <w:sz w:val="24"/>
              </w:rPr>
              <w:t>环境保护目标</w:t>
            </w:r>
          </w:p>
        </w:tc>
        <w:tc>
          <w:tcPr>
            <w:tcW w:w="8190" w:type="dxa"/>
            <w:noWrap w:val="0"/>
            <w:vAlign w:val="center"/>
          </w:tcPr>
          <w:p w14:paraId="206B08E2">
            <w:pPr>
              <w:pStyle w:val="22"/>
              <w:keepNext w:val="0"/>
              <w:keepLines w:val="0"/>
              <w:pageBreakBefore w:val="0"/>
              <w:widowControl w:val="0"/>
              <w:kinsoku/>
              <w:wordWrap/>
              <w:overflowPunct/>
              <w:topLinePunct w:val="0"/>
              <w:autoSpaceDE/>
              <w:autoSpaceDN/>
              <w:bidi w:val="0"/>
              <w:adjustRightInd/>
              <w:snapToGrid/>
              <w:spacing w:before="313" w:beforeLines="100" w:after="0" w:line="360" w:lineRule="auto"/>
              <w:ind w:left="0" w:leftChars="0" w:firstLine="482"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rPr>
              <w:t>1、大气环境保护目</w:t>
            </w:r>
            <w:r>
              <w:rPr>
                <w:rFonts w:hint="eastAsia" w:ascii="Times New Roman" w:hAnsi="Times New Roman" w:cs="Times New Roman"/>
                <w:b/>
                <w:bCs/>
                <w:color w:val="auto"/>
                <w:sz w:val="24"/>
                <w:lang w:val="en-US" w:eastAsia="zh-CN"/>
              </w:rPr>
              <w:t>标</w:t>
            </w:r>
          </w:p>
          <w:p w14:paraId="0F3A5B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项目厂界外500m范围内无大气环境保护目标。</w:t>
            </w:r>
          </w:p>
          <w:p w14:paraId="391BE0B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2、声环境保护目标</w:t>
            </w:r>
          </w:p>
          <w:p w14:paraId="185B95B4">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本项目厂界外50m范围内不存在声环境保护目标。</w:t>
            </w:r>
          </w:p>
          <w:p w14:paraId="54E7988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、地下水环境保护目标</w:t>
            </w:r>
          </w:p>
          <w:p w14:paraId="77E70979">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本项目厂界外500米范围内无地下水集中式饮用水水源和热水、矿泉水、温泉等特殊地下水资源。</w:t>
            </w:r>
          </w:p>
          <w:p w14:paraId="2B5CA4B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、生态环境保护目标</w:t>
            </w:r>
          </w:p>
          <w:p w14:paraId="562A48AD">
            <w:pPr>
              <w:pStyle w:val="9"/>
              <w:keepNext w:val="0"/>
              <w:keepLines w:val="0"/>
              <w:pageBreakBefore w:val="0"/>
              <w:kinsoku/>
              <w:wordWrap/>
              <w:overflowPunct/>
              <w:topLinePunct w:val="0"/>
              <w:autoSpaceDE/>
              <w:autoSpaceDN/>
              <w:bidi w:val="0"/>
              <w:spacing w:line="360" w:lineRule="auto"/>
              <w:ind w:firstLine="480" w:firstLineChars="200"/>
              <w:textAlignment w:val="auto"/>
              <w:rPr>
                <w:color w:val="auto"/>
                <w:kern w:val="0"/>
                <w:szCs w:val="21"/>
              </w:rPr>
            </w:pPr>
            <w:r>
              <w:rPr>
                <w:rFonts w:hint="default" w:ascii="Times New Roman" w:hAnsi="Times New Roman" w:cs="Times New Roman"/>
                <w:color w:val="auto"/>
                <w:sz w:val="24"/>
                <w:szCs w:val="32"/>
              </w:rPr>
              <w:t>本项目用地范围内无生态环境保护目标。</w:t>
            </w:r>
          </w:p>
        </w:tc>
      </w:tr>
      <w:tr w14:paraId="071F5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noWrap w:val="0"/>
            <w:tcMar>
              <w:left w:w="28" w:type="dxa"/>
              <w:right w:w="28" w:type="dxa"/>
            </w:tcMar>
            <w:vAlign w:val="center"/>
          </w:tcPr>
          <w:p w14:paraId="36FCA092">
            <w:pPr>
              <w:adjustRightInd w:val="0"/>
              <w:snapToGrid w:val="0"/>
              <w:jc w:val="center"/>
              <w:rPr>
                <w:color w:val="auto"/>
                <w:kern w:val="0"/>
                <w:szCs w:val="21"/>
              </w:rPr>
            </w:pPr>
            <w:r>
              <w:rPr>
                <w:color w:val="auto"/>
                <w:kern w:val="0"/>
                <w:sz w:val="24"/>
              </w:rPr>
              <w:t>污染物排放控制标准</w:t>
            </w:r>
          </w:p>
        </w:tc>
        <w:tc>
          <w:tcPr>
            <w:tcW w:w="8190" w:type="dxa"/>
            <w:noWrap w:val="0"/>
            <w:vAlign w:val="center"/>
          </w:tcPr>
          <w:p w14:paraId="243C7607">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b/>
                <w:bCs/>
                <w:color w:val="auto"/>
                <w:sz w:val="24"/>
              </w:rPr>
            </w:pPr>
            <w:r>
              <w:rPr>
                <w:rFonts w:hint="eastAsia"/>
                <w:b/>
                <w:bCs/>
                <w:color w:val="auto"/>
                <w:sz w:val="24"/>
              </w:rPr>
              <w:t>1</w:t>
            </w:r>
            <w:r>
              <w:rPr>
                <w:b/>
                <w:bCs/>
                <w:color w:val="auto"/>
                <w:sz w:val="24"/>
              </w:rPr>
              <w:t>、废气</w:t>
            </w:r>
          </w:p>
          <w:p w14:paraId="60F1956D">
            <w:pPr>
              <w:spacing w:line="360" w:lineRule="auto"/>
              <w:ind w:firstLine="480" w:firstLineChars="200"/>
              <w:rPr>
                <w:color w:val="auto"/>
                <w:sz w:val="24"/>
              </w:rPr>
            </w:pPr>
            <w:r>
              <w:rPr>
                <w:rFonts w:hint="eastAsia"/>
                <w:color w:val="auto"/>
                <w:sz w:val="24"/>
              </w:rPr>
              <w:t>施工期扬尘执行《施工场界扬尘排放限值》（DB61/1078-2017）中的浓度限值。</w:t>
            </w:r>
          </w:p>
          <w:p w14:paraId="0485BC8C">
            <w:pPr>
              <w:spacing w:line="360" w:lineRule="auto"/>
              <w:ind w:firstLine="480" w:firstLineChars="200"/>
              <w:rPr>
                <w:rFonts w:hint="eastAsia" w:eastAsia="宋体"/>
                <w:color w:val="auto"/>
                <w:sz w:val="24"/>
                <w:lang w:eastAsia="zh-CN"/>
              </w:rPr>
            </w:pPr>
            <w:r>
              <w:rPr>
                <w:rFonts w:hint="eastAsia"/>
                <w:color w:val="auto"/>
                <w:sz w:val="24"/>
                <w:highlight w:val="none"/>
              </w:rPr>
              <w:t>项目生产过程中产生的</w:t>
            </w:r>
            <w:r>
              <w:rPr>
                <w:rFonts w:hint="eastAsia" w:ascii="Times New Roman" w:hAnsi="Times New Roman" w:cs="Times New Roman"/>
                <w:color w:val="auto"/>
                <w:sz w:val="24"/>
                <w:lang w:val="en-US" w:eastAsia="zh-CN"/>
              </w:rPr>
              <w:t>挤出</w:t>
            </w:r>
            <w:r>
              <w:rPr>
                <w:rFonts w:hint="default" w:ascii="Times New Roman" w:hAnsi="Times New Roman" w:cs="Times New Roman"/>
                <w:color w:val="auto"/>
                <w:sz w:val="24"/>
              </w:rPr>
              <w:t>废气</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发泡废气</w:t>
            </w:r>
            <w:r>
              <w:rPr>
                <w:rFonts w:hint="default" w:ascii="Times New Roman" w:hAnsi="Times New Roman" w:cs="Times New Roman"/>
                <w:color w:val="auto"/>
                <w:sz w:val="24"/>
              </w:rPr>
              <w:t>排放执行</w:t>
            </w:r>
            <w:r>
              <w:rPr>
                <w:rFonts w:hint="eastAsia" w:cs="Times New Roman"/>
                <w:color w:val="auto"/>
                <w:sz w:val="24"/>
                <w:lang w:eastAsia="zh-CN"/>
              </w:rPr>
              <w:t>《合成树脂工业污染物排放标准》（GB31572-2015）（含2024年修改清单）</w:t>
            </w:r>
            <w:r>
              <w:rPr>
                <w:rFonts w:hint="default" w:ascii="Times New Roman" w:hAnsi="Times New Roman" w:cs="Times New Roman"/>
                <w:color w:val="auto"/>
                <w:sz w:val="24"/>
              </w:rPr>
              <w:t>表5</w:t>
            </w:r>
            <w:r>
              <w:rPr>
                <w:rFonts w:hint="eastAsia" w:cs="Times New Roman"/>
                <w:color w:val="auto"/>
                <w:sz w:val="24"/>
                <w:lang w:val="en-US" w:eastAsia="zh-CN"/>
              </w:rPr>
              <w:t>及</w:t>
            </w:r>
            <w:r>
              <w:rPr>
                <w:rFonts w:hint="default" w:ascii="Times New Roman" w:hAnsi="Times New Roman" w:cs="Times New Roman"/>
                <w:color w:val="auto"/>
                <w:sz w:val="24"/>
              </w:rPr>
              <w:t>表</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有关限值要求中有关限值要求</w:t>
            </w:r>
            <w:r>
              <w:rPr>
                <w:rFonts w:hint="default" w:ascii="Times New Roman" w:hAnsi="Times New Roman" w:cs="Times New Roman"/>
                <w:color w:val="auto"/>
                <w:sz w:val="24"/>
                <w:lang w:eastAsia="zh-CN"/>
              </w:rPr>
              <w:t>；</w:t>
            </w:r>
            <w:r>
              <w:rPr>
                <w:rFonts w:hint="eastAsia"/>
                <w:color w:val="auto"/>
                <w:sz w:val="24"/>
                <w:highlight w:val="none"/>
              </w:rPr>
              <w:t>厂区内</w:t>
            </w:r>
            <w:r>
              <w:rPr>
                <w:rFonts w:hint="eastAsia" w:cs="Times New Roman"/>
                <w:color w:val="auto"/>
                <w:sz w:val="24"/>
                <w:lang w:val="en-US" w:eastAsia="zh-CN"/>
              </w:rPr>
              <w:t>非甲烷总烃排放同时</w:t>
            </w:r>
            <w:r>
              <w:rPr>
                <w:rFonts w:hint="eastAsia"/>
                <w:color w:val="auto"/>
                <w:sz w:val="24"/>
                <w:highlight w:val="none"/>
              </w:rPr>
              <w:t>执行《挥发性有机物无组织排放控制标准》（GB37822-2019）表 A.1厂区内无组织</w:t>
            </w:r>
            <w:r>
              <w:rPr>
                <w:rFonts w:hint="eastAsia"/>
                <w:color w:val="auto"/>
                <w:sz w:val="24"/>
                <w:highlight w:val="none"/>
                <w:lang w:val="en-US" w:eastAsia="zh-CN"/>
              </w:rPr>
              <w:t>特别</w:t>
            </w:r>
            <w:r>
              <w:rPr>
                <w:rFonts w:hint="eastAsia"/>
                <w:color w:val="auto"/>
                <w:sz w:val="24"/>
                <w:highlight w:val="none"/>
              </w:rPr>
              <w:t>排放限值要求</w:t>
            </w:r>
            <w:r>
              <w:rPr>
                <w:rFonts w:hint="eastAsia"/>
                <w:color w:val="auto"/>
                <w:sz w:val="24"/>
                <w:highlight w:val="none"/>
                <w:lang w:eastAsia="zh-CN"/>
              </w:rPr>
              <w:t>；</w:t>
            </w:r>
            <w:r>
              <w:rPr>
                <w:rFonts w:hint="eastAsia" w:ascii="Times New Roman" w:hAnsi="Times New Roman" w:cs="Times New Roman"/>
                <w:color w:val="auto"/>
                <w:sz w:val="24"/>
                <w:lang w:val="en-US" w:eastAsia="zh-CN"/>
              </w:rPr>
              <w:t>钢管除锈粉尘排放执行</w:t>
            </w:r>
            <w:r>
              <w:rPr>
                <w:color w:val="auto"/>
                <w:sz w:val="24"/>
                <w:highlight w:val="none"/>
              </w:rPr>
              <w:t>《</w:t>
            </w:r>
            <w:r>
              <w:rPr>
                <w:rFonts w:hint="eastAsia"/>
                <w:color w:val="auto"/>
                <w:sz w:val="24"/>
                <w:highlight w:val="none"/>
              </w:rPr>
              <w:t>大气</w:t>
            </w:r>
            <w:r>
              <w:rPr>
                <w:color w:val="auto"/>
                <w:sz w:val="24"/>
                <w:highlight w:val="none"/>
              </w:rPr>
              <w:t>污染物</w:t>
            </w:r>
            <w:r>
              <w:rPr>
                <w:rFonts w:hint="eastAsia"/>
                <w:color w:val="auto"/>
                <w:sz w:val="24"/>
                <w:highlight w:val="none"/>
              </w:rPr>
              <w:t>综合</w:t>
            </w:r>
            <w:r>
              <w:rPr>
                <w:color w:val="auto"/>
                <w:sz w:val="24"/>
                <w:highlight w:val="none"/>
              </w:rPr>
              <w:t>排放标准》（GB</w:t>
            </w:r>
            <w:r>
              <w:rPr>
                <w:rFonts w:hint="eastAsia"/>
                <w:color w:val="auto"/>
                <w:sz w:val="24"/>
                <w:highlight w:val="none"/>
              </w:rPr>
              <w:t>16297-1996</w:t>
            </w:r>
            <w:r>
              <w:rPr>
                <w:color w:val="auto"/>
                <w:sz w:val="24"/>
                <w:highlight w:val="none"/>
              </w:rPr>
              <w:t>）</w:t>
            </w:r>
            <w:r>
              <w:rPr>
                <w:rFonts w:hint="eastAsia"/>
                <w:color w:val="auto"/>
                <w:sz w:val="24"/>
                <w:highlight w:val="none"/>
              </w:rPr>
              <w:t>中“表2新污染源大气污染物排放限值”要求</w:t>
            </w:r>
            <w:r>
              <w:rPr>
                <w:rFonts w:hint="eastAsia"/>
                <w:color w:val="auto"/>
                <w:sz w:val="24"/>
                <w:highlight w:val="none"/>
                <w:lang w:eastAsia="zh-CN"/>
              </w:rPr>
              <w:t>。</w:t>
            </w:r>
          </w:p>
          <w:p w14:paraId="3DAFDACC">
            <w:pPr>
              <w:pStyle w:val="7"/>
              <w:jc w:val="center"/>
              <w:rPr>
                <w:rFonts w:ascii="Times New Roman" w:hAnsi="Times New Roman" w:eastAsia="宋体"/>
                <w:b/>
                <w:color w:val="auto"/>
                <w:sz w:val="24"/>
              </w:rPr>
            </w:pPr>
            <w:r>
              <w:rPr>
                <w:rFonts w:ascii="Times New Roman" w:hAnsi="Times New Roman" w:eastAsia="宋体"/>
                <w:b/>
                <w:color w:val="auto"/>
                <w:sz w:val="24"/>
              </w:rPr>
              <w:t>表3-</w:t>
            </w:r>
            <w:r>
              <w:rPr>
                <w:rFonts w:hint="eastAsia" w:ascii="Times New Roman" w:hAnsi="Times New Roman" w:eastAsia="宋体"/>
                <w:b/>
                <w:color w:val="auto"/>
                <w:sz w:val="24"/>
                <w:lang w:val="en-US" w:eastAsia="zh-CN"/>
              </w:rPr>
              <w:t>3</w:t>
            </w:r>
            <w:r>
              <w:rPr>
                <w:rFonts w:ascii="Times New Roman" w:hAnsi="Times New Roman" w:eastAsia="宋体"/>
                <w:b/>
                <w:color w:val="auto"/>
                <w:sz w:val="24"/>
              </w:rPr>
              <w:t xml:space="preserve">  </w:t>
            </w:r>
            <w:r>
              <w:rPr>
                <w:rFonts w:hint="eastAsia" w:ascii="Times New Roman" w:hAnsi="Times New Roman" w:eastAsia="宋体"/>
                <w:b/>
                <w:color w:val="auto"/>
                <w:sz w:val="24"/>
              </w:rPr>
              <w:t>施工期</w:t>
            </w:r>
            <w:r>
              <w:rPr>
                <w:rFonts w:ascii="Times New Roman" w:hAnsi="Times New Roman" w:eastAsia="宋体"/>
                <w:b/>
                <w:color w:val="auto"/>
                <w:sz w:val="24"/>
              </w:rPr>
              <w:t>大气污染物排放标准</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641"/>
              <w:gridCol w:w="1612"/>
              <w:gridCol w:w="1612"/>
              <w:gridCol w:w="2197"/>
            </w:tblGrid>
            <w:tr w14:paraId="3899B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16" w:type="pct"/>
                  <w:noWrap w:val="0"/>
                  <w:vAlign w:val="center"/>
                </w:tcPr>
                <w:p w14:paraId="2DCC097E">
                  <w:pPr>
                    <w:adjustRightInd w:val="0"/>
                    <w:snapToGrid w:val="0"/>
                    <w:ind w:left="-105" w:leftChars="-50" w:right="-105" w:rightChars="-50"/>
                    <w:jc w:val="center"/>
                    <w:rPr>
                      <w:b/>
                      <w:bCs/>
                      <w:color w:val="auto"/>
                      <w:szCs w:val="21"/>
                    </w:rPr>
                  </w:pPr>
                  <w:r>
                    <w:rPr>
                      <w:b/>
                      <w:bCs/>
                      <w:color w:val="auto"/>
                      <w:szCs w:val="21"/>
                    </w:rPr>
                    <w:t>污染物</w:t>
                  </w:r>
                </w:p>
              </w:tc>
              <w:tc>
                <w:tcPr>
                  <w:tcW w:w="1018" w:type="pct"/>
                  <w:noWrap w:val="0"/>
                  <w:vAlign w:val="center"/>
                </w:tcPr>
                <w:p w14:paraId="705DD934">
                  <w:pPr>
                    <w:adjustRightInd w:val="0"/>
                    <w:snapToGrid w:val="0"/>
                    <w:jc w:val="center"/>
                    <w:rPr>
                      <w:b/>
                      <w:bCs/>
                      <w:color w:val="auto"/>
                      <w:szCs w:val="21"/>
                    </w:rPr>
                  </w:pPr>
                  <w:r>
                    <w:rPr>
                      <w:b/>
                      <w:bCs/>
                      <w:color w:val="auto"/>
                      <w:szCs w:val="21"/>
                    </w:rPr>
                    <w:t>最高允许排放浓度（mg/m</w:t>
                  </w:r>
                  <w:r>
                    <w:rPr>
                      <w:b/>
                      <w:bCs/>
                      <w:color w:val="auto"/>
                      <w:szCs w:val="21"/>
                      <w:vertAlign w:val="superscript"/>
                    </w:rPr>
                    <w:t>3</w:t>
                  </w:r>
                  <w:r>
                    <w:rPr>
                      <w:b/>
                      <w:bCs/>
                      <w:color w:val="auto"/>
                      <w:szCs w:val="21"/>
                    </w:rPr>
                    <w:t>）</w:t>
                  </w:r>
                </w:p>
              </w:tc>
              <w:tc>
                <w:tcPr>
                  <w:tcW w:w="1000" w:type="pct"/>
                  <w:noWrap w:val="0"/>
                  <w:vAlign w:val="center"/>
                </w:tcPr>
                <w:p w14:paraId="1AF515D4">
                  <w:pPr>
                    <w:adjustRightInd w:val="0"/>
                    <w:snapToGrid w:val="0"/>
                    <w:jc w:val="center"/>
                    <w:rPr>
                      <w:b/>
                      <w:bCs/>
                      <w:color w:val="auto"/>
                      <w:szCs w:val="21"/>
                    </w:rPr>
                  </w:pPr>
                  <w:r>
                    <w:rPr>
                      <w:rFonts w:hint="eastAsia"/>
                      <w:b/>
                      <w:bCs/>
                      <w:color w:val="auto"/>
                      <w:szCs w:val="21"/>
                    </w:rPr>
                    <w:t>施工阶段</w:t>
                  </w:r>
                </w:p>
              </w:tc>
              <w:tc>
                <w:tcPr>
                  <w:tcW w:w="1000" w:type="pct"/>
                  <w:noWrap w:val="0"/>
                  <w:vAlign w:val="center"/>
                </w:tcPr>
                <w:p w14:paraId="670616FB">
                  <w:pPr>
                    <w:adjustRightInd w:val="0"/>
                    <w:snapToGrid w:val="0"/>
                    <w:jc w:val="center"/>
                    <w:rPr>
                      <w:b/>
                      <w:bCs/>
                      <w:color w:val="auto"/>
                      <w:szCs w:val="21"/>
                    </w:rPr>
                  </w:pPr>
                  <w:r>
                    <w:rPr>
                      <w:b/>
                      <w:bCs/>
                      <w:color w:val="auto"/>
                      <w:szCs w:val="21"/>
                    </w:rPr>
                    <w:t>监控点</w:t>
                  </w:r>
                </w:p>
              </w:tc>
              <w:tc>
                <w:tcPr>
                  <w:tcW w:w="1363" w:type="pct"/>
                  <w:noWrap w:val="0"/>
                  <w:vAlign w:val="center"/>
                </w:tcPr>
                <w:p w14:paraId="0378ED4A">
                  <w:pPr>
                    <w:adjustRightInd w:val="0"/>
                    <w:snapToGrid w:val="0"/>
                    <w:jc w:val="center"/>
                    <w:rPr>
                      <w:b/>
                      <w:bCs/>
                      <w:color w:val="auto"/>
                      <w:szCs w:val="21"/>
                    </w:rPr>
                  </w:pPr>
                  <w:r>
                    <w:rPr>
                      <w:b/>
                      <w:bCs/>
                      <w:color w:val="auto"/>
                      <w:szCs w:val="21"/>
                    </w:rPr>
                    <w:t>标准名称</w:t>
                  </w:r>
                </w:p>
              </w:tc>
            </w:tr>
            <w:tr w14:paraId="71D7B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616" w:type="pct"/>
                  <w:noWrap w:val="0"/>
                  <w:vAlign w:val="center"/>
                </w:tcPr>
                <w:p w14:paraId="16132D3A">
                  <w:pPr>
                    <w:adjustRightInd w:val="0"/>
                    <w:snapToGrid w:val="0"/>
                    <w:ind w:left="-105" w:leftChars="-50" w:right="-105" w:rightChars="-50"/>
                    <w:jc w:val="center"/>
                    <w:rPr>
                      <w:color w:val="auto"/>
                      <w:szCs w:val="21"/>
                    </w:rPr>
                  </w:pPr>
                  <w:r>
                    <w:rPr>
                      <w:rFonts w:hint="eastAsia"/>
                      <w:color w:val="auto"/>
                      <w:szCs w:val="21"/>
                    </w:rPr>
                    <w:t>施工扬尘</w:t>
                  </w:r>
                </w:p>
              </w:tc>
              <w:tc>
                <w:tcPr>
                  <w:tcW w:w="1018" w:type="pct"/>
                  <w:noWrap w:val="0"/>
                  <w:vAlign w:val="center"/>
                </w:tcPr>
                <w:p w14:paraId="30C93B82">
                  <w:pPr>
                    <w:adjustRightInd w:val="0"/>
                    <w:snapToGrid w:val="0"/>
                    <w:jc w:val="center"/>
                    <w:rPr>
                      <w:color w:val="auto"/>
                      <w:szCs w:val="21"/>
                    </w:rPr>
                  </w:pPr>
                  <w:r>
                    <w:rPr>
                      <w:rFonts w:hint="eastAsia"/>
                      <w:color w:val="auto"/>
                      <w:szCs w:val="21"/>
                    </w:rPr>
                    <w:t>小时平均浓度限值≤0.7</w:t>
                  </w:r>
                </w:p>
              </w:tc>
              <w:tc>
                <w:tcPr>
                  <w:tcW w:w="1000" w:type="pct"/>
                  <w:noWrap w:val="0"/>
                  <w:vAlign w:val="center"/>
                </w:tcPr>
                <w:p w14:paraId="1BAF392B">
                  <w:pPr>
                    <w:adjustRightInd w:val="0"/>
                    <w:snapToGrid w:val="0"/>
                    <w:jc w:val="center"/>
                    <w:rPr>
                      <w:color w:val="auto"/>
                      <w:szCs w:val="21"/>
                    </w:rPr>
                  </w:pPr>
                  <w:r>
                    <w:rPr>
                      <w:rFonts w:hint="eastAsia"/>
                      <w:color w:val="auto"/>
                      <w:szCs w:val="21"/>
                    </w:rPr>
                    <w:t>基础、主体结构及装饰工程</w:t>
                  </w:r>
                </w:p>
              </w:tc>
              <w:tc>
                <w:tcPr>
                  <w:tcW w:w="1000" w:type="pct"/>
                  <w:noWrap w:val="0"/>
                  <w:vAlign w:val="center"/>
                </w:tcPr>
                <w:p w14:paraId="72F3DA6E">
                  <w:pPr>
                    <w:adjustRightInd w:val="0"/>
                    <w:snapToGrid w:val="0"/>
                    <w:jc w:val="center"/>
                    <w:rPr>
                      <w:color w:val="auto"/>
                      <w:szCs w:val="21"/>
                    </w:rPr>
                  </w:pPr>
                  <w:r>
                    <w:rPr>
                      <w:rFonts w:hint="eastAsia"/>
                      <w:color w:val="auto"/>
                      <w:szCs w:val="21"/>
                    </w:rPr>
                    <w:t>下风向周界外10m范围内</w:t>
                  </w:r>
                </w:p>
              </w:tc>
              <w:tc>
                <w:tcPr>
                  <w:tcW w:w="1363" w:type="pct"/>
                  <w:noWrap w:val="0"/>
                  <w:vAlign w:val="center"/>
                </w:tcPr>
                <w:p w14:paraId="24E85301">
                  <w:pPr>
                    <w:adjustRightInd w:val="0"/>
                    <w:snapToGrid w:val="0"/>
                    <w:jc w:val="center"/>
                    <w:rPr>
                      <w:color w:val="auto"/>
                      <w:szCs w:val="21"/>
                    </w:rPr>
                  </w:pPr>
                  <w:r>
                    <w:rPr>
                      <w:color w:val="auto"/>
                      <w:szCs w:val="21"/>
                    </w:rPr>
                    <w:t>《施工场界扬尘排放限值》（DB61/1078-2017）</w:t>
                  </w:r>
                </w:p>
              </w:tc>
            </w:tr>
          </w:tbl>
          <w:p w14:paraId="32086C8D">
            <w:pPr>
              <w:pStyle w:val="65"/>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center"/>
              <w:textAlignment w:val="auto"/>
              <w:rPr>
                <w:rFonts w:hint="eastAsia" w:hAnsi="Times New Roman" w:cs="Times New Roman"/>
                <w:b/>
                <w:bCs/>
                <w:color w:val="auto"/>
                <w:kern w:val="21"/>
                <w:szCs w:val="24"/>
              </w:rPr>
            </w:pPr>
            <w:r>
              <w:rPr>
                <w:rFonts w:hint="eastAsia" w:hAnsi="Times New Roman" w:cs="Times New Roman"/>
                <w:b/>
                <w:bCs/>
                <w:color w:val="auto"/>
                <w:kern w:val="21"/>
                <w:szCs w:val="24"/>
              </w:rPr>
              <w:t>表3-</w:t>
            </w:r>
            <w:r>
              <w:rPr>
                <w:rFonts w:hint="eastAsia" w:hAnsi="Times New Roman" w:cs="Times New Roman"/>
                <w:b/>
                <w:bCs/>
                <w:color w:val="auto"/>
                <w:kern w:val="21"/>
                <w:szCs w:val="24"/>
                <w:lang w:val="en-US" w:eastAsia="zh-CN"/>
              </w:rPr>
              <w:t>4</w:t>
            </w:r>
            <w:r>
              <w:rPr>
                <w:rFonts w:hint="eastAsia" w:hAnsi="Times New Roman" w:cs="Times New Roman"/>
                <w:b/>
                <w:bCs/>
                <w:color w:val="auto"/>
                <w:kern w:val="21"/>
                <w:szCs w:val="24"/>
              </w:rPr>
              <w:t xml:space="preserve">  </w:t>
            </w:r>
            <w:r>
              <w:rPr>
                <w:b/>
                <w:color w:val="auto"/>
                <w:szCs w:val="21"/>
              </w:rPr>
              <w:t>运营期</w:t>
            </w:r>
            <w:r>
              <w:rPr>
                <w:rFonts w:hint="eastAsia" w:hAnsi="Times New Roman" w:cs="Times New Roman"/>
                <w:b/>
                <w:bCs/>
                <w:color w:val="auto"/>
                <w:kern w:val="21"/>
                <w:szCs w:val="24"/>
              </w:rPr>
              <w:t>大气污染物排放标准</w:t>
            </w:r>
          </w:p>
          <w:tbl>
            <w:tblPr>
              <w:tblStyle w:val="27"/>
              <w:tblW w:w="80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73"/>
              <w:gridCol w:w="1256"/>
              <w:gridCol w:w="1238"/>
              <w:gridCol w:w="1499"/>
              <w:gridCol w:w="2323"/>
            </w:tblGrid>
            <w:tr w14:paraId="013C5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350" w:type="pct"/>
                  <w:noWrap w:val="0"/>
                  <w:vAlign w:val="center"/>
                </w:tcPr>
                <w:p w14:paraId="63D70A7A">
                  <w:pPr>
                    <w:adjustRightInd w:val="0"/>
                    <w:snapToGrid w:val="0"/>
                    <w:ind w:left="-105" w:leftChars="-50" w:right="-105" w:rightChars="-50"/>
                    <w:jc w:val="center"/>
                    <w:rPr>
                      <w:rFonts w:hint="eastAsia"/>
                      <w:b/>
                      <w:bCs/>
                      <w:color w:val="auto"/>
                      <w:szCs w:val="21"/>
                      <w:highlight w:val="none"/>
                    </w:rPr>
                  </w:pPr>
                  <w:r>
                    <w:rPr>
                      <w:rFonts w:hint="eastAsia"/>
                      <w:b/>
                      <w:bCs/>
                      <w:color w:val="auto"/>
                      <w:szCs w:val="21"/>
                      <w:highlight w:val="none"/>
                    </w:rPr>
                    <w:t>类别</w:t>
                  </w:r>
                </w:p>
              </w:tc>
              <w:tc>
                <w:tcPr>
                  <w:tcW w:w="728" w:type="pct"/>
                  <w:noWrap w:val="0"/>
                  <w:vAlign w:val="center"/>
                </w:tcPr>
                <w:p w14:paraId="5BC0D256">
                  <w:pPr>
                    <w:adjustRightInd w:val="0"/>
                    <w:snapToGrid w:val="0"/>
                    <w:ind w:left="-105" w:leftChars="-50" w:right="-105" w:rightChars="-50"/>
                    <w:jc w:val="center"/>
                    <w:rPr>
                      <w:b/>
                      <w:bCs/>
                      <w:color w:val="auto"/>
                      <w:szCs w:val="21"/>
                      <w:highlight w:val="none"/>
                    </w:rPr>
                  </w:pPr>
                  <w:r>
                    <w:rPr>
                      <w:b/>
                      <w:bCs/>
                      <w:color w:val="auto"/>
                      <w:szCs w:val="21"/>
                      <w:highlight w:val="none"/>
                    </w:rPr>
                    <w:t>污染物</w:t>
                  </w:r>
                </w:p>
              </w:tc>
              <w:tc>
                <w:tcPr>
                  <w:tcW w:w="779" w:type="pct"/>
                  <w:noWrap w:val="0"/>
                  <w:vAlign w:val="center"/>
                </w:tcPr>
                <w:p w14:paraId="7F32A733">
                  <w:pPr>
                    <w:adjustRightInd w:val="0"/>
                    <w:snapToGrid w:val="0"/>
                    <w:jc w:val="center"/>
                    <w:rPr>
                      <w:b/>
                      <w:bCs/>
                      <w:color w:val="auto"/>
                      <w:szCs w:val="21"/>
                      <w:highlight w:val="none"/>
                    </w:rPr>
                  </w:pPr>
                  <w:r>
                    <w:rPr>
                      <w:b/>
                      <w:bCs/>
                      <w:color w:val="auto"/>
                      <w:szCs w:val="21"/>
                      <w:highlight w:val="none"/>
                    </w:rPr>
                    <w:t>最高允许排放浓度（mg/m</w:t>
                  </w:r>
                  <w:r>
                    <w:rPr>
                      <w:b/>
                      <w:bCs/>
                      <w:color w:val="auto"/>
                      <w:szCs w:val="21"/>
                      <w:highlight w:val="none"/>
                      <w:vertAlign w:val="superscript"/>
                    </w:rPr>
                    <w:t>3</w:t>
                  </w:r>
                  <w:r>
                    <w:rPr>
                      <w:b/>
                      <w:bCs/>
                      <w:color w:val="auto"/>
                      <w:szCs w:val="21"/>
                      <w:highlight w:val="none"/>
                    </w:rPr>
                    <w:t>）</w:t>
                  </w:r>
                </w:p>
              </w:tc>
              <w:tc>
                <w:tcPr>
                  <w:tcW w:w="768" w:type="pct"/>
                  <w:noWrap w:val="0"/>
                  <w:vAlign w:val="center"/>
                </w:tcPr>
                <w:p w14:paraId="78943DBC">
                  <w:pPr>
                    <w:adjustRightInd w:val="0"/>
                    <w:snapToGrid w:val="0"/>
                    <w:jc w:val="center"/>
                    <w:rPr>
                      <w:b/>
                      <w:bCs/>
                      <w:color w:val="auto"/>
                      <w:szCs w:val="21"/>
                      <w:highlight w:val="none"/>
                    </w:rPr>
                  </w:pPr>
                  <w:r>
                    <w:rPr>
                      <w:rFonts w:hint="eastAsia"/>
                      <w:b/>
                      <w:bCs/>
                      <w:color w:val="auto"/>
                      <w:szCs w:val="21"/>
                      <w:highlight w:val="none"/>
                      <w:lang w:val="en-US" w:eastAsia="zh-CN"/>
                    </w:rPr>
                    <w:t>最高允许</w:t>
                  </w:r>
                  <w:r>
                    <w:rPr>
                      <w:rFonts w:hint="eastAsia"/>
                      <w:b/>
                      <w:bCs/>
                      <w:color w:val="auto"/>
                      <w:szCs w:val="21"/>
                      <w:highlight w:val="none"/>
                    </w:rPr>
                    <w:t>排放速率（kg/h）</w:t>
                  </w:r>
                </w:p>
              </w:tc>
              <w:tc>
                <w:tcPr>
                  <w:tcW w:w="930" w:type="pct"/>
                  <w:noWrap w:val="0"/>
                  <w:vAlign w:val="center"/>
                </w:tcPr>
                <w:p w14:paraId="67665F9D">
                  <w:pPr>
                    <w:adjustRightInd w:val="0"/>
                    <w:snapToGrid w:val="0"/>
                    <w:jc w:val="center"/>
                    <w:rPr>
                      <w:b/>
                      <w:bCs/>
                      <w:color w:val="auto"/>
                      <w:szCs w:val="21"/>
                      <w:highlight w:val="none"/>
                    </w:rPr>
                  </w:pPr>
                  <w:r>
                    <w:rPr>
                      <w:b/>
                      <w:bCs/>
                      <w:color w:val="auto"/>
                      <w:szCs w:val="21"/>
                      <w:highlight w:val="none"/>
                    </w:rPr>
                    <w:t>监控点</w:t>
                  </w:r>
                </w:p>
              </w:tc>
              <w:tc>
                <w:tcPr>
                  <w:tcW w:w="1442" w:type="pct"/>
                  <w:noWrap w:val="0"/>
                  <w:vAlign w:val="center"/>
                </w:tcPr>
                <w:p w14:paraId="6FA88FBB">
                  <w:pPr>
                    <w:adjustRightInd w:val="0"/>
                    <w:snapToGrid w:val="0"/>
                    <w:jc w:val="center"/>
                    <w:rPr>
                      <w:b/>
                      <w:bCs/>
                      <w:color w:val="auto"/>
                      <w:szCs w:val="21"/>
                      <w:highlight w:val="none"/>
                    </w:rPr>
                  </w:pPr>
                  <w:r>
                    <w:rPr>
                      <w:b/>
                      <w:bCs/>
                      <w:color w:val="auto"/>
                      <w:szCs w:val="21"/>
                      <w:highlight w:val="none"/>
                    </w:rPr>
                    <w:t>标准名称</w:t>
                  </w:r>
                </w:p>
              </w:tc>
            </w:tr>
            <w:tr w14:paraId="3443D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50" w:type="pct"/>
                  <w:vMerge w:val="restart"/>
                  <w:noWrap w:val="0"/>
                  <w:vAlign w:val="center"/>
                </w:tcPr>
                <w:p w14:paraId="43170961">
                  <w:pPr>
                    <w:adjustRightInd w:val="0"/>
                    <w:snapToGrid w:val="0"/>
                    <w:ind w:left="-105" w:leftChars="-50" w:right="-105" w:rightChars="-50"/>
                    <w:jc w:val="center"/>
                    <w:rPr>
                      <w:color w:val="auto"/>
                      <w:szCs w:val="21"/>
                      <w:highlight w:val="none"/>
                    </w:rPr>
                  </w:pPr>
                  <w:r>
                    <w:rPr>
                      <w:rFonts w:hint="eastAsia"/>
                      <w:color w:val="auto"/>
                      <w:szCs w:val="21"/>
                      <w:highlight w:val="none"/>
                    </w:rPr>
                    <w:t>有组织</w:t>
                  </w:r>
                </w:p>
              </w:tc>
              <w:tc>
                <w:tcPr>
                  <w:tcW w:w="728" w:type="pct"/>
                  <w:noWrap w:val="0"/>
                  <w:vAlign w:val="center"/>
                </w:tcPr>
                <w:p w14:paraId="3FA2839C">
                  <w:pPr>
                    <w:adjustRightInd w:val="0"/>
                    <w:snapToGrid w:val="0"/>
                    <w:ind w:left="-105" w:leftChars="-50" w:right="-105" w:rightChars="-50"/>
                    <w:jc w:val="center"/>
                    <w:rPr>
                      <w:color w:val="auto"/>
                      <w:szCs w:val="21"/>
                      <w:highlight w:val="none"/>
                    </w:rPr>
                  </w:pPr>
                  <w:r>
                    <w:rPr>
                      <w:rFonts w:hint="eastAsia"/>
                      <w:color w:val="auto"/>
                      <w:szCs w:val="21"/>
                      <w:highlight w:val="none"/>
                    </w:rPr>
                    <w:t>颗粒物</w:t>
                  </w:r>
                </w:p>
              </w:tc>
              <w:tc>
                <w:tcPr>
                  <w:tcW w:w="779" w:type="pct"/>
                  <w:noWrap w:val="0"/>
                  <w:vAlign w:val="center"/>
                </w:tcPr>
                <w:p w14:paraId="624B977A">
                  <w:pPr>
                    <w:adjustRightInd w:val="0"/>
                    <w:snapToGrid w:val="0"/>
                    <w:jc w:val="center"/>
                    <w:rPr>
                      <w:color w:val="auto"/>
                      <w:szCs w:val="21"/>
                      <w:highlight w:val="none"/>
                    </w:rPr>
                  </w:pPr>
                  <w:r>
                    <w:rPr>
                      <w:rFonts w:hint="eastAsia"/>
                      <w:color w:val="auto"/>
                      <w:szCs w:val="21"/>
                      <w:highlight w:val="none"/>
                    </w:rPr>
                    <w:t>120</w:t>
                  </w:r>
                </w:p>
              </w:tc>
              <w:tc>
                <w:tcPr>
                  <w:tcW w:w="768" w:type="pct"/>
                  <w:noWrap w:val="0"/>
                  <w:vAlign w:val="center"/>
                </w:tcPr>
                <w:p w14:paraId="053C1E52">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1.75（15m）</w:t>
                  </w:r>
                </w:p>
              </w:tc>
              <w:tc>
                <w:tcPr>
                  <w:tcW w:w="930" w:type="pct"/>
                  <w:noWrap w:val="0"/>
                  <w:vAlign w:val="center"/>
                </w:tcPr>
                <w:p w14:paraId="1FC8928C">
                  <w:pPr>
                    <w:adjustRightInd w:val="0"/>
                    <w:snapToGrid w:val="0"/>
                    <w:jc w:val="center"/>
                    <w:rPr>
                      <w:color w:val="auto"/>
                      <w:szCs w:val="21"/>
                      <w:highlight w:val="none"/>
                    </w:rPr>
                  </w:pPr>
                  <w:r>
                    <w:rPr>
                      <w:color w:val="auto"/>
                      <w:szCs w:val="21"/>
                      <w:highlight w:val="none"/>
                    </w:rPr>
                    <w:t>排气筒</w:t>
                  </w:r>
                </w:p>
              </w:tc>
              <w:tc>
                <w:tcPr>
                  <w:tcW w:w="1442" w:type="pct"/>
                  <w:noWrap w:val="0"/>
                  <w:vAlign w:val="center"/>
                </w:tcPr>
                <w:p w14:paraId="73C96D46">
                  <w:pPr>
                    <w:adjustRightInd w:val="0"/>
                    <w:snapToGrid w:val="0"/>
                    <w:jc w:val="center"/>
                    <w:rPr>
                      <w:color w:val="auto"/>
                      <w:szCs w:val="21"/>
                      <w:highlight w:val="none"/>
                    </w:rPr>
                  </w:pPr>
                  <w:r>
                    <w:rPr>
                      <w:color w:val="auto"/>
                      <w:szCs w:val="21"/>
                      <w:highlight w:val="none"/>
                    </w:rPr>
                    <w:t>《大气污染物综合排放标准》（GB16297-1996）</w:t>
                  </w:r>
                  <w:r>
                    <w:rPr>
                      <w:rFonts w:hint="eastAsia"/>
                      <w:color w:val="auto"/>
                      <w:szCs w:val="21"/>
                      <w:highlight w:val="none"/>
                    </w:rPr>
                    <w:t>二级标准</w:t>
                  </w:r>
                </w:p>
              </w:tc>
            </w:tr>
            <w:tr w14:paraId="54EDE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0" w:type="pct"/>
                  <w:vMerge w:val="continue"/>
                  <w:noWrap w:val="0"/>
                  <w:vAlign w:val="center"/>
                </w:tcPr>
                <w:p w14:paraId="44F38179">
                  <w:pPr>
                    <w:adjustRightInd w:val="0"/>
                    <w:snapToGrid w:val="0"/>
                    <w:ind w:left="-105" w:leftChars="-50" w:right="-105" w:rightChars="-50"/>
                    <w:jc w:val="center"/>
                    <w:rPr>
                      <w:color w:val="auto"/>
                      <w:szCs w:val="21"/>
                      <w:highlight w:val="none"/>
                    </w:rPr>
                  </w:pPr>
                </w:p>
              </w:tc>
              <w:tc>
                <w:tcPr>
                  <w:tcW w:w="728" w:type="pct"/>
                  <w:noWrap w:val="0"/>
                  <w:vAlign w:val="center"/>
                </w:tcPr>
                <w:p w14:paraId="4BCC05A8">
                  <w:pPr>
                    <w:adjustRightInd w:val="0"/>
                    <w:snapToGrid w:val="0"/>
                    <w:ind w:left="-105" w:leftChars="-50" w:right="-105" w:rightChars="-50"/>
                    <w:jc w:val="center"/>
                    <w:rPr>
                      <w:color w:val="auto"/>
                      <w:szCs w:val="21"/>
                      <w:highlight w:val="none"/>
                    </w:rPr>
                  </w:pPr>
                  <w:r>
                    <w:rPr>
                      <w:color w:val="auto"/>
                      <w:szCs w:val="21"/>
                      <w:highlight w:val="none"/>
                    </w:rPr>
                    <w:t>非甲烷总烃</w:t>
                  </w:r>
                </w:p>
              </w:tc>
              <w:tc>
                <w:tcPr>
                  <w:tcW w:w="779" w:type="pct"/>
                  <w:shd w:val="clear" w:color="auto" w:fill="auto"/>
                  <w:noWrap w:val="0"/>
                  <w:vAlign w:val="center"/>
                </w:tcPr>
                <w:p w14:paraId="688BCAE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60</w:t>
                  </w:r>
                </w:p>
              </w:tc>
              <w:tc>
                <w:tcPr>
                  <w:tcW w:w="768" w:type="pct"/>
                  <w:noWrap w:val="0"/>
                  <w:vAlign w:val="center"/>
                </w:tcPr>
                <w:p w14:paraId="3281FDC4">
                  <w:pPr>
                    <w:adjustRightInd w:val="0"/>
                    <w:snapToGrid w:val="0"/>
                    <w:jc w:val="center"/>
                    <w:rPr>
                      <w:color w:val="auto"/>
                      <w:szCs w:val="21"/>
                      <w:highlight w:val="none"/>
                    </w:rPr>
                  </w:pPr>
                  <w:r>
                    <w:rPr>
                      <w:rFonts w:hint="eastAsia"/>
                      <w:color w:val="auto"/>
                      <w:szCs w:val="21"/>
                      <w:highlight w:val="none"/>
                    </w:rPr>
                    <w:t>/</w:t>
                  </w:r>
                </w:p>
              </w:tc>
              <w:tc>
                <w:tcPr>
                  <w:tcW w:w="930" w:type="pct"/>
                  <w:noWrap w:val="0"/>
                  <w:vAlign w:val="center"/>
                </w:tcPr>
                <w:p w14:paraId="2EB737DB">
                  <w:pPr>
                    <w:adjustRightInd w:val="0"/>
                    <w:snapToGrid w:val="0"/>
                    <w:jc w:val="center"/>
                    <w:rPr>
                      <w:color w:val="auto"/>
                      <w:szCs w:val="21"/>
                      <w:highlight w:val="none"/>
                    </w:rPr>
                  </w:pPr>
                  <w:r>
                    <w:rPr>
                      <w:color w:val="auto"/>
                      <w:szCs w:val="21"/>
                      <w:highlight w:val="none"/>
                    </w:rPr>
                    <w:t>车间或生产设施排气筒</w:t>
                  </w:r>
                </w:p>
              </w:tc>
              <w:tc>
                <w:tcPr>
                  <w:tcW w:w="1442" w:type="pct"/>
                  <w:vMerge w:val="restart"/>
                  <w:noWrap w:val="0"/>
                  <w:vAlign w:val="center"/>
                </w:tcPr>
                <w:p w14:paraId="57249D18">
                  <w:pPr>
                    <w:adjustRightInd w:val="0"/>
                    <w:snapToGrid w:val="0"/>
                    <w:jc w:val="center"/>
                    <w:rPr>
                      <w:color w:val="auto"/>
                      <w:szCs w:val="21"/>
                      <w:highlight w:val="none"/>
                    </w:rPr>
                  </w:pPr>
                  <w:r>
                    <w:rPr>
                      <w:rFonts w:hint="eastAsia"/>
                      <w:color w:val="auto"/>
                      <w:szCs w:val="21"/>
                      <w:highlight w:val="none"/>
                    </w:rPr>
                    <w:t>《合成树脂工业污染物排放标准》（GB31572-2015）（含2024年修改清单）表5及表9中有关限值要求中有关限值要求</w:t>
                  </w:r>
                </w:p>
              </w:tc>
            </w:tr>
            <w:tr w14:paraId="6DD00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0" w:type="pct"/>
                  <w:vMerge w:val="restart"/>
                  <w:noWrap w:val="0"/>
                  <w:vAlign w:val="center"/>
                </w:tcPr>
                <w:p w14:paraId="44BCCEE3">
                  <w:pPr>
                    <w:adjustRightInd w:val="0"/>
                    <w:snapToGrid w:val="0"/>
                    <w:ind w:left="-105" w:leftChars="-50" w:right="-105" w:rightChars="-50"/>
                    <w:jc w:val="center"/>
                    <w:rPr>
                      <w:rFonts w:hint="eastAsia"/>
                      <w:color w:val="auto"/>
                      <w:szCs w:val="21"/>
                      <w:highlight w:val="none"/>
                    </w:rPr>
                  </w:pPr>
                  <w:r>
                    <w:rPr>
                      <w:rFonts w:hint="eastAsia"/>
                      <w:color w:val="auto"/>
                      <w:szCs w:val="21"/>
                      <w:highlight w:val="none"/>
                    </w:rPr>
                    <w:t>无组织</w:t>
                  </w:r>
                </w:p>
              </w:tc>
              <w:tc>
                <w:tcPr>
                  <w:tcW w:w="728" w:type="pct"/>
                  <w:noWrap w:val="0"/>
                  <w:vAlign w:val="center"/>
                </w:tcPr>
                <w:p w14:paraId="2D123AA0">
                  <w:pPr>
                    <w:adjustRightInd w:val="0"/>
                    <w:snapToGrid w:val="0"/>
                    <w:ind w:left="-105" w:leftChars="-50" w:right="-105" w:rightChars="-50"/>
                    <w:jc w:val="center"/>
                    <w:rPr>
                      <w:rFonts w:hint="eastAsia"/>
                      <w:color w:val="auto"/>
                      <w:szCs w:val="21"/>
                      <w:highlight w:val="none"/>
                    </w:rPr>
                  </w:pPr>
                  <w:r>
                    <w:rPr>
                      <w:rFonts w:hint="eastAsia"/>
                      <w:color w:val="auto"/>
                      <w:szCs w:val="21"/>
                      <w:highlight w:val="none"/>
                    </w:rPr>
                    <w:t>非甲烷总烃</w:t>
                  </w:r>
                </w:p>
              </w:tc>
              <w:tc>
                <w:tcPr>
                  <w:tcW w:w="779" w:type="pct"/>
                  <w:shd w:val="clear" w:color="auto" w:fill="auto"/>
                  <w:noWrap w:val="0"/>
                  <w:vAlign w:val="center"/>
                </w:tcPr>
                <w:p w14:paraId="42A2DD9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4.0</w:t>
                  </w:r>
                </w:p>
              </w:tc>
              <w:tc>
                <w:tcPr>
                  <w:tcW w:w="768" w:type="pct"/>
                  <w:noWrap w:val="0"/>
                  <w:vAlign w:val="center"/>
                </w:tcPr>
                <w:p w14:paraId="0EE95CE2">
                  <w:pPr>
                    <w:adjustRightInd w:val="0"/>
                    <w:snapToGrid w:val="0"/>
                    <w:jc w:val="center"/>
                    <w:rPr>
                      <w:color w:val="auto"/>
                      <w:szCs w:val="21"/>
                      <w:highlight w:val="none"/>
                    </w:rPr>
                  </w:pPr>
                  <w:r>
                    <w:rPr>
                      <w:rFonts w:hint="eastAsia"/>
                      <w:color w:val="auto"/>
                      <w:szCs w:val="21"/>
                      <w:highlight w:val="none"/>
                    </w:rPr>
                    <w:t>/</w:t>
                  </w:r>
                </w:p>
              </w:tc>
              <w:tc>
                <w:tcPr>
                  <w:tcW w:w="930" w:type="pct"/>
                  <w:noWrap w:val="0"/>
                  <w:vAlign w:val="center"/>
                </w:tcPr>
                <w:p w14:paraId="2A1B7F5C">
                  <w:pPr>
                    <w:adjustRightInd w:val="0"/>
                    <w:snapToGrid w:val="0"/>
                    <w:jc w:val="center"/>
                    <w:rPr>
                      <w:rFonts w:hint="eastAsia"/>
                      <w:color w:val="auto"/>
                      <w:szCs w:val="21"/>
                      <w:highlight w:val="none"/>
                    </w:rPr>
                  </w:pPr>
                  <w:r>
                    <w:rPr>
                      <w:rFonts w:hint="eastAsia"/>
                      <w:color w:val="auto"/>
                      <w:szCs w:val="21"/>
                      <w:highlight w:val="none"/>
                    </w:rPr>
                    <w:t>企业边界</w:t>
                  </w:r>
                </w:p>
              </w:tc>
              <w:tc>
                <w:tcPr>
                  <w:tcW w:w="1442" w:type="pct"/>
                  <w:vMerge w:val="continue"/>
                  <w:noWrap w:val="0"/>
                  <w:vAlign w:val="center"/>
                </w:tcPr>
                <w:p w14:paraId="2661EB3A">
                  <w:pPr>
                    <w:adjustRightInd w:val="0"/>
                    <w:snapToGrid w:val="0"/>
                    <w:jc w:val="center"/>
                    <w:rPr>
                      <w:color w:val="auto"/>
                      <w:szCs w:val="21"/>
                      <w:highlight w:val="none"/>
                    </w:rPr>
                  </w:pPr>
                </w:p>
              </w:tc>
            </w:tr>
            <w:tr w14:paraId="0A2B3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50" w:type="pct"/>
                  <w:vMerge w:val="continue"/>
                  <w:noWrap w:val="0"/>
                  <w:vAlign w:val="center"/>
                </w:tcPr>
                <w:p w14:paraId="57D97B22">
                  <w:pPr>
                    <w:adjustRightInd w:val="0"/>
                    <w:snapToGrid w:val="0"/>
                    <w:ind w:left="-105" w:leftChars="-50" w:right="-105" w:rightChars="-50"/>
                    <w:jc w:val="center"/>
                    <w:rPr>
                      <w:rFonts w:hint="eastAsia"/>
                      <w:color w:val="auto"/>
                      <w:szCs w:val="21"/>
                      <w:highlight w:val="none"/>
                    </w:rPr>
                  </w:pPr>
                </w:p>
              </w:tc>
              <w:tc>
                <w:tcPr>
                  <w:tcW w:w="728" w:type="pct"/>
                  <w:vMerge w:val="restart"/>
                  <w:noWrap w:val="0"/>
                  <w:vAlign w:val="center"/>
                </w:tcPr>
                <w:p w14:paraId="08B81C45">
                  <w:pPr>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厂区内</w:t>
                  </w:r>
                  <w:r>
                    <w:rPr>
                      <w:rFonts w:hint="eastAsia" w:ascii="Times New Roman" w:hAnsi="Times New Roman" w:eastAsia="宋体" w:cs="Times New Roman"/>
                      <w:color w:val="auto"/>
                      <w:szCs w:val="21"/>
                      <w:highlight w:val="none"/>
                    </w:rPr>
                    <w:t>非甲烷总烃</w:t>
                  </w:r>
                </w:p>
              </w:tc>
              <w:tc>
                <w:tcPr>
                  <w:tcW w:w="779" w:type="pct"/>
                  <w:noWrap w:val="0"/>
                  <w:vAlign w:val="center"/>
                </w:tcPr>
                <w:p w14:paraId="656FD524">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768" w:type="pct"/>
                  <w:noWrap w:val="0"/>
                  <w:vAlign w:val="center"/>
                </w:tcPr>
                <w:p w14:paraId="05CC32B5">
                  <w:pPr>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w:t>
                  </w:r>
                </w:p>
              </w:tc>
              <w:tc>
                <w:tcPr>
                  <w:tcW w:w="930" w:type="pct"/>
                  <w:noWrap w:val="0"/>
                  <w:vAlign w:val="center"/>
                </w:tcPr>
                <w:p w14:paraId="4C3B0A16">
                  <w:pPr>
                    <w:adjustRightInd w:val="0"/>
                    <w:snapToGrid w:val="0"/>
                    <w:jc w:val="center"/>
                    <w:rPr>
                      <w:rFonts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监控点处1h平均值</w:t>
                  </w:r>
                </w:p>
              </w:tc>
              <w:tc>
                <w:tcPr>
                  <w:tcW w:w="1442" w:type="pct"/>
                  <w:vMerge w:val="restart"/>
                  <w:noWrap w:val="0"/>
                  <w:vAlign w:val="center"/>
                </w:tcPr>
                <w:p w14:paraId="586A95D1">
                  <w:pPr>
                    <w:adjustRightInd w:val="0"/>
                    <w:snapToGrid w:val="0"/>
                    <w:jc w:val="center"/>
                    <w:rPr>
                      <w:rFonts w:ascii="Times New Roman" w:hAnsi="Times New Roman" w:eastAsia="宋体" w:cs="Times New Roman"/>
                      <w:color w:val="auto"/>
                      <w:szCs w:val="21"/>
                      <w:highlight w:val="none"/>
                    </w:rPr>
                  </w:pPr>
                  <w:r>
                    <w:rPr>
                      <w:color w:val="auto"/>
                      <w:szCs w:val="21"/>
                      <w:highlight w:val="none"/>
                    </w:rPr>
                    <w:t>《挥发性有机物无组织排放控制标准》（GB37822-2019）</w:t>
                  </w:r>
                  <w:r>
                    <w:rPr>
                      <w:rFonts w:hint="eastAsia"/>
                      <w:color w:val="auto"/>
                      <w:szCs w:val="21"/>
                      <w:highlight w:val="none"/>
                    </w:rPr>
                    <w:t>表A.1厂区内无组织特别排放限值</w:t>
                  </w:r>
                </w:p>
              </w:tc>
            </w:tr>
            <w:tr w14:paraId="4A145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50" w:type="pct"/>
                  <w:vMerge w:val="continue"/>
                  <w:noWrap w:val="0"/>
                  <w:vAlign w:val="center"/>
                </w:tcPr>
                <w:p w14:paraId="66236D2D">
                  <w:pPr>
                    <w:adjustRightInd w:val="0"/>
                    <w:snapToGrid w:val="0"/>
                    <w:ind w:left="-105" w:leftChars="-50" w:right="-105" w:rightChars="-50"/>
                    <w:jc w:val="center"/>
                    <w:rPr>
                      <w:rFonts w:hint="eastAsia"/>
                      <w:color w:val="auto"/>
                      <w:szCs w:val="21"/>
                      <w:highlight w:val="none"/>
                    </w:rPr>
                  </w:pPr>
                </w:p>
              </w:tc>
              <w:tc>
                <w:tcPr>
                  <w:tcW w:w="728" w:type="pct"/>
                  <w:vMerge w:val="continue"/>
                  <w:noWrap w:val="0"/>
                  <w:vAlign w:val="center"/>
                </w:tcPr>
                <w:p w14:paraId="1936119B">
                  <w:pPr>
                    <w:adjustRightInd w:val="0"/>
                    <w:snapToGrid w:val="0"/>
                    <w:jc w:val="center"/>
                    <w:rPr>
                      <w:rFonts w:hint="eastAsia" w:ascii="Times New Roman" w:hAnsi="Times New Roman" w:eastAsia="宋体" w:cs="Times New Roman"/>
                      <w:color w:val="auto"/>
                      <w:szCs w:val="21"/>
                      <w:highlight w:val="none"/>
                    </w:rPr>
                  </w:pPr>
                </w:p>
              </w:tc>
              <w:tc>
                <w:tcPr>
                  <w:tcW w:w="779" w:type="pct"/>
                  <w:noWrap w:val="0"/>
                  <w:vAlign w:val="center"/>
                </w:tcPr>
                <w:p w14:paraId="646F8886">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768" w:type="pct"/>
                  <w:noWrap w:val="0"/>
                  <w:vAlign w:val="center"/>
                </w:tcPr>
                <w:p w14:paraId="05755997">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w:t>
                  </w:r>
                </w:p>
              </w:tc>
              <w:tc>
                <w:tcPr>
                  <w:tcW w:w="930" w:type="pct"/>
                  <w:noWrap w:val="0"/>
                  <w:vAlign w:val="center"/>
                </w:tcPr>
                <w:p w14:paraId="613865A3">
                  <w:pPr>
                    <w:adjustRightInd w:val="0"/>
                    <w:snapToGrid w:val="0"/>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监控点处任意一次浓度值</w:t>
                  </w:r>
                </w:p>
              </w:tc>
              <w:tc>
                <w:tcPr>
                  <w:tcW w:w="1442" w:type="pct"/>
                  <w:vMerge w:val="continue"/>
                  <w:noWrap w:val="0"/>
                  <w:vAlign w:val="center"/>
                </w:tcPr>
                <w:p w14:paraId="3BD81627">
                  <w:pPr>
                    <w:adjustRightInd w:val="0"/>
                    <w:snapToGrid w:val="0"/>
                    <w:jc w:val="center"/>
                    <w:rPr>
                      <w:rFonts w:ascii="Times New Roman" w:hAnsi="Times New Roman" w:eastAsia="宋体" w:cs="Times New Roman"/>
                      <w:color w:val="auto"/>
                      <w:szCs w:val="21"/>
                      <w:highlight w:val="none"/>
                    </w:rPr>
                  </w:pPr>
                </w:p>
              </w:tc>
            </w:tr>
            <w:tr w14:paraId="52A49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50" w:type="pct"/>
                  <w:vMerge w:val="continue"/>
                  <w:noWrap w:val="0"/>
                  <w:vAlign w:val="center"/>
                </w:tcPr>
                <w:p w14:paraId="4BFE9252">
                  <w:pPr>
                    <w:adjustRightInd w:val="0"/>
                    <w:snapToGrid w:val="0"/>
                    <w:ind w:left="-105" w:leftChars="-50" w:right="-105" w:rightChars="-50"/>
                    <w:jc w:val="center"/>
                    <w:rPr>
                      <w:rFonts w:hint="eastAsia"/>
                      <w:color w:val="auto"/>
                      <w:szCs w:val="21"/>
                      <w:highlight w:val="none"/>
                    </w:rPr>
                  </w:pPr>
                </w:p>
              </w:tc>
              <w:tc>
                <w:tcPr>
                  <w:tcW w:w="728" w:type="pct"/>
                  <w:noWrap w:val="0"/>
                  <w:vAlign w:val="center"/>
                </w:tcPr>
                <w:p w14:paraId="2EAFA1B3">
                  <w:pPr>
                    <w:adjustRightInd w:val="0"/>
                    <w:snapToGrid w:val="0"/>
                    <w:ind w:left="-105" w:leftChars="-50" w:right="-105" w:rightChars="-50"/>
                    <w:jc w:val="center"/>
                    <w:rPr>
                      <w:rFonts w:hint="eastAsia"/>
                      <w:color w:val="auto"/>
                      <w:szCs w:val="21"/>
                      <w:highlight w:val="none"/>
                    </w:rPr>
                  </w:pPr>
                  <w:r>
                    <w:rPr>
                      <w:color w:val="auto"/>
                      <w:szCs w:val="21"/>
                      <w:highlight w:val="none"/>
                    </w:rPr>
                    <w:t>颗粒物</w:t>
                  </w:r>
                </w:p>
              </w:tc>
              <w:tc>
                <w:tcPr>
                  <w:tcW w:w="779" w:type="pct"/>
                  <w:noWrap w:val="0"/>
                  <w:vAlign w:val="center"/>
                </w:tcPr>
                <w:p w14:paraId="5203A2F1">
                  <w:pPr>
                    <w:adjustRightInd w:val="0"/>
                    <w:snapToGrid w:val="0"/>
                    <w:jc w:val="center"/>
                    <w:rPr>
                      <w:rFonts w:hint="eastAsia"/>
                      <w:color w:val="auto"/>
                      <w:szCs w:val="21"/>
                      <w:highlight w:val="none"/>
                    </w:rPr>
                  </w:pPr>
                  <w:r>
                    <w:rPr>
                      <w:color w:val="auto"/>
                      <w:szCs w:val="21"/>
                      <w:highlight w:val="none"/>
                    </w:rPr>
                    <w:t>1.0</w:t>
                  </w:r>
                </w:p>
              </w:tc>
              <w:tc>
                <w:tcPr>
                  <w:tcW w:w="768" w:type="pct"/>
                  <w:noWrap w:val="0"/>
                  <w:vAlign w:val="center"/>
                </w:tcPr>
                <w:p w14:paraId="0098BFB4">
                  <w:pPr>
                    <w:adjustRightInd w:val="0"/>
                    <w:snapToGrid w:val="0"/>
                    <w:jc w:val="center"/>
                    <w:rPr>
                      <w:color w:val="auto"/>
                      <w:szCs w:val="21"/>
                      <w:highlight w:val="none"/>
                    </w:rPr>
                  </w:pPr>
                  <w:r>
                    <w:rPr>
                      <w:rFonts w:hint="eastAsia"/>
                      <w:color w:val="auto"/>
                      <w:szCs w:val="21"/>
                      <w:highlight w:val="none"/>
                    </w:rPr>
                    <w:t>/</w:t>
                  </w:r>
                </w:p>
              </w:tc>
              <w:tc>
                <w:tcPr>
                  <w:tcW w:w="930" w:type="pct"/>
                  <w:noWrap w:val="0"/>
                  <w:vAlign w:val="center"/>
                </w:tcPr>
                <w:p w14:paraId="302A220B">
                  <w:pPr>
                    <w:adjustRightInd w:val="0"/>
                    <w:snapToGrid w:val="0"/>
                    <w:jc w:val="center"/>
                    <w:rPr>
                      <w:color w:val="auto"/>
                      <w:szCs w:val="21"/>
                      <w:highlight w:val="none"/>
                    </w:rPr>
                  </w:pPr>
                  <w:r>
                    <w:rPr>
                      <w:rFonts w:hint="eastAsia"/>
                      <w:color w:val="auto"/>
                      <w:szCs w:val="21"/>
                      <w:highlight w:val="none"/>
                    </w:rPr>
                    <w:t>周界外浓度最高点</w:t>
                  </w:r>
                </w:p>
              </w:tc>
              <w:tc>
                <w:tcPr>
                  <w:tcW w:w="1442" w:type="pct"/>
                  <w:noWrap w:val="0"/>
                  <w:vAlign w:val="center"/>
                </w:tcPr>
                <w:p w14:paraId="7D6AF8D2">
                  <w:pPr>
                    <w:adjustRightInd w:val="0"/>
                    <w:snapToGrid w:val="0"/>
                    <w:jc w:val="center"/>
                    <w:rPr>
                      <w:rFonts w:hint="default" w:eastAsia="宋体"/>
                      <w:color w:val="auto"/>
                      <w:szCs w:val="21"/>
                      <w:highlight w:val="none"/>
                      <w:lang w:val="en-US" w:eastAsia="zh-CN"/>
                    </w:rPr>
                  </w:pPr>
                  <w:r>
                    <w:rPr>
                      <w:color w:val="auto"/>
                      <w:szCs w:val="21"/>
                      <w:highlight w:val="none"/>
                    </w:rPr>
                    <w:t>《大气污染物综合排放标准》（GB16297-1996）</w:t>
                  </w:r>
                  <w:r>
                    <w:rPr>
                      <w:rFonts w:hint="eastAsia"/>
                      <w:color w:val="auto"/>
                      <w:szCs w:val="21"/>
                      <w:highlight w:val="none"/>
                      <w:lang w:val="en-US" w:eastAsia="zh-CN"/>
                    </w:rPr>
                    <w:t>无组织限值要求</w:t>
                  </w:r>
                </w:p>
              </w:tc>
            </w:tr>
            <w:tr w14:paraId="465B6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14:paraId="682822A1">
                  <w:pPr>
                    <w:adjustRightInd w:val="0"/>
                    <w:snapToGrid w:val="0"/>
                    <w:jc w:val="both"/>
                    <w:rPr>
                      <w:rFonts w:hint="default" w:eastAsia="宋体"/>
                      <w:color w:val="auto"/>
                      <w:szCs w:val="21"/>
                      <w:highlight w:val="none"/>
                      <w:lang w:val="en-US" w:eastAsia="zh-CN"/>
                    </w:rPr>
                  </w:pPr>
                  <w:r>
                    <w:rPr>
                      <w:rFonts w:hint="eastAsia"/>
                      <w:color w:val="auto"/>
                      <w:szCs w:val="21"/>
                      <w:highlight w:val="none"/>
                      <w:lang w:val="en-US" w:eastAsia="zh-CN"/>
                    </w:rPr>
                    <w:t>备注：有组织颗粒物最高允许排放速率按严格50%执行。</w:t>
                  </w:r>
                </w:p>
              </w:tc>
            </w:tr>
          </w:tbl>
          <w:p w14:paraId="695ECDC7">
            <w:pPr>
              <w:spacing w:before="120" w:beforeLines="50" w:line="360" w:lineRule="auto"/>
              <w:ind w:firstLine="482" w:firstLineChars="200"/>
              <w:rPr>
                <w:b/>
                <w:bCs/>
                <w:color w:val="auto"/>
                <w:sz w:val="24"/>
              </w:rPr>
            </w:pPr>
            <w:r>
              <w:rPr>
                <w:rFonts w:hint="eastAsia"/>
                <w:b/>
                <w:bCs/>
                <w:color w:val="auto"/>
                <w:sz w:val="24"/>
              </w:rPr>
              <w:t>2、</w:t>
            </w:r>
            <w:r>
              <w:rPr>
                <w:b/>
                <w:bCs/>
                <w:color w:val="auto"/>
                <w:sz w:val="24"/>
              </w:rPr>
              <w:t>废水</w:t>
            </w:r>
          </w:p>
          <w:p w14:paraId="192B4A2A">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生活污水</w:t>
            </w:r>
            <w:r>
              <w:rPr>
                <w:rFonts w:hint="eastAsia" w:ascii="Times New Roman" w:hAnsi="Times New Roman" w:eastAsia="宋体" w:cs="Times New Roman"/>
                <w:bCs/>
                <w:color w:val="auto"/>
                <w:sz w:val="24"/>
              </w:rPr>
              <w:t>排放执行《污水综合排放标准》（GB8978-1996）</w:t>
            </w:r>
            <w:r>
              <w:rPr>
                <w:rFonts w:hint="eastAsia" w:ascii="Times New Roman" w:hAnsi="Times New Roman" w:eastAsia="宋体" w:cs="Times New Roman"/>
                <w:bCs/>
                <w:color w:val="auto"/>
                <w:sz w:val="24"/>
                <w:lang w:val="en-US" w:eastAsia="zh-CN"/>
              </w:rPr>
              <w:t>表4</w:t>
            </w:r>
            <w:r>
              <w:rPr>
                <w:rFonts w:hint="eastAsia" w:ascii="Times New Roman" w:hAnsi="Times New Roman" w:eastAsia="宋体" w:cs="Times New Roman"/>
                <w:bCs/>
                <w:color w:val="auto"/>
                <w:sz w:val="24"/>
              </w:rPr>
              <w:t>三级标准，其中氨氮、TP、总氮参考执行《污水排入城镇下水道水质标准》（GB/T 31962-2015）表1中B级相关标准限值。</w:t>
            </w:r>
          </w:p>
          <w:p w14:paraId="12F0BB0E">
            <w:pPr>
              <w:adjustRightInd w:val="0"/>
              <w:snapToGrid w:val="0"/>
              <w:jc w:val="center"/>
              <w:rPr>
                <w:rFonts w:hint="default" w:eastAsia="宋体"/>
                <w:b/>
                <w:color w:val="auto"/>
                <w:sz w:val="24"/>
                <w:lang w:val="en-US" w:eastAsia="zh-CN"/>
              </w:rPr>
            </w:pPr>
            <w:r>
              <w:rPr>
                <w:rFonts w:hint="eastAsia"/>
                <w:b/>
                <w:color w:val="auto"/>
                <w:sz w:val="24"/>
              </w:rPr>
              <w:t>表3-</w:t>
            </w:r>
            <w:r>
              <w:rPr>
                <w:rFonts w:hint="eastAsia"/>
                <w:b/>
                <w:color w:val="auto"/>
                <w:sz w:val="24"/>
                <w:lang w:val="en-US" w:eastAsia="zh-CN"/>
              </w:rPr>
              <w:t>5</w:t>
            </w:r>
            <w:r>
              <w:rPr>
                <w:rFonts w:hint="eastAsia"/>
                <w:b/>
                <w:color w:val="auto"/>
                <w:sz w:val="24"/>
              </w:rPr>
              <w:t xml:space="preserve">  </w:t>
            </w:r>
            <w:r>
              <w:rPr>
                <w:b/>
                <w:color w:val="auto"/>
                <w:sz w:val="24"/>
              </w:rPr>
              <w:t xml:space="preserve">污水排放标准限值     </w:t>
            </w:r>
            <w:r>
              <w:rPr>
                <w:rFonts w:hint="eastAsia"/>
                <w:b/>
                <w:color w:val="auto"/>
                <w:sz w:val="24"/>
              </w:rPr>
              <w:t xml:space="preserve"> </w:t>
            </w:r>
            <w:r>
              <w:rPr>
                <w:b/>
                <w:color w:val="auto"/>
                <w:sz w:val="24"/>
              </w:rPr>
              <w:t>单位mg/L</w:t>
            </w:r>
            <w:r>
              <w:rPr>
                <w:rFonts w:hint="eastAsia"/>
                <w:b/>
                <w:color w:val="auto"/>
                <w:sz w:val="24"/>
                <w:lang w:eastAsia="zh-CN"/>
              </w:rPr>
              <w:t>，</w:t>
            </w:r>
            <w:r>
              <w:rPr>
                <w:rFonts w:hint="eastAsia"/>
                <w:b/>
                <w:color w:val="auto"/>
                <w:sz w:val="24"/>
                <w:lang w:val="en-US" w:eastAsia="zh-CN"/>
              </w:rPr>
              <w:t>pH无量纲</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896"/>
              <w:gridCol w:w="984"/>
              <w:gridCol w:w="984"/>
              <w:gridCol w:w="817"/>
              <w:gridCol w:w="984"/>
              <w:gridCol w:w="984"/>
            </w:tblGrid>
            <w:tr w14:paraId="1E440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93" w:type="pct"/>
                  <w:noWrap w:val="0"/>
                  <w:vAlign w:val="center"/>
                </w:tcPr>
                <w:p w14:paraId="649AD6F0">
                  <w:pPr>
                    <w:jc w:val="center"/>
                    <w:rPr>
                      <w:b/>
                      <w:color w:val="auto"/>
                      <w:szCs w:val="21"/>
                      <w:highlight w:val="none"/>
                    </w:rPr>
                  </w:pPr>
                  <w:r>
                    <w:rPr>
                      <w:b/>
                      <w:color w:val="auto"/>
                      <w:szCs w:val="21"/>
                      <w:highlight w:val="none"/>
                    </w:rPr>
                    <w:t>污染因子</w:t>
                  </w:r>
                </w:p>
              </w:tc>
              <w:tc>
                <w:tcPr>
                  <w:tcW w:w="556" w:type="pct"/>
                  <w:noWrap w:val="0"/>
                  <w:vAlign w:val="center"/>
                </w:tcPr>
                <w:p w14:paraId="7C4008A1">
                  <w:pPr>
                    <w:jc w:val="center"/>
                    <w:rPr>
                      <w:b/>
                      <w:color w:val="auto"/>
                      <w:szCs w:val="21"/>
                      <w:highlight w:val="none"/>
                    </w:rPr>
                  </w:pPr>
                  <w:r>
                    <w:rPr>
                      <w:b/>
                      <w:color w:val="auto"/>
                      <w:szCs w:val="21"/>
                      <w:highlight w:val="none"/>
                    </w:rPr>
                    <w:t>COD</w:t>
                  </w:r>
                </w:p>
              </w:tc>
              <w:tc>
                <w:tcPr>
                  <w:tcW w:w="610" w:type="pct"/>
                  <w:noWrap w:val="0"/>
                  <w:vAlign w:val="center"/>
                </w:tcPr>
                <w:p w14:paraId="4DFADF99">
                  <w:pPr>
                    <w:jc w:val="center"/>
                    <w:rPr>
                      <w:b/>
                      <w:color w:val="auto"/>
                      <w:szCs w:val="21"/>
                      <w:highlight w:val="none"/>
                    </w:rPr>
                  </w:pPr>
                  <w:r>
                    <w:rPr>
                      <w:b/>
                      <w:color w:val="auto"/>
                      <w:szCs w:val="21"/>
                      <w:highlight w:val="none"/>
                    </w:rPr>
                    <w:t>BOD</w:t>
                  </w:r>
                  <w:r>
                    <w:rPr>
                      <w:b/>
                      <w:color w:val="auto"/>
                      <w:szCs w:val="21"/>
                      <w:highlight w:val="none"/>
                      <w:vertAlign w:val="subscript"/>
                    </w:rPr>
                    <w:t>5</w:t>
                  </w:r>
                </w:p>
              </w:tc>
              <w:tc>
                <w:tcPr>
                  <w:tcW w:w="610" w:type="pct"/>
                  <w:noWrap w:val="0"/>
                  <w:vAlign w:val="center"/>
                </w:tcPr>
                <w:p w14:paraId="702236C3">
                  <w:pPr>
                    <w:jc w:val="center"/>
                    <w:rPr>
                      <w:b/>
                      <w:color w:val="auto"/>
                      <w:kern w:val="2"/>
                      <w:sz w:val="21"/>
                      <w:szCs w:val="21"/>
                      <w:highlight w:val="none"/>
                      <w:lang w:val="en-US" w:eastAsia="zh-CN" w:bidi="ar-SA"/>
                    </w:rPr>
                  </w:pPr>
                  <w:r>
                    <w:rPr>
                      <w:b/>
                      <w:color w:val="auto"/>
                      <w:szCs w:val="21"/>
                      <w:highlight w:val="none"/>
                    </w:rPr>
                    <w:t>SS</w:t>
                  </w:r>
                </w:p>
              </w:tc>
              <w:tc>
                <w:tcPr>
                  <w:tcW w:w="507" w:type="pct"/>
                  <w:noWrap w:val="0"/>
                  <w:vAlign w:val="center"/>
                </w:tcPr>
                <w:p w14:paraId="2D531030">
                  <w:pPr>
                    <w:jc w:val="center"/>
                    <w:rPr>
                      <w:b/>
                      <w:color w:val="auto"/>
                      <w:kern w:val="2"/>
                      <w:sz w:val="21"/>
                      <w:szCs w:val="21"/>
                      <w:highlight w:val="none"/>
                      <w:lang w:val="en-US" w:eastAsia="zh-CN" w:bidi="ar-SA"/>
                    </w:rPr>
                  </w:pPr>
                  <w:r>
                    <w:rPr>
                      <w:b/>
                      <w:color w:val="auto"/>
                      <w:szCs w:val="21"/>
                      <w:highlight w:val="none"/>
                    </w:rPr>
                    <w:t>氨氮</w:t>
                  </w:r>
                </w:p>
              </w:tc>
              <w:tc>
                <w:tcPr>
                  <w:tcW w:w="610" w:type="pct"/>
                  <w:noWrap w:val="0"/>
                  <w:vAlign w:val="center"/>
                </w:tcPr>
                <w:p w14:paraId="5D55CE29">
                  <w:pPr>
                    <w:jc w:val="center"/>
                    <w:rPr>
                      <w:rFonts w:hint="default" w:eastAsia="宋体"/>
                      <w:b/>
                      <w:color w:val="auto"/>
                      <w:szCs w:val="21"/>
                      <w:highlight w:val="none"/>
                      <w:lang w:val="en-US" w:eastAsia="zh-CN"/>
                    </w:rPr>
                  </w:pPr>
                  <w:r>
                    <w:rPr>
                      <w:rFonts w:hint="eastAsia"/>
                      <w:b/>
                      <w:color w:val="auto"/>
                      <w:szCs w:val="21"/>
                      <w:highlight w:val="none"/>
                      <w:lang w:val="en-US" w:eastAsia="zh-CN"/>
                    </w:rPr>
                    <w:t>TP</w:t>
                  </w:r>
                </w:p>
              </w:tc>
              <w:tc>
                <w:tcPr>
                  <w:tcW w:w="610" w:type="pct"/>
                  <w:noWrap w:val="0"/>
                  <w:vAlign w:val="center"/>
                </w:tcPr>
                <w:p w14:paraId="7E17A11E">
                  <w:pPr>
                    <w:jc w:val="center"/>
                    <w:rPr>
                      <w:rFonts w:hint="default" w:eastAsia="宋体"/>
                      <w:b/>
                      <w:color w:val="auto"/>
                      <w:szCs w:val="21"/>
                      <w:highlight w:val="none"/>
                      <w:lang w:val="en-US" w:eastAsia="zh-CN"/>
                    </w:rPr>
                  </w:pPr>
                  <w:r>
                    <w:rPr>
                      <w:rFonts w:hint="eastAsia"/>
                      <w:b/>
                      <w:color w:val="auto"/>
                      <w:szCs w:val="21"/>
                      <w:highlight w:val="none"/>
                      <w:lang w:val="en-US" w:eastAsia="zh-CN"/>
                    </w:rPr>
                    <w:t>TN</w:t>
                  </w:r>
                </w:p>
              </w:tc>
            </w:tr>
            <w:tr w14:paraId="5BF1B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93" w:type="pct"/>
                  <w:noWrap w:val="0"/>
                  <w:vAlign w:val="center"/>
                </w:tcPr>
                <w:p w14:paraId="18100CBE">
                  <w:pPr>
                    <w:jc w:val="center"/>
                    <w:rPr>
                      <w:color w:val="auto"/>
                      <w:szCs w:val="21"/>
                      <w:highlight w:val="none"/>
                    </w:rPr>
                  </w:pPr>
                  <w:r>
                    <w:rPr>
                      <w:color w:val="auto"/>
                      <w:szCs w:val="21"/>
                      <w:highlight w:val="none"/>
                    </w:rPr>
                    <w:t>（GB8978-1996）三级标准</w:t>
                  </w:r>
                </w:p>
              </w:tc>
              <w:tc>
                <w:tcPr>
                  <w:tcW w:w="556" w:type="pct"/>
                  <w:noWrap w:val="0"/>
                  <w:vAlign w:val="center"/>
                </w:tcPr>
                <w:p w14:paraId="4DF84E70">
                  <w:pPr>
                    <w:jc w:val="center"/>
                    <w:rPr>
                      <w:color w:val="auto"/>
                      <w:szCs w:val="21"/>
                      <w:highlight w:val="none"/>
                    </w:rPr>
                  </w:pPr>
                  <w:r>
                    <w:rPr>
                      <w:color w:val="auto"/>
                      <w:szCs w:val="21"/>
                      <w:highlight w:val="none"/>
                    </w:rPr>
                    <w:t>500</w:t>
                  </w:r>
                </w:p>
              </w:tc>
              <w:tc>
                <w:tcPr>
                  <w:tcW w:w="610" w:type="pct"/>
                  <w:noWrap w:val="0"/>
                  <w:vAlign w:val="center"/>
                </w:tcPr>
                <w:p w14:paraId="7E8E1345">
                  <w:pPr>
                    <w:jc w:val="center"/>
                    <w:rPr>
                      <w:color w:val="auto"/>
                      <w:szCs w:val="21"/>
                      <w:highlight w:val="none"/>
                    </w:rPr>
                  </w:pPr>
                  <w:r>
                    <w:rPr>
                      <w:color w:val="auto"/>
                      <w:szCs w:val="21"/>
                      <w:highlight w:val="none"/>
                    </w:rPr>
                    <w:t>300</w:t>
                  </w:r>
                </w:p>
              </w:tc>
              <w:tc>
                <w:tcPr>
                  <w:tcW w:w="610" w:type="pct"/>
                  <w:noWrap w:val="0"/>
                  <w:vAlign w:val="center"/>
                </w:tcPr>
                <w:p w14:paraId="05F45C3E">
                  <w:pPr>
                    <w:jc w:val="center"/>
                    <w:rPr>
                      <w:color w:val="auto"/>
                      <w:kern w:val="2"/>
                      <w:sz w:val="21"/>
                      <w:szCs w:val="21"/>
                      <w:highlight w:val="none"/>
                      <w:lang w:val="en-US" w:eastAsia="zh-CN" w:bidi="ar-SA"/>
                    </w:rPr>
                  </w:pPr>
                  <w:r>
                    <w:rPr>
                      <w:color w:val="auto"/>
                      <w:szCs w:val="21"/>
                      <w:highlight w:val="none"/>
                    </w:rPr>
                    <w:t>400</w:t>
                  </w:r>
                </w:p>
              </w:tc>
              <w:tc>
                <w:tcPr>
                  <w:tcW w:w="507" w:type="pct"/>
                  <w:noWrap w:val="0"/>
                  <w:vAlign w:val="center"/>
                </w:tcPr>
                <w:p w14:paraId="6742D043">
                  <w:pPr>
                    <w:jc w:val="center"/>
                    <w:rPr>
                      <w:color w:val="auto"/>
                      <w:kern w:val="2"/>
                      <w:sz w:val="21"/>
                      <w:szCs w:val="21"/>
                      <w:highlight w:val="none"/>
                      <w:lang w:val="en-US" w:eastAsia="zh-CN" w:bidi="ar-SA"/>
                    </w:rPr>
                  </w:pPr>
                  <w:r>
                    <w:rPr>
                      <w:color w:val="auto"/>
                      <w:szCs w:val="21"/>
                      <w:highlight w:val="none"/>
                    </w:rPr>
                    <w:t>/</w:t>
                  </w:r>
                </w:p>
              </w:tc>
              <w:tc>
                <w:tcPr>
                  <w:tcW w:w="610" w:type="pct"/>
                  <w:noWrap w:val="0"/>
                  <w:vAlign w:val="center"/>
                </w:tcPr>
                <w:p w14:paraId="19B07E92">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610" w:type="pct"/>
                  <w:noWrap w:val="0"/>
                  <w:vAlign w:val="center"/>
                </w:tcPr>
                <w:p w14:paraId="2D55D3E3">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232FE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93" w:type="pct"/>
                  <w:noWrap w:val="0"/>
                  <w:vAlign w:val="center"/>
                </w:tcPr>
                <w:p w14:paraId="25BBEF31">
                  <w:pPr>
                    <w:jc w:val="center"/>
                    <w:rPr>
                      <w:color w:val="auto"/>
                      <w:szCs w:val="21"/>
                      <w:highlight w:val="none"/>
                    </w:rPr>
                  </w:pPr>
                  <w:r>
                    <w:rPr>
                      <w:color w:val="auto"/>
                      <w:szCs w:val="21"/>
                      <w:highlight w:val="none"/>
                    </w:rPr>
                    <w:t>（GB/T31962-2015）中B级标准</w:t>
                  </w:r>
                </w:p>
              </w:tc>
              <w:tc>
                <w:tcPr>
                  <w:tcW w:w="556" w:type="pct"/>
                  <w:noWrap w:val="0"/>
                  <w:vAlign w:val="center"/>
                </w:tcPr>
                <w:p w14:paraId="2378EA77">
                  <w:pPr>
                    <w:jc w:val="center"/>
                    <w:rPr>
                      <w:color w:val="auto"/>
                      <w:szCs w:val="21"/>
                      <w:highlight w:val="none"/>
                    </w:rPr>
                  </w:pPr>
                  <w:r>
                    <w:rPr>
                      <w:rFonts w:hint="eastAsia"/>
                      <w:color w:val="auto"/>
                      <w:szCs w:val="21"/>
                      <w:highlight w:val="none"/>
                    </w:rPr>
                    <w:t>500</w:t>
                  </w:r>
                </w:p>
              </w:tc>
              <w:tc>
                <w:tcPr>
                  <w:tcW w:w="610" w:type="pct"/>
                  <w:noWrap w:val="0"/>
                  <w:vAlign w:val="center"/>
                </w:tcPr>
                <w:p w14:paraId="0E9A773F">
                  <w:pPr>
                    <w:jc w:val="center"/>
                    <w:rPr>
                      <w:color w:val="auto"/>
                      <w:szCs w:val="21"/>
                      <w:highlight w:val="none"/>
                    </w:rPr>
                  </w:pPr>
                  <w:r>
                    <w:rPr>
                      <w:rFonts w:hint="eastAsia"/>
                      <w:color w:val="auto"/>
                      <w:szCs w:val="21"/>
                      <w:highlight w:val="none"/>
                    </w:rPr>
                    <w:t>350</w:t>
                  </w:r>
                </w:p>
              </w:tc>
              <w:tc>
                <w:tcPr>
                  <w:tcW w:w="610" w:type="pct"/>
                  <w:noWrap w:val="0"/>
                  <w:vAlign w:val="center"/>
                </w:tcPr>
                <w:p w14:paraId="116ACA9C">
                  <w:pPr>
                    <w:jc w:val="center"/>
                    <w:rPr>
                      <w:rFonts w:hint="eastAsia"/>
                      <w:color w:val="auto"/>
                      <w:kern w:val="2"/>
                      <w:sz w:val="21"/>
                      <w:szCs w:val="21"/>
                      <w:highlight w:val="none"/>
                      <w:lang w:val="en-US" w:eastAsia="zh-CN" w:bidi="ar-SA"/>
                    </w:rPr>
                  </w:pPr>
                  <w:r>
                    <w:rPr>
                      <w:rFonts w:hint="eastAsia"/>
                      <w:color w:val="auto"/>
                      <w:szCs w:val="21"/>
                      <w:highlight w:val="none"/>
                    </w:rPr>
                    <w:t>/</w:t>
                  </w:r>
                </w:p>
              </w:tc>
              <w:tc>
                <w:tcPr>
                  <w:tcW w:w="507" w:type="pct"/>
                  <w:noWrap w:val="0"/>
                  <w:vAlign w:val="center"/>
                </w:tcPr>
                <w:p w14:paraId="6647CC69">
                  <w:pPr>
                    <w:jc w:val="center"/>
                    <w:rPr>
                      <w:rFonts w:hint="eastAsia"/>
                      <w:color w:val="auto"/>
                      <w:kern w:val="2"/>
                      <w:sz w:val="21"/>
                      <w:szCs w:val="21"/>
                      <w:highlight w:val="none"/>
                      <w:lang w:val="en-US" w:eastAsia="zh-CN" w:bidi="ar-SA"/>
                    </w:rPr>
                  </w:pPr>
                  <w:r>
                    <w:rPr>
                      <w:rFonts w:hint="eastAsia"/>
                      <w:color w:val="auto"/>
                      <w:szCs w:val="21"/>
                      <w:highlight w:val="none"/>
                    </w:rPr>
                    <w:t>45</w:t>
                  </w:r>
                </w:p>
              </w:tc>
              <w:tc>
                <w:tcPr>
                  <w:tcW w:w="610" w:type="pct"/>
                  <w:noWrap w:val="0"/>
                  <w:vAlign w:val="center"/>
                </w:tcPr>
                <w:p w14:paraId="1A01E5B0">
                  <w:pPr>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610" w:type="pct"/>
                  <w:noWrap w:val="0"/>
                  <w:vAlign w:val="center"/>
                </w:tcPr>
                <w:p w14:paraId="09D57A55">
                  <w:pPr>
                    <w:jc w:val="center"/>
                    <w:rPr>
                      <w:rFonts w:hint="default" w:eastAsia="宋体"/>
                      <w:color w:val="auto"/>
                      <w:szCs w:val="21"/>
                      <w:highlight w:val="none"/>
                      <w:lang w:val="en-US" w:eastAsia="zh-CN"/>
                    </w:rPr>
                  </w:pPr>
                  <w:r>
                    <w:rPr>
                      <w:rFonts w:hint="eastAsia"/>
                      <w:color w:val="auto"/>
                      <w:szCs w:val="21"/>
                      <w:highlight w:val="none"/>
                      <w:lang w:val="en-US" w:eastAsia="zh-CN"/>
                    </w:rPr>
                    <w:t>70</w:t>
                  </w:r>
                </w:p>
              </w:tc>
            </w:tr>
          </w:tbl>
          <w:p w14:paraId="4AEBBF72">
            <w:pPr>
              <w:spacing w:before="120" w:beforeLines="50" w:line="360" w:lineRule="auto"/>
              <w:ind w:firstLine="482" w:firstLineChars="200"/>
              <w:rPr>
                <w:b/>
                <w:bCs/>
                <w:color w:val="auto"/>
                <w:sz w:val="24"/>
              </w:rPr>
            </w:pPr>
            <w:r>
              <w:rPr>
                <w:rFonts w:hint="eastAsia"/>
                <w:b/>
                <w:bCs/>
                <w:color w:val="auto"/>
                <w:sz w:val="24"/>
              </w:rPr>
              <w:t>3</w:t>
            </w:r>
            <w:r>
              <w:rPr>
                <w:b/>
                <w:bCs/>
                <w:color w:val="auto"/>
                <w:sz w:val="24"/>
              </w:rPr>
              <w:t>、噪声</w:t>
            </w:r>
          </w:p>
          <w:p w14:paraId="74B4488F">
            <w:pPr>
              <w:spacing w:line="360" w:lineRule="auto"/>
              <w:ind w:firstLine="480" w:firstLineChars="200"/>
              <w:rPr>
                <w:rFonts w:hint="eastAsia" w:eastAsia="宋体"/>
                <w:bCs/>
                <w:color w:val="auto"/>
                <w:sz w:val="24"/>
                <w:lang w:eastAsia="zh-CN"/>
              </w:rPr>
            </w:pPr>
            <w:r>
              <w:rPr>
                <w:rFonts w:hint="eastAsia"/>
                <w:bCs/>
                <w:color w:val="auto"/>
                <w:sz w:val="24"/>
              </w:rPr>
              <w:t>施工期噪声执行《建筑施工场界环境噪声排放标准》（GB12523-2011）中的相关要求</w:t>
            </w:r>
            <w:r>
              <w:rPr>
                <w:rFonts w:hint="eastAsia"/>
                <w:bCs/>
                <w:color w:val="auto"/>
                <w:sz w:val="24"/>
                <w:lang w:eastAsia="zh-CN"/>
              </w:rPr>
              <w:t>。</w:t>
            </w:r>
          </w:p>
          <w:p w14:paraId="28AC450F">
            <w:pPr>
              <w:spacing w:line="360" w:lineRule="auto"/>
              <w:ind w:firstLine="480" w:firstLineChars="200"/>
              <w:rPr>
                <w:bCs/>
                <w:color w:val="auto"/>
                <w:sz w:val="24"/>
              </w:rPr>
            </w:pPr>
            <w:r>
              <w:rPr>
                <w:rFonts w:hint="eastAsia"/>
                <w:bCs/>
                <w:color w:val="auto"/>
                <w:sz w:val="24"/>
              </w:rPr>
              <w:t>本项目位于</w:t>
            </w:r>
            <w:r>
              <w:rPr>
                <w:rFonts w:hint="eastAsia"/>
                <w:bCs/>
                <w:color w:val="auto"/>
                <w:sz w:val="24"/>
                <w:lang w:eastAsia="zh-CN"/>
              </w:rPr>
              <w:t>泾河新城美国科技产业园宝信园区</w:t>
            </w:r>
            <w:r>
              <w:rPr>
                <w:rFonts w:hint="eastAsia"/>
                <w:bCs/>
                <w:color w:val="auto"/>
                <w:sz w:val="24"/>
              </w:rPr>
              <w:t>，对比《西咸新区声环境功能区划方案》，项目位于</w:t>
            </w:r>
            <w:r>
              <w:rPr>
                <w:rFonts w:hint="eastAsia"/>
                <w:bCs/>
                <w:color w:val="auto"/>
                <w:sz w:val="24"/>
                <w:lang w:val="en-US" w:eastAsia="zh-CN"/>
              </w:rPr>
              <w:t>庞家村</w:t>
            </w:r>
            <w:r>
              <w:rPr>
                <w:rFonts w:hint="eastAsia"/>
                <w:bCs/>
                <w:color w:val="auto"/>
                <w:sz w:val="24"/>
              </w:rPr>
              <w:t>片区，属于3类声功能区，因此</w:t>
            </w:r>
            <w:r>
              <w:rPr>
                <w:bCs/>
                <w:color w:val="auto"/>
                <w:sz w:val="24"/>
              </w:rPr>
              <w:t>运营期厂界噪声执行《工业企业厂界环境噪声排放标准》（GB 12348-2008）</w:t>
            </w:r>
            <w:r>
              <w:rPr>
                <w:rFonts w:hint="eastAsia"/>
                <w:bCs/>
                <w:color w:val="auto"/>
                <w:sz w:val="24"/>
              </w:rPr>
              <w:t>3</w:t>
            </w:r>
            <w:r>
              <w:rPr>
                <w:bCs/>
                <w:color w:val="auto"/>
                <w:sz w:val="24"/>
              </w:rPr>
              <w:t>类标准。</w:t>
            </w:r>
          </w:p>
          <w:p w14:paraId="067DD9ED">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3-</w:t>
            </w:r>
            <w:r>
              <w:rPr>
                <w:rFonts w:hint="eastAsia" w:hAnsi="Times New Roman" w:cs="Times New Roman"/>
                <w:b/>
                <w:bCs/>
                <w:color w:val="auto"/>
                <w:kern w:val="21"/>
                <w:szCs w:val="24"/>
                <w:lang w:val="en-US" w:eastAsia="zh-CN"/>
              </w:rPr>
              <w:t>6</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w:t>
            </w:r>
            <w:r>
              <w:rPr>
                <w:rFonts w:hAnsi="Times New Roman" w:cs="Times New Roman"/>
                <w:b/>
                <w:bCs/>
                <w:color w:val="auto"/>
                <w:kern w:val="21"/>
                <w:szCs w:val="24"/>
              </w:rPr>
              <w:t>噪声排放标准</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701"/>
              <w:gridCol w:w="2316"/>
              <w:gridCol w:w="1620"/>
            </w:tblGrid>
            <w:tr w14:paraId="049CB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79" w:type="pct"/>
                  <w:vMerge w:val="restart"/>
                  <w:noWrap w:val="0"/>
                  <w:tcMar>
                    <w:top w:w="0" w:type="dxa"/>
                    <w:left w:w="57" w:type="dxa"/>
                    <w:bottom w:w="0" w:type="dxa"/>
                    <w:right w:w="57" w:type="dxa"/>
                  </w:tcMar>
                  <w:vAlign w:val="center"/>
                </w:tcPr>
                <w:p w14:paraId="4ED485A6">
                  <w:pPr>
                    <w:adjustRightInd w:val="0"/>
                    <w:snapToGrid w:val="0"/>
                    <w:jc w:val="center"/>
                    <w:rPr>
                      <w:b/>
                      <w:color w:val="auto"/>
                      <w:kern w:val="0"/>
                      <w:szCs w:val="21"/>
                    </w:rPr>
                  </w:pPr>
                  <w:r>
                    <w:rPr>
                      <w:b/>
                      <w:color w:val="auto"/>
                      <w:kern w:val="0"/>
                      <w:szCs w:val="21"/>
                    </w:rPr>
                    <w:t>项目阶段</w:t>
                  </w:r>
                </w:p>
              </w:tc>
              <w:tc>
                <w:tcPr>
                  <w:tcW w:w="1676" w:type="pct"/>
                  <w:vMerge w:val="restart"/>
                  <w:noWrap w:val="0"/>
                  <w:vAlign w:val="center"/>
                </w:tcPr>
                <w:p w14:paraId="685B22E7">
                  <w:pPr>
                    <w:adjustRightInd w:val="0"/>
                    <w:snapToGrid w:val="0"/>
                    <w:jc w:val="center"/>
                    <w:rPr>
                      <w:b/>
                      <w:color w:val="auto"/>
                      <w:kern w:val="0"/>
                      <w:szCs w:val="21"/>
                    </w:rPr>
                  </w:pPr>
                  <w:r>
                    <w:rPr>
                      <w:b/>
                      <w:color w:val="auto"/>
                      <w:kern w:val="0"/>
                      <w:szCs w:val="21"/>
                    </w:rPr>
                    <w:t>功能类别</w:t>
                  </w:r>
                </w:p>
              </w:tc>
              <w:tc>
                <w:tcPr>
                  <w:tcW w:w="2443" w:type="pct"/>
                  <w:gridSpan w:val="2"/>
                  <w:noWrap w:val="0"/>
                  <w:vAlign w:val="center"/>
                </w:tcPr>
                <w:p w14:paraId="5F202A2A">
                  <w:pPr>
                    <w:adjustRightInd w:val="0"/>
                    <w:snapToGrid w:val="0"/>
                    <w:jc w:val="center"/>
                    <w:rPr>
                      <w:b/>
                      <w:color w:val="auto"/>
                      <w:kern w:val="0"/>
                      <w:szCs w:val="21"/>
                    </w:rPr>
                  </w:pPr>
                  <w:r>
                    <w:rPr>
                      <w:b/>
                      <w:color w:val="auto"/>
                      <w:kern w:val="0"/>
                      <w:szCs w:val="21"/>
                    </w:rPr>
                    <w:t>限值</w:t>
                  </w:r>
                  <w:r>
                    <w:rPr>
                      <w:b/>
                      <w:bCs/>
                      <w:color w:val="auto"/>
                      <w:kern w:val="0"/>
                      <w:szCs w:val="21"/>
                    </w:rPr>
                    <w:t>dB(A)</w:t>
                  </w:r>
                </w:p>
              </w:tc>
            </w:tr>
            <w:tr w14:paraId="51144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79" w:type="pct"/>
                  <w:vMerge w:val="continue"/>
                  <w:noWrap w:val="0"/>
                  <w:tcMar>
                    <w:top w:w="0" w:type="dxa"/>
                    <w:left w:w="57" w:type="dxa"/>
                    <w:bottom w:w="0" w:type="dxa"/>
                    <w:right w:w="57" w:type="dxa"/>
                  </w:tcMar>
                  <w:vAlign w:val="center"/>
                </w:tcPr>
                <w:p w14:paraId="08DC8E89">
                  <w:pPr>
                    <w:adjustRightInd w:val="0"/>
                    <w:snapToGrid w:val="0"/>
                    <w:jc w:val="center"/>
                    <w:rPr>
                      <w:b/>
                      <w:color w:val="auto"/>
                      <w:kern w:val="0"/>
                      <w:szCs w:val="21"/>
                    </w:rPr>
                  </w:pPr>
                </w:p>
              </w:tc>
              <w:tc>
                <w:tcPr>
                  <w:tcW w:w="1676" w:type="pct"/>
                  <w:vMerge w:val="continue"/>
                  <w:noWrap w:val="0"/>
                  <w:vAlign w:val="center"/>
                </w:tcPr>
                <w:p w14:paraId="63F7D6A6">
                  <w:pPr>
                    <w:adjustRightInd w:val="0"/>
                    <w:snapToGrid w:val="0"/>
                    <w:jc w:val="center"/>
                    <w:rPr>
                      <w:b/>
                      <w:color w:val="auto"/>
                      <w:kern w:val="0"/>
                      <w:szCs w:val="21"/>
                    </w:rPr>
                  </w:pPr>
                </w:p>
              </w:tc>
              <w:tc>
                <w:tcPr>
                  <w:tcW w:w="1437" w:type="pct"/>
                  <w:noWrap w:val="0"/>
                  <w:vAlign w:val="center"/>
                </w:tcPr>
                <w:p w14:paraId="740A1B62">
                  <w:pPr>
                    <w:adjustRightInd w:val="0"/>
                    <w:snapToGrid w:val="0"/>
                    <w:jc w:val="center"/>
                    <w:rPr>
                      <w:b/>
                      <w:bCs/>
                      <w:color w:val="auto"/>
                      <w:kern w:val="0"/>
                      <w:szCs w:val="21"/>
                    </w:rPr>
                  </w:pPr>
                  <w:r>
                    <w:rPr>
                      <w:b/>
                      <w:bCs/>
                      <w:color w:val="auto"/>
                      <w:kern w:val="0"/>
                      <w:szCs w:val="21"/>
                    </w:rPr>
                    <w:t>昼间</w:t>
                  </w:r>
                </w:p>
              </w:tc>
              <w:tc>
                <w:tcPr>
                  <w:tcW w:w="1005" w:type="pct"/>
                  <w:noWrap w:val="0"/>
                  <w:vAlign w:val="center"/>
                </w:tcPr>
                <w:p w14:paraId="5C1739AF">
                  <w:pPr>
                    <w:adjustRightInd w:val="0"/>
                    <w:snapToGrid w:val="0"/>
                    <w:jc w:val="center"/>
                    <w:rPr>
                      <w:b/>
                      <w:bCs/>
                      <w:color w:val="auto"/>
                      <w:kern w:val="0"/>
                      <w:szCs w:val="21"/>
                    </w:rPr>
                  </w:pPr>
                  <w:r>
                    <w:rPr>
                      <w:b/>
                      <w:bCs/>
                      <w:color w:val="auto"/>
                      <w:kern w:val="0"/>
                      <w:szCs w:val="21"/>
                    </w:rPr>
                    <w:t>夜间</w:t>
                  </w:r>
                </w:p>
              </w:tc>
            </w:tr>
            <w:tr w14:paraId="14E66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9" w:type="pct"/>
                  <w:noWrap w:val="0"/>
                  <w:tcMar>
                    <w:top w:w="0" w:type="dxa"/>
                    <w:left w:w="57" w:type="dxa"/>
                    <w:bottom w:w="0" w:type="dxa"/>
                    <w:right w:w="57" w:type="dxa"/>
                  </w:tcMar>
                  <w:vAlign w:val="center"/>
                </w:tcPr>
                <w:p w14:paraId="1EABA570">
                  <w:pPr>
                    <w:adjustRightInd w:val="0"/>
                    <w:snapToGrid w:val="0"/>
                    <w:jc w:val="center"/>
                    <w:rPr>
                      <w:color w:val="auto"/>
                      <w:kern w:val="0"/>
                      <w:sz w:val="21"/>
                      <w:szCs w:val="21"/>
                      <w:lang w:val="en-US" w:eastAsia="zh-CN" w:bidi="ar-SA"/>
                    </w:rPr>
                  </w:pPr>
                  <w:r>
                    <w:rPr>
                      <w:rFonts w:hint="eastAsia"/>
                      <w:color w:val="auto"/>
                      <w:kern w:val="0"/>
                      <w:szCs w:val="21"/>
                    </w:rPr>
                    <w:t>施工期</w:t>
                  </w:r>
                </w:p>
              </w:tc>
              <w:tc>
                <w:tcPr>
                  <w:tcW w:w="1676" w:type="pct"/>
                  <w:noWrap w:val="0"/>
                  <w:vAlign w:val="center"/>
                </w:tcPr>
                <w:p w14:paraId="62AE20E2">
                  <w:pPr>
                    <w:adjustRightInd w:val="0"/>
                    <w:snapToGrid w:val="0"/>
                    <w:jc w:val="center"/>
                    <w:rPr>
                      <w:rFonts w:hint="eastAsia"/>
                      <w:color w:val="auto"/>
                      <w:kern w:val="0"/>
                      <w:sz w:val="21"/>
                      <w:szCs w:val="21"/>
                      <w:lang w:val="en-US" w:eastAsia="zh-CN" w:bidi="ar-SA"/>
                    </w:rPr>
                  </w:pPr>
                  <w:r>
                    <w:rPr>
                      <w:rFonts w:hint="eastAsia"/>
                      <w:color w:val="auto"/>
                      <w:kern w:val="0"/>
                      <w:szCs w:val="21"/>
                    </w:rPr>
                    <w:t>/</w:t>
                  </w:r>
                </w:p>
              </w:tc>
              <w:tc>
                <w:tcPr>
                  <w:tcW w:w="1437" w:type="pct"/>
                  <w:noWrap w:val="0"/>
                  <w:vAlign w:val="center"/>
                </w:tcPr>
                <w:p w14:paraId="3619F984">
                  <w:pPr>
                    <w:adjustRightInd w:val="0"/>
                    <w:snapToGrid w:val="0"/>
                    <w:jc w:val="center"/>
                    <w:rPr>
                      <w:rFonts w:hint="eastAsia"/>
                      <w:color w:val="auto"/>
                      <w:kern w:val="0"/>
                      <w:sz w:val="21"/>
                      <w:szCs w:val="21"/>
                      <w:lang w:val="en-US" w:eastAsia="zh-CN" w:bidi="ar-SA"/>
                    </w:rPr>
                  </w:pPr>
                  <w:r>
                    <w:rPr>
                      <w:rFonts w:hint="eastAsia"/>
                      <w:color w:val="auto"/>
                      <w:kern w:val="0"/>
                      <w:szCs w:val="21"/>
                    </w:rPr>
                    <w:t>70</w:t>
                  </w:r>
                </w:p>
              </w:tc>
              <w:tc>
                <w:tcPr>
                  <w:tcW w:w="1005" w:type="pct"/>
                  <w:noWrap w:val="0"/>
                  <w:vAlign w:val="center"/>
                </w:tcPr>
                <w:p w14:paraId="782D0855">
                  <w:pPr>
                    <w:adjustRightInd w:val="0"/>
                    <w:snapToGrid w:val="0"/>
                    <w:jc w:val="center"/>
                    <w:rPr>
                      <w:rFonts w:hint="eastAsia"/>
                      <w:color w:val="auto"/>
                      <w:kern w:val="0"/>
                      <w:sz w:val="21"/>
                      <w:szCs w:val="21"/>
                      <w:lang w:val="en-US" w:eastAsia="zh-CN" w:bidi="ar-SA"/>
                    </w:rPr>
                  </w:pPr>
                  <w:r>
                    <w:rPr>
                      <w:rFonts w:hint="eastAsia"/>
                      <w:color w:val="auto"/>
                      <w:kern w:val="0"/>
                      <w:szCs w:val="21"/>
                    </w:rPr>
                    <w:t>55</w:t>
                  </w:r>
                </w:p>
              </w:tc>
            </w:tr>
            <w:tr w14:paraId="71172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9" w:type="pct"/>
                  <w:noWrap w:val="0"/>
                  <w:tcMar>
                    <w:top w:w="0" w:type="dxa"/>
                    <w:left w:w="57" w:type="dxa"/>
                    <w:bottom w:w="0" w:type="dxa"/>
                    <w:right w:w="57" w:type="dxa"/>
                  </w:tcMar>
                  <w:vAlign w:val="center"/>
                </w:tcPr>
                <w:p w14:paraId="1D94FD6E">
                  <w:pPr>
                    <w:adjustRightInd w:val="0"/>
                    <w:snapToGrid w:val="0"/>
                    <w:jc w:val="center"/>
                    <w:rPr>
                      <w:color w:val="auto"/>
                      <w:kern w:val="0"/>
                      <w:szCs w:val="21"/>
                    </w:rPr>
                  </w:pPr>
                  <w:r>
                    <w:rPr>
                      <w:color w:val="auto"/>
                      <w:kern w:val="0"/>
                      <w:szCs w:val="21"/>
                    </w:rPr>
                    <w:t>运营期</w:t>
                  </w:r>
                </w:p>
              </w:tc>
              <w:tc>
                <w:tcPr>
                  <w:tcW w:w="1676" w:type="pct"/>
                  <w:noWrap w:val="0"/>
                  <w:vAlign w:val="center"/>
                </w:tcPr>
                <w:p w14:paraId="311B09F1">
                  <w:pPr>
                    <w:adjustRightInd w:val="0"/>
                    <w:snapToGrid w:val="0"/>
                    <w:jc w:val="center"/>
                    <w:rPr>
                      <w:rFonts w:hint="eastAsia"/>
                      <w:color w:val="auto"/>
                      <w:kern w:val="0"/>
                      <w:szCs w:val="21"/>
                    </w:rPr>
                  </w:pPr>
                  <w:r>
                    <w:rPr>
                      <w:rFonts w:hint="eastAsia"/>
                      <w:color w:val="auto"/>
                      <w:kern w:val="0"/>
                      <w:szCs w:val="21"/>
                      <w:lang w:val="en-US" w:eastAsia="zh-CN"/>
                    </w:rPr>
                    <w:t>3</w:t>
                  </w:r>
                  <w:r>
                    <w:rPr>
                      <w:color w:val="auto"/>
                      <w:kern w:val="0"/>
                      <w:szCs w:val="21"/>
                    </w:rPr>
                    <w:t>类</w:t>
                  </w:r>
                </w:p>
              </w:tc>
              <w:tc>
                <w:tcPr>
                  <w:tcW w:w="1437" w:type="pct"/>
                  <w:noWrap w:val="0"/>
                  <w:vAlign w:val="center"/>
                </w:tcPr>
                <w:p w14:paraId="57D9297C">
                  <w:pPr>
                    <w:adjustRightInd w:val="0"/>
                    <w:snapToGrid w:val="0"/>
                    <w:jc w:val="center"/>
                    <w:rPr>
                      <w:rFonts w:hint="eastAsia" w:eastAsia="宋体"/>
                      <w:color w:val="auto"/>
                      <w:kern w:val="0"/>
                      <w:szCs w:val="21"/>
                      <w:lang w:eastAsia="zh-CN"/>
                    </w:rPr>
                  </w:pPr>
                  <w:r>
                    <w:rPr>
                      <w:rFonts w:hint="eastAsia"/>
                      <w:color w:val="auto"/>
                      <w:kern w:val="0"/>
                      <w:szCs w:val="21"/>
                    </w:rPr>
                    <w:t>6</w:t>
                  </w:r>
                  <w:r>
                    <w:rPr>
                      <w:rFonts w:hint="eastAsia"/>
                      <w:color w:val="auto"/>
                      <w:kern w:val="0"/>
                      <w:szCs w:val="21"/>
                      <w:lang w:val="en-US" w:eastAsia="zh-CN"/>
                    </w:rPr>
                    <w:t>5</w:t>
                  </w:r>
                </w:p>
              </w:tc>
              <w:tc>
                <w:tcPr>
                  <w:tcW w:w="1005" w:type="pct"/>
                  <w:noWrap w:val="0"/>
                  <w:vAlign w:val="center"/>
                </w:tcPr>
                <w:p w14:paraId="709D93F9">
                  <w:pPr>
                    <w:adjustRightInd w:val="0"/>
                    <w:snapToGrid w:val="0"/>
                    <w:jc w:val="center"/>
                    <w:rPr>
                      <w:rFonts w:hint="eastAsia" w:eastAsia="宋体"/>
                      <w:color w:val="auto"/>
                      <w:kern w:val="0"/>
                      <w:szCs w:val="21"/>
                      <w:lang w:eastAsia="zh-CN"/>
                    </w:rPr>
                  </w:pPr>
                  <w:r>
                    <w:rPr>
                      <w:rFonts w:hint="eastAsia"/>
                      <w:color w:val="auto"/>
                      <w:kern w:val="0"/>
                      <w:szCs w:val="21"/>
                    </w:rPr>
                    <w:t>5</w:t>
                  </w:r>
                  <w:r>
                    <w:rPr>
                      <w:rFonts w:hint="eastAsia"/>
                      <w:color w:val="auto"/>
                      <w:kern w:val="0"/>
                      <w:szCs w:val="21"/>
                      <w:lang w:val="en-US" w:eastAsia="zh-CN"/>
                    </w:rPr>
                    <w:t>5</w:t>
                  </w:r>
                </w:p>
              </w:tc>
            </w:tr>
          </w:tbl>
          <w:p w14:paraId="4BC7DD71">
            <w:pPr>
              <w:spacing w:line="480" w:lineRule="exact"/>
              <w:ind w:firstLine="482" w:firstLineChars="200"/>
              <w:rPr>
                <w:b/>
                <w:bCs/>
                <w:color w:val="auto"/>
                <w:sz w:val="24"/>
              </w:rPr>
            </w:pPr>
            <w:r>
              <w:rPr>
                <w:rFonts w:hint="eastAsia"/>
                <w:b/>
                <w:bCs/>
                <w:color w:val="auto"/>
                <w:sz w:val="24"/>
              </w:rPr>
              <w:t>4</w:t>
            </w:r>
            <w:r>
              <w:rPr>
                <w:b/>
                <w:bCs/>
                <w:color w:val="auto"/>
                <w:sz w:val="24"/>
              </w:rPr>
              <w:t>、固废</w:t>
            </w:r>
          </w:p>
          <w:p w14:paraId="117C43BC">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color w:val="auto"/>
                <w:kern w:val="0"/>
                <w:szCs w:val="21"/>
              </w:rPr>
            </w:pPr>
            <w:r>
              <w:rPr>
                <w:rFonts w:hint="eastAsia"/>
                <w:color w:val="auto"/>
                <w:sz w:val="24"/>
              </w:rPr>
              <w:t>一般工业固体废物执行</w:t>
            </w:r>
            <w:r>
              <w:rPr>
                <w:color w:val="auto"/>
                <w:sz w:val="24"/>
              </w:rPr>
              <w:t>《一般工业固体废物贮存和填埋污染控制标准》（GB18599-2020）、危险废物执行《危险废物贮存污染控制标准》（GB18597-2023）中相关规定</w:t>
            </w:r>
            <w:r>
              <w:rPr>
                <w:rFonts w:hint="eastAsia"/>
                <w:color w:val="auto"/>
                <w:sz w:val="24"/>
              </w:rPr>
              <w:t>。</w:t>
            </w:r>
          </w:p>
        </w:tc>
      </w:tr>
      <w:tr w14:paraId="213DB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noWrap w:val="0"/>
            <w:vAlign w:val="center"/>
          </w:tcPr>
          <w:p w14:paraId="11B13C1C">
            <w:pPr>
              <w:adjustRightInd w:val="0"/>
              <w:snapToGrid w:val="0"/>
              <w:jc w:val="center"/>
              <w:rPr>
                <w:color w:val="auto"/>
                <w:kern w:val="0"/>
                <w:szCs w:val="21"/>
              </w:rPr>
            </w:pPr>
            <w:r>
              <w:rPr>
                <w:color w:val="auto"/>
                <w:kern w:val="0"/>
                <w:sz w:val="24"/>
              </w:rPr>
              <w:t>总量控制指标</w:t>
            </w:r>
          </w:p>
        </w:tc>
        <w:tc>
          <w:tcPr>
            <w:tcW w:w="8190" w:type="dxa"/>
            <w:noWrap w:val="0"/>
            <w:vAlign w:val="center"/>
          </w:tcPr>
          <w:p w14:paraId="316CE1CA">
            <w:pPr>
              <w:pStyle w:val="6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Ansi="Times New Roman" w:cs="Times New Roman"/>
                <w:color w:val="auto"/>
                <w:kern w:val="0"/>
              </w:rPr>
            </w:pPr>
            <w:r>
              <w:rPr>
                <w:rFonts w:hAnsi="Times New Roman" w:cs="Times New Roman"/>
                <w:color w:val="auto"/>
                <w:kern w:val="0"/>
              </w:rPr>
              <w:t>根据</w:t>
            </w:r>
            <w:r>
              <w:rPr>
                <w:rFonts w:hint="eastAsia" w:hAnsi="Times New Roman" w:cs="Times New Roman"/>
                <w:color w:val="auto"/>
                <w:kern w:val="0"/>
              </w:rPr>
              <w:t>“</w:t>
            </w:r>
            <w:r>
              <w:rPr>
                <w:rFonts w:hAnsi="Times New Roman" w:cs="Times New Roman"/>
                <w:color w:val="auto"/>
                <w:kern w:val="0"/>
              </w:rPr>
              <w:t>十四五</w:t>
            </w:r>
            <w:r>
              <w:rPr>
                <w:rFonts w:hint="eastAsia" w:hAnsi="Times New Roman" w:cs="Times New Roman"/>
                <w:color w:val="auto"/>
                <w:kern w:val="0"/>
              </w:rPr>
              <w:t>”</w:t>
            </w:r>
            <w:r>
              <w:rPr>
                <w:rFonts w:hAnsi="Times New Roman" w:cs="Times New Roman"/>
                <w:color w:val="auto"/>
                <w:kern w:val="0"/>
              </w:rPr>
              <w:t>全国主要污染物排放总量控制中提出的全国主要污染物排放总量控制项目，结合本项目工艺特征和排污特点，确定本项目污染物总量控制因子为：</w:t>
            </w:r>
            <w:r>
              <w:rPr>
                <w:rFonts w:hint="eastAsia" w:hAnsi="Times New Roman" w:cs="Times New Roman"/>
                <w:color w:val="auto"/>
                <w:kern w:val="0"/>
              </w:rPr>
              <w:t>COD、</w:t>
            </w:r>
            <w:r>
              <w:rPr>
                <w:rFonts w:hAnsi="Times New Roman" w:cs="Times New Roman"/>
                <w:color w:val="auto"/>
                <w:kern w:val="0"/>
              </w:rPr>
              <w:t>NH</w:t>
            </w:r>
            <w:r>
              <w:rPr>
                <w:rFonts w:hAnsi="Times New Roman" w:cs="Times New Roman"/>
                <w:color w:val="auto"/>
                <w:kern w:val="0"/>
                <w:vertAlign w:val="subscript"/>
              </w:rPr>
              <w:t>3</w:t>
            </w:r>
            <w:r>
              <w:rPr>
                <w:rFonts w:hAnsi="Times New Roman" w:cs="Times New Roman"/>
                <w:color w:val="auto"/>
                <w:kern w:val="0"/>
              </w:rPr>
              <w:t>-N</w:t>
            </w:r>
            <w:r>
              <w:rPr>
                <w:rFonts w:hint="eastAsia" w:hAnsi="Times New Roman" w:cs="Times New Roman"/>
                <w:color w:val="auto"/>
                <w:kern w:val="0"/>
              </w:rPr>
              <w:t>、</w:t>
            </w:r>
            <w:r>
              <w:rPr>
                <w:rFonts w:hint="eastAsia"/>
                <w:color w:val="auto"/>
                <w:highlight w:val="none"/>
                <w:lang w:val="en-US" w:eastAsia="zh-CN"/>
              </w:rPr>
              <w:t>VOCs</w:t>
            </w:r>
            <w:r>
              <w:rPr>
                <w:rFonts w:hAnsi="Times New Roman" w:cs="Times New Roman"/>
                <w:color w:val="auto"/>
                <w:kern w:val="0"/>
              </w:rPr>
              <w:t>。</w:t>
            </w:r>
          </w:p>
          <w:p w14:paraId="274BE3CC">
            <w:pPr>
              <w:pStyle w:val="6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auto"/>
                <w:kern w:val="0"/>
              </w:rPr>
            </w:pPr>
            <w:r>
              <w:rPr>
                <w:rFonts w:ascii="Times New Roman" w:hAnsi="Times New Roman" w:eastAsia="宋体" w:cs="Times New Roman"/>
                <w:color w:val="auto"/>
                <w:kern w:val="0"/>
              </w:rPr>
              <w:t>本项目</w:t>
            </w:r>
            <w:r>
              <w:rPr>
                <w:rFonts w:hint="eastAsia" w:hAnsi="Times New Roman" w:cs="Times New Roman"/>
                <w:color w:val="auto"/>
                <w:kern w:val="0"/>
                <w:lang w:val="en-US" w:eastAsia="zh-CN"/>
              </w:rPr>
              <w:t>建议总量指标</w:t>
            </w:r>
            <w:r>
              <w:rPr>
                <w:rFonts w:hint="eastAsia" w:ascii="Times New Roman" w:hAnsi="Times New Roman" w:eastAsia="宋体" w:cs="Times New Roman"/>
                <w:color w:val="auto"/>
                <w:kern w:val="0"/>
              </w:rPr>
              <w:t>：</w:t>
            </w:r>
            <w:r>
              <w:rPr>
                <w:rFonts w:hint="eastAsia"/>
                <w:color w:val="auto"/>
                <w:highlight w:val="none"/>
                <w:lang w:val="en-US" w:eastAsia="zh-CN"/>
              </w:rPr>
              <w:t>VOCs</w:t>
            </w:r>
            <w:r>
              <w:rPr>
                <w:rFonts w:ascii="Times New Roman" w:hAnsi="Times New Roman" w:eastAsia="宋体" w:cs="Times New Roman"/>
                <w:color w:val="auto"/>
                <w:kern w:val="0"/>
              </w:rPr>
              <w:t>为</w:t>
            </w:r>
            <w:r>
              <w:rPr>
                <w:rFonts w:hint="eastAsia" w:hAnsi="Times New Roman" w:cs="Times New Roman"/>
                <w:color w:val="auto"/>
                <w:kern w:val="0"/>
                <w:lang w:val="en-US" w:eastAsia="zh-CN"/>
              </w:rPr>
              <w:t>0.924</w:t>
            </w:r>
            <w:bookmarkStart w:id="42" w:name="_GoBack"/>
            <w:bookmarkEnd w:id="42"/>
            <w:r>
              <w:rPr>
                <w:rFonts w:ascii="Times New Roman" w:hAnsi="Times New Roman" w:eastAsia="宋体" w:cs="Times New Roman"/>
                <w:color w:val="auto"/>
                <w:kern w:val="0"/>
              </w:rPr>
              <w:t>t/a</w:t>
            </w:r>
            <w:r>
              <w:rPr>
                <w:rFonts w:hint="eastAsia" w:hAnsi="Times New Roman" w:cs="Times New Roman"/>
                <w:color w:val="auto"/>
                <w:kern w:val="0"/>
                <w:lang w:eastAsia="zh-CN"/>
              </w:rPr>
              <w:t>；</w:t>
            </w:r>
            <w:r>
              <w:rPr>
                <w:rFonts w:hint="eastAsia" w:ascii="Times New Roman" w:hAnsi="Times New Roman" w:eastAsia="宋体" w:cs="Times New Roman"/>
                <w:color w:val="auto"/>
                <w:kern w:val="0"/>
              </w:rPr>
              <w:t>COD为0.089t/a；氨氮为0.0</w:t>
            </w:r>
            <w:r>
              <w:rPr>
                <w:rFonts w:hint="eastAsia" w:hAnsi="Times New Roman" w:cs="Times New Roman"/>
                <w:color w:val="auto"/>
                <w:kern w:val="0"/>
                <w:lang w:val="en-US" w:eastAsia="zh-CN"/>
              </w:rPr>
              <w:t>105</w:t>
            </w:r>
            <w:r>
              <w:rPr>
                <w:rFonts w:hint="eastAsia" w:ascii="Times New Roman" w:hAnsi="Times New Roman" w:eastAsia="宋体" w:cs="Times New Roman"/>
                <w:color w:val="auto"/>
                <w:kern w:val="0"/>
              </w:rPr>
              <w:t>t/a。</w:t>
            </w:r>
          </w:p>
          <w:p w14:paraId="67AB497C">
            <w:pPr>
              <w:pStyle w:val="6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auto"/>
                <w:kern w:val="0"/>
              </w:rPr>
            </w:pPr>
            <w:r>
              <w:rPr>
                <w:rFonts w:ascii="Times New Roman" w:hAnsi="Times New Roman" w:eastAsia="宋体" w:cs="Times New Roman"/>
                <w:color w:val="auto"/>
                <w:kern w:val="0"/>
              </w:rPr>
              <w:t>项目具体总量指标以当地环保部门批准的指标为准。</w:t>
            </w:r>
          </w:p>
          <w:p w14:paraId="08D5D767">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4994CCF0">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3E4AF90E">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7156B228">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09748F61">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60ABA508">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rPr>
            </w:pPr>
          </w:p>
        </w:tc>
      </w:tr>
    </w:tbl>
    <w:p w14:paraId="44B7EA34">
      <w:pPr>
        <w:pStyle w:val="24"/>
        <w:jc w:val="both"/>
        <w:outlineLvl w:val="0"/>
        <w:rPr>
          <w:rFonts w:ascii="黑体" w:hAnsi="黑体" w:eastAsia="黑体"/>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BF9905">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67FA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5B84867D">
            <w:pPr>
              <w:pStyle w:val="24"/>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施工期环境保护措施</w:t>
            </w:r>
          </w:p>
        </w:tc>
        <w:tc>
          <w:tcPr>
            <w:tcW w:w="8162" w:type="dxa"/>
            <w:noWrap w:val="0"/>
            <w:vAlign w:val="center"/>
          </w:tcPr>
          <w:p w14:paraId="7813222C">
            <w:pPr>
              <w:tabs>
                <w:tab w:val="left" w:pos="8607"/>
              </w:tabs>
              <w:adjustRightInd w:val="0"/>
              <w:snapToGrid w:val="0"/>
              <w:spacing w:before="240" w:beforeLines="100"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lang w:val="en-US" w:eastAsia="zh-CN"/>
              </w:rPr>
              <w:t>本项目为迁建项目，租用已建成厂房，施工期主要</w:t>
            </w:r>
            <w:r>
              <w:rPr>
                <w:rFonts w:hint="eastAsia" w:cs="Times New Roman"/>
                <w:color w:val="auto"/>
                <w:sz w:val="24"/>
                <w:lang w:val="en-US" w:eastAsia="zh-CN"/>
              </w:rPr>
              <w:t>为</w:t>
            </w:r>
            <w:r>
              <w:rPr>
                <w:rFonts w:hint="eastAsia" w:ascii="Times New Roman" w:hAnsi="Times New Roman" w:cs="Times New Roman"/>
                <w:color w:val="auto"/>
                <w:sz w:val="24"/>
                <w:lang w:val="en-US" w:eastAsia="zh-CN"/>
              </w:rPr>
              <w:t>生产设备</w:t>
            </w:r>
            <w:r>
              <w:rPr>
                <w:rFonts w:hint="eastAsia" w:cs="Times New Roman"/>
                <w:color w:val="auto"/>
                <w:sz w:val="24"/>
                <w:lang w:val="en-US" w:eastAsia="zh-CN"/>
              </w:rPr>
              <w:t>及环保设备</w:t>
            </w:r>
            <w:r>
              <w:rPr>
                <w:rFonts w:hint="eastAsia" w:ascii="Times New Roman" w:hAnsi="Times New Roman" w:cs="Times New Roman"/>
                <w:color w:val="auto"/>
                <w:sz w:val="24"/>
                <w:lang w:val="en-US" w:eastAsia="zh-CN"/>
              </w:rPr>
              <w:t>的安装、调试等作业</w:t>
            </w:r>
            <w:r>
              <w:rPr>
                <w:rFonts w:hint="eastAsia" w:ascii="Times New Roman" w:hAnsi="Times New Roman" w:cs="Times New Roman"/>
                <w:color w:val="auto"/>
                <w:sz w:val="24"/>
                <w:lang w:eastAsia="zh-CN"/>
              </w:rPr>
              <w:t>，</w:t>
            </w:r>
            <w:r>
              <w:rPr>
                <w:rFonts w:ascii="Times New Roman" w:hAnsi="Times New Roman" w:cs="Times New Roman"/>
                <w:color w:val="auto"/>
                <w:sz w:val="24"/>
              </w:rPr>
              <w:t>工程量少，施工期短。</w:t>
            </w:r>
          </w:p>
          <w:p w14:paraId="29FA53E0">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1、施工期大气污染保护措施</w:t>
            </w:r>
          </w:p>
          <w:p w14:paraId="4191205F">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本项目施工期</w:t>
            </w:r>
            <w:r>
              <w:rPr>
                <w:rFonts w:hint="eastAsia" w:cs="Times New Roman"/>
                <w:color w:val="auto"/>
                <w:sz w:val="24"/>
                <w:lang w:val="en-US" w:eastAsia="zh-CN"/>
              </w:rPr>
              <w:t>主要为生产设备</w:t>
            </w:r>
            <w:r>
              <w:rPr>
                <w:rFonts w:hint="eastAsia" w:ascii="Times New Roman" w:hAnsi="Times New Roman" w:cs="Times New Roman"/>
                <w:color w:val="auto"/>
                <w:sz w:val="24"/>
              </w:rPr>
              <w:t>及环保设备的安装</w:t>
            </w:r>
            <w:r>
              <w:rPr>
                <w:rFonts w:ascii="Times New Roman" w:hAnsi="Times New Roman" w:cs="Times New Roman"/>
                <w:color w:val="auto"/>
                <w:sz w:val="24"/>
              </w:rPr>
              <w:t>过程中可能产生</w:t>
            </w:r>
            <w:r>
              <w:rPr>
                <w:rFonts w:hint="eastAsia" w:cs="Times New Roman"/>
                <w:color w:val="auto"/>
                <w:sz w:val="24"/>
                <w:lang w:val="en-US" w:eastAsia="zh-CN"/>
              </w:rPr>
              <w:t>粉尘</w:t>
            </w:r>
            <w:r>
              <w:rPr>
                <w:rFonts w:ascii="Times New Roman" w:hAnsi="Times New Roman" w:cs="Times New Roman"/>
                <w:color w:val="auto"/>
                <w:sz w:val="24"/>
              </w:rPr>
              <w:t>，建议采取以下污染防治措施：</w:t>
            </w:r>
          </w:p>
          <w:p w14:paraId="42E422EC">
            <w:pPr>
              <w:tabs>
                <w:tab w:val="left" w:pos="8607"/>
              </w:tabs>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cs="Times New Roman"/>
                <w:color w:val="auto"/>
                <w:sz w:val="24"/>
              </w:rPr>
              <w:t>合理安排进场安装、调试设备等工作车辆的防尘措施、运输路线和时间等；设备运输时应注意清洁运输，防止在装卸、运输过程中造成扬尘</w:t>
            </w:r>
            <w:r>
              <w:rPr>
                <w:rFonts w:hint="eastAsia" w:ascii="Times New Roman" w:hAnsi="Times New Roman" w:cs="Times New Roman"/>
                <w:color w:val="auto"/>
                <w:sz w:val="24"/>
                <w:lang w:eastAsia="zh-CN"/>
              </w:rPr>
              <w:t>；</w:t>
            </w:r>
            <w:r>
              <w:rPr>
                <w:rFonts w:ascii="Times New Roman" w:hAnsi="Times New Roman" w:cs="Times New Roman"/>
                <w:color w:val="auto"/>
                <w:sz w:val="24"/>
              </w:rPr>
              <w:t>本项目施工期短，会有少量</w:t>
            </w:r>
            <w:r>
              <w:rPr>
                <w:rFonts w:hint="eastAsia" w:cs="Times New Roman"/>
                <w:color w:val="auto"/>
                <w:sz w:val="24"/>
                <w:lang w:val="en-US" w:eastAsia="zh-CN"/>
              </w:rPr>
              <w:t>粉尘</w:t>
            </w:r>
            <w:r>
              <w:rPr>
                <w:rFonts w:ascii="Times New Roman" w:hAnsi="Times New Roman" w:cs="Times New Roman"/>
                <w:color w:val="auto"/>
                <w:sz w:val="24"/>
              </w:rPr>
              <w:t>飘散到大气环境中，采取现场洒水抑尘</w:t>
            </w:r>
            <w:r>
              <w:rPr>
                <w:rFonts w:hint="eastAsia" w:ascii="Times New Roman" w:hAnsi="Times New Roman" w:cs="Times New Roman"/>
                <w:color w:val="auto"/>
                <w:sz w:val="24"/>
                <w:lang w:eastAsia="zh-CN"/>
              </w:rPr>
              <w:t>。</w:t>
            </w:r>
          </w:p>
          <w:p w14:paraId="738517B8">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2、施工期声环境污染保护措施</w:t>
            </w:r>
          </w:p>
          <w:p w14:paraId="41104191">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本项目施工期无大型噪声设备运行，建议施工期采取以下噪声防治措施，以减少噪声对环境的影响：</w:t>
            </w:r>
          </w:p>
          <w:p w14:paraId="528EB9A9">
            <w:pPr>
              <w:tabs>
                <w:tab w:val="left" w:pos="8607"/>
              </w:tabs>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cs="Times New Roman"/>
                <w:color w:val="auto"/>
                <w:sz w:val="24"/>
              </w:rPr>
              <w:t>严格执行《建筑施工场界环境噪声排放标准》（GB12523-2011）相关规定，合理安排施工计划和施工机械设备组合以及施工时间，禁止在中午（12:00-14:00）和夜间（22:00-6:00）施工</w:t>
            </w:r>
            <w:r>
              <w:rPr>
                <w:rFonts w:hint="eastAsia" w:cs="Times New Roman"/>
                <w:color w:val="auto"/>
                <w:sz w:val="24"/>
                <w:lang w:eastAsia="zh-CN"/>
              </w:rPr>
              <w:t>。</w:t>
            </w:r>
          </w:p>
          <w:p w14:paraId="39160AAF">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3、施工期水污染保护措施</w:t>
            </w:r>
          </w:p>
          <w:p w14:paraId="07D5E6B4">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施工过程中产生的废水主要为施工人员的生活污水。</w:t>
            </w:r>
          </w:p>
          <w:p w14:paraId="3AF30A3C">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施工人员产生</w:t>
            </w:r>
            <w:r>
              <w:rPr>
                <w:rFonts w:hint="eastAsia" w:ascii="Times New Roman" w:hAnsi="Times New Roman" w:cs="Times New Roman"/>
                <w:color w:val="auto"/>
                <w:sz w:val="24"/>
                <w:lang w:val="en-US" w:eastAsia="zh-CN"/>
              </w:rPr>
              <w:t>的</w:t>
            </w:r>
            <w:r>
              <w:rPr>
                <w:rFonts w:hint="eastAsia" w:ascii="Times New Roman" w:hAnsi="Times New Roman" w:cs="Times New Roman"/>
                <w:color w:val="auto"/>
                <w:sz w:val="24"/>
              </w:rPr>
              <w:t>生活污水经</w:t>
            </w:r>
            <w:r>
              <w:rPr>
                <w:rFonts w:hint="eastAsia" w:cs="Times New Roman"/>
                <w:color w:val="auto"/>
                <w:sz w:val="24"/>
                <w:lang w:val="en-US" w:eastAsia="zh-CN"/>
              </w:rPr>
              <w:t>租赁厂区化粪池处理后经市政污水管排入泾河第二污水处理厂进一步处理。</w:t>
            </w:r>
          </w:p>
          <w:p w14:paraId="6F9E9FFA">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4、固体废物污染防治措施</w:t>
            </w:r>
          </w:p>
          <w:p w14:paraId="496F68FD">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施工期产生的固体废物主要为</w:t>
            </w:r>
            <w:r>
              <w:rPr>
                <w:rFonts w:hint="eastAsia" w:ascii="Times New Roman" w:hAnsi="Times New Roman" w:cs="Times New Roman"/>
                <w:color w:val="auto"/>
                <w:sz w:val="24"/>
                <w:lang w:val="en-US" w:eastAsia="zh-CN"/>
              </w:rPr>
              <w:t>废包装</w:t>
            </w:r>
            <w:r>
              <w:rPr>
                <w:rFonts w:hint="eastAsia" w:cs="Times New Roman"/>
                <w:color w:val="auto"/>
                <w:sz w:val="24"/>
                <w:lang w:val="en-US" w:eastAsia="zh-CN"/>
              </w:rPr>
              <w:t>材料</w:t>
            </w:r>
            <w:r>
              <w:rPr>
                <w:rFonts w:ascii="Times New Roman" w:hAnsi="Times New Roman" w:cs="Times New Roman"/>
                <w:color w:val="auto"/>
                <w:sz w:val="24"/>
              </w:rPr>
              <w:t>、施工人员的生活垃圾等。</w:t>
            </w:r>
          </w:p>
          <w:p w14:paraId="7B879A68">
            <w:pPr>
              <w:pStyle w:val="65"/>
              <w:spacing w:line="360" w:lineRule="auto"/>
              <w:rPr>
                <w:rFonts w:hint="default" w:hAnsi="Times New Roman" w:eastAsia="宋体" w:cs="Times New Roman"/>
                <w:color w:val="auto"/>
                <w:szCs w:val="24"/>
                <w:lang w:val="en-US" w:eastAsia="zh-CN"/>
              </w:rPr>
            </w:pPr>
            <w:r>
              <w:rPr>
                <w:rFonts w:ascii="Times New Roman" w:hAnsi="Times New Roman" w:cs="Times New Roman"/>
                <w:color w:val="auto"/>
              </w:rPr>
              <w:t>施工期</w:t>
            </w:r>
            <w:r>
              <w:rPr>
                <w:rFonts w:hint="eastAsia" w:ascii="Times New Roman" w:hAnsi="Times New Roman" w:cs="Times New Roman"/>
                <w:color w:val="auto"/>
                <w:sz w:val="24"/>
                <w:lang w:val="en-US" w:eastAsia="zh-CN"/>
              </w:rPr>
              <w:t>废包装</w:t>
            </w:r>
            <w:r>
              <w:rPr>
                <w:rFonts w:hint="eastAsia" w:hAnsi="Times New Roman" w:cs="Times New Roman"/>
                <w:color w:val="auto"/>
                <w:sz w:val="24"/>
                <w:lang w:val="en-US" w:eastAsia="zh-CN"/>
              </w:rPr>
              <w:t>材料</w:t>
            </w:r>
            <w:r>
              <w:rPr>
                <w:rFonts w:ascii="Times New Roman" w:hAnsi="Times New Roman" w:cs="Times New Roman"/>
                <w:color w:val="auto"/>
              </w:rPr>
              <w:t>收集后统一堆放于指定地点，由施工方统一清运；生活垃圾集中收集由环卫部门统一清运。</w:t>
            </w:r>
          </w:p>
        </w:tc>
      </w:tr>
    </w:tbl>
    <w:p w14:paraId="502CBA26">
      <w:pPr>
        <w:pStyle w:val="24"/>
        <w:jc w:val="center"/>
        <w:outlineLvl w:val="0"/>
        <w:rPr>
          <w:rFonts w:ascii="黑体" w:hAnsi="黑体" w:eastAsia="黑体"/>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51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2247"/>
      </w:tblGrid>
      <w:tr w14:paraId="084C9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1264" w:type="dxa"/>
            <w:noWrap w:val="0"/>
            <w:tcMar>
              <w:left w:w="28" w:type="dxa"/>
              <w:right w:w="28" w:type="dxa"/>
            </w:tcMar>
            <w:vAlign w:val="center"/>
          </w:tcPr>
          <w:p w14:paraId="5B11AC2C">
            <w:pPr>
              <w:pStyle w:val="24"/>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bCs/>
                <w:color w:val="auto"/>
              </w:rPr>
              <w:t>运营期环境影响和保护措施</w:t>
            </w:r>
          </w:p>
        </w:tc>
        <w:tc>
          <w:tcPr>
            <w:tcW w:w="12173" w:type="dxa"/>
            <w:noWrap w:val="0"/>
            <w:vAlign w:val="center"/>
          </w:tcPr>
          <w:p w14:paraId="44BD907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b/>
                <w:color w:val="auto"/>
                <w:sz w:val="24"/>
              </w:rPr>
            </w:pPr>
            <w:r>
              <w:rPr>
                <w:rFonts w:hint="eastAsia"/>
                <w:b/>
                <w:color w:val="auto"/>
                <w:sz w:val="24"/>
              </w:rPr>
              <w:t>1、废气</w:t>
            </w:r>
          </w:p>
          <w:p w14:paraId="76169CAA">
            <w:pPr>
              <w:adjustRightInd w:val="0"/>
              <w:snapToGrid w:val="0"/>
              <w:spacing w:line="360" w:lineRule="auto"/>
              <w:ind w:firstLine="480" w:firstLineChars="200"/>
              <w:rPr>
                <w:rFonts w:hint="eastAsia"/>
                <w:bCs/>
                <w:color w:val="auto"/>
                <w:sz w:val="24"/>
              </w:rPr>
            </w:pPr>
            <w:r>
              <w:rPr>
                <w:rFonts w:hint="eastAsia"/>
                <w:bCs/>
                <w:color w:val="auto"/>
                <w:sz w:val="24"/>
              </w:rPr>
              <w:t>（1）产排污环节</w:t>
            </w:r>
          </w:p>
          <w:p w14:paraId="7FA7C190">
            <w:pPr>
              <w:pStyle w:val="10"/>
              <w:adjustRightInd w:val="0"/>
              <w:snapToGrid w:val="0"/>
              <w:spacing w:after="0" w:line="360" w:lineRule="auto"/>
              <w:ind w:left="0" w:leftChars="0" w:firstLine="480" w:firstLineChars="200"/>
              <w:jc w:val="left"/>
              <w:rPr>
                <w:bCs/>
                <w:color w:val="auto"/>
                <w:szCs w:val="24"/>
              </w:rPr>
            </w:pPr>
            <w:r>
              <w:rPr>
                <w:bCs/>
                <w:color w:val="auto"/>
                <w:szCs w:val="24"/>
              </w:rPr>
              <w:t>本项目产生的主要</w:t>
            </w:r>
            <w:r>
              <w:rPr>
                <w:rFonts w:hint="eastAsia"/>
                <w:bCs/>
                <w:color w:val="auto"/>
                <w:szCs w:val="24"/>
              </w:rPr>
              <w:t>废气</w:t>
            </w:r>
            <w:r>
              <w:rPr>
                <w:bCs/>
                <w:color w:val="auto"/>
                <w:szCs w:val="24"/>
              </w:rPr>
              <w:t>污染物为颗粒物</w:t>
            </w:r>
            <w:r>
              <w:rPr>
                <w:rFonts w:hint="eastAsia"/>
                <w:bCs/>
                <w:color w:val="auto"/>
                <w:szCs w:val="24"/>
                <w:lang w:val="en-US" w:eastAsia="zh-CN"/>
              </w:rPr>
              <w:t>和非甲烷总烃</w:t>
            </w:r>
            <w:r>
              <w:rPr>
                <w:bCs/>
                <w:color w:val="auto"/>
                <w:szCs w:val="24"/>
              </w:rPr>
              <w:t>。产排污环节</w:t>
            </w:r>
            <w:r>
              <w:rPr>
                <w:rFonts w:hint="eastAsia"/>
                <w:bCs/>
                <w:color w:val="auto"/>
                <w:szCs w:val="24"/>
              </w:rPr>
              <w:t>等情况</w:t>
            </w:r>
            <w:r>
              <w:rPr>
                <w:bCs/>
                <w:color w:val="auto"/>
                <w:szCs w:val="24"/>
              </w:rPr>
              <w:t>见表4-1。</w:t>
            </w:r>
          </w:p>
          <w:p w14:paraId="651ECA31">
            <w:pPr>
              <w:adjustRightInd w:val="0"/>
              <w:snapToGrid w:val="0"/>
              <w:jc w:val="center"/>
              <w:rPr>
                <w:b/>
                <w:bCs/>
                <w:color w:val="auto"/>
                <w:sz w:val="24"/>
              </w:rPr>
            </w:pPr>
            <w:r>
              <w:rPr>
                <w:b/>
                <w:color w:val="auto"/>
                <w:sz w:val="24"/>
              </w:rPr>
              <w:t>表</w:t>
            </w:r>
            <w:r>
              <w:rPr>
                <w:rFonts w:hint="eastAsia"/>
                <w:b/>
                <w:color w:val="auto"/>
                <w:sz w:val="24"/>
              </w:rPr>
              <w:t>4-1</w:t>
            </w:r>
            <w:r>
              <w:rPr>
                <w:b/>
                <w:color w:val="auto"/>
                <w:sz w:val="24"/>
              </w:rPr>
              <w:t xml:space="preserve"> </w:t>
            </w:r>
            <w:r>
              <w:rPr>
                <w:b/>
                <w:bCs/>
                <w:color w:val="auto"/>
                <w:sz w:val="24"/>
              </w:rPr>
              <w:t xml:space="preserve"> 废气污染源源强核算结果及相关参数一览表</w:t>
            </w:r>
          </w:p>
          <w:tbl>
            <w:tblPr>
              <w:tblStyle w:val="27"/>
              <w:tblW w:w="121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84"/>
              <w:gridCol w:w="647"/>
              <w:gridCol w:w="698"/>
              <w:gridCol w:w="717"/>
              <w:gridCol w:w="740"/>
              <w:gridCol w:w="743"/>
              <w:gridCol w:w="884"/>
              <w:gridCol w:w="516"/>
              <w:gridCol w:w="726"/>
              <w:gridCol w:w="801"/>
              <w:gridCol w:w="925"/>
              <w:gridCol w:w="891"/>
              <w:gridCol w:w="555"/>
              <w:gridCol w:w="586"/>
              <w:gridCol w:w="560"/>
              <w:gridCol w:w="794"/>
            </w:tblGrid>
            <w:tr w14:paraId="4F6A7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81" w:type="pct"/>
                  <w:vMerge w:val="restart"/>
                  <w:tcBorders>
                    <w:tl2br w:val="nil"/>
                    <w:tr2bl w:val="nil"/>
                  </w:tcBorders>
                  <w:noWrap w:val="0"/>
                  <w:vAlign w:val="center"/>
                </w:tcPr>
                <w:p w14:paraId="01F150A0">
                  <w:pPr>
                    <w:tabs>
                      <w:tab w:val="left" w:pos="3300"/>
                    </w:tabs>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生产线</w:t>
                  </w:r>
                </w:p>
              </w:tc>
              <w:tc>
                <w:tcPr>
                  <w:tcW w:w="281" w:type="pct"/>
                  <w:vMerge w:val="restart"/>
                  <w:tcBorders>
                    <w:tl2br w:val="nil"/>
                    <w:tr2bl w:val="nil"/>
                  </w:tcBorders>
                  <w:noWrap w:val="0"/>
                  <w:vAlign w:val="center"/>
                </w:tcPr>
                <w:p w14:paraId="3E296BB0">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产污环节</w:t>
                  </w:r>
                </w:p>
              </w:tc>
              <w:tc>
                <w:tcPr>
                  <w:tcW w:w="266" w:type="pct"/>
                  <w:vMerge w:val="restart"/>
                  <w:tcBorders>
                    <w:tl2br w:val="nil"/>
                    <w:tr2bl w:val="nil"/>
                  </w:tcBorders>
                  <w:noWrap w:val="0"/>
                  <w:vAlign w:val="center"/>
                </w:tcPr>
                <w:p w14:paraId="23740607">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287" w:type="pct"/>
                  <w:vMerge w:val="restart"/>
                  <w:tcBorders>
                    <w:tl2br w:val="nil"/>
                    <w:tr2bl w:val="nil"/>
                  </w:tcBorders>
                  <w:noWrap w:val="0"/>
                  <w:vAlign w:val="center"/>
                </w:tcPr>
                <w:p w14:paraId="53CAF9CD">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风机风量m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295" w:type="pct"/>
                  <w:vMerge w:val="restart"/>
                  <w:tcBorders>
                    <w:tl2br w:val="nil"/>
                    <w:tr2bl w:val="nil"/>
                  </w:tcBorders>
                  <w:noWrap w:val="0"/>
                  <w:vAlign w:val="center"/>
                </w:tcPr>
                <w:p w14:paraId="37268C8B">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年工作时间（h）</w:t>
                  </w:r>
                </w:p>
              </w:tc>
              <w:tc>
                <w:tcPr>
                  <w:tcW w:w="973" w:type="pct"/>
                  <w:gridSpan w:val="3"/>
                  <w:tcBorders>
                    <w:tl2br w:val="nil"/>
                    <w:tr2bl w:val="nil"/>
                  </w:tcBorders>
                  <w:noWrap w:val="0"/>
                  <w:vAlign w:val="center"/>
                </w:tcPr>
                <w:p w14:paraId="11D971C8">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污染物产生情况</w:t>
                  </w:r>
                </w:p>
              </w:tc>
              <w:tc>
                <w:tcPr>
                  <w:tcW w:w="212" w:type="pct"/>
                  <w:vMerge w:val="restart"/>
                  <w:tcBorders>
                    <w:tl2br w:val="nil"/>
                    <w:tr2bl w:val="nil"/>
                  </w:tcBorders>
                  <w:noWrap w:val="0"/>
                  <w:vAlign w:val="center"/>
                </w:tcPr>
                <w:p w14:paraId="4E3777F4">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排放形式</w:t>
                  </w:r>
                </w:p>
              </w:tc>
              <w:tc>
                <w:tcPr>
                  <w:tcW w:w="298" w:type="pct"/>
                  <w:vMerge w:val="restart"/>
                  <w:tcBorders>
                    <w:tl2br w:val="nil"/>
                    <w:tr2bl w:val="nil"/>
                  </w:tcBorders>
                  <w:noWrap w:val="0"/>
                  <w:vAlign w:val="center"/>
                </w:tcPr>
                <w:p w14:paraId="757324DC">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w:t>
                  </w:r>
                </w:p>
                <w:p w14:paraId="07BEA4C3">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w:t>
                  </w:r>
                </w:p>
              </w:tc>
              <w:tc>
                <w:tcPr>
                  <w:tcW w:w="1076" w:type="pct"/>
                  <w:gridSpan w:val="3"/>
                  <w:tcBorders>
                    <w:tl2br w:val="nil"/>
                    <w:tr2bl w:val="nil"/>
                  </w:tcBorders>
                  <w:noWrap w:val="0"/>
                  <w:vAlign w:val="center"/>
                </w:tcPr>
                <w:p w14:paraId="591E2717">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污染物排放情况</w:t>
                  </w:r>
                </w:p>
              </w:tc>
              <w:tc>
                <w:tcPr>
                  <w:tcW w:w="228" w:type="pct"/>
                  <w:vMerge w:val="restart"/>
                  <w:tcBorders>
                    <w:tl2br w:val="nil"/>
                    <w:tr2bl w:val="nil"/>
                  </w:tcBorders>
                  <w:noWrap w:val="0"/>
                  <w:vAlign w:val="center"/>
                </w:tcPr>
                <w:p w14:paraId="1EAED073">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收集效率</w:t>
                  </w:r>
                </w:p>
                <w:p w14:paraId="2B0B9C0B">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w:t>
                  </w:r>
                </w:p>
              </w:tc>
              <w:tc>
                <w:tcPr>
                  <w:tcW w:w="241" w:type="pct"/>
                  <w:vMerge w:val="restart"/>
                  <w:tcBorders>
                    <w:tl2br w:val="nil"/>
                    <w:tr2bl w:val="nil"/>
                  </w:tcBorders>
                  <w:noWrap w:val="0"/>
                  <w:vAlign w:val="center"/>
                </w:tcPr>
                <w:p w14:paraId="750DC47D">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去除效率%</w:t>
                  </w:r>
                </w:p>
              </w:tc>
              <w:tc>
                <w:tcPr>
                  <w:tcW w:w="230" w:type="pct"/>
                  <w:vMerge w:val="restart"/>
                  <w:tcBorders>
                    <w:tl2br w:val="nil"/>
                    <w:tr2bl w:val="nil"/>
                  </w:tcBorders>
                  <w:noWrap w:val="0"/>
                  <w:vAlign w:val="center"/>
                </w:tcPr>
                <w:p w14:paraId="5FD73767">
                  <w:pPr>
                    <w:keepNext w:val="0"/>
                    <w:keepLines w:val="0"/>
                    <w:pageBreakBefore w:val="0"/>
                    <w:widowControl w:val="0"/>
                    <w:kinsoku/>
                    <w:wordWrap w:val="0"/>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排放速率kg/h</w:t>
                  </w:r>
                </w:p>
              </w:tc>
              <w:tc>
                <w:tcPr>
                  <w:tcW w:w="326" w:type="pct"/>
                  <w:vMerge w:val="restart"/>
                  <w:tcBorders>
                    <w:tl2br w:val="nil"/>
                    <w:tr2bl w:val="nil"/>
                  </w:tcBorders>
                  <w:noWrap w:val="0"/>
                  <w:vAlign w:val="center"/>
                </w:tcPr>
                <w:p w14:paraId="66CC6DE4">
                  <w:pPr>
                    <w:keepNext w:val="0"/>
                    <w:keepLines w:val="0"/>
                    <w:pageBreakBefore w:val="0"/>
                    <w:widowControl w:val="0"/>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标准限值mg/m</w:t>
                  </w:r>
                  <w:r>
                    <w:rPr>
                      <w:rFonts w:hint="default" w:ascii="Times New Roman" w:hAnsi="Times New Roman" w:cs="Times New Roman"/>
                      <w:b/>
                      <w:bCs/>
                      <w:color w:val="auto"/>
                      <w:sz w:val="21"/>
                      <w:szCs w:val="21"/>
                      <w:highlight w:val="none"/>
                      <w:vertAlign w:val="superscript"/>
                    </w:rPr>
                    <w:t>3</w:t>
                  </w:r>
                </w:p>
              </w:tc>
            </w:tr>
            <w:tr w14:paraId="7B18B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81" w:type="pct"/>
                  <w:vMerge w:val="continue"/>
                  <w:tcBorders>
                    <w:tl2br w:val="nil"/>
                    <w:tr2bl w:val="nil"/>
                  </w:tcBorders>
                  <w:noWrap w:val="0"/>
                  <w:vAlign w:val="center"/>
                </w:tcPr>
                <w:p w14:paraId="6D8A7B88">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p>
              </w:tc>
              <w:tc>
                <w:tcPr>
                  <w:tcW w:w="281" w:type="pct"/>
                  <w:vMerge w:val="continue"/>
                  <w:tcBorders>
                    <w:tl2br w:val="nil"/>
                    <w:tr2bl w:val="nil"/>
                  </w:tcBorders>
                  <w:noWrap w:val="0"/>
                  <w:vAlign w:val="center"/>
                </w:tcPr>
                <w:p w14:paraId="130FCEA0">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产污环节</w:t>
                  </w:r>
                </w:p>
              </w:tc>
              <w:tc>
                <w:tcPr>
                  <w:tcW w:w="266" w:type="pct"/>
                  <w:vMerge w:val="continue"/>
                  <w:tcBorders>
                    <w:tl2br w:val="nil"/>
                    <w:tr2bl w:val="nil"/>
                  </w:tcBorders>
                  <w:noWrap w:val="0"/>
                  <w:vAlign w:val="center"/>
                </w:tcPr>
                <w:p w14:paraId="7E6B09E4">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287" w:type="pct"/>
                  <w:vMerge w:val="continue"/>
                  <w:tcBorders>
                    <w:tl2br w:val="nil"/>
                    <w:tr2bl w:val="nil"/>
                  </w:tcBorders>
                  <w:noWrap w:val="0"/>
                  <w:vAlign w:val="center"/>
                </w:tcPr>
                <w:p w14:paraId="3CE6ED58">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风机风量m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295" w:type="pct"/>
                  <w:vMerge w:val="continue"/>
                  <w:tcBorders>
                    <w:tl2br w:val="nil"/>
                    <w:tr2bl w:val="nil"/>
                  </w:tcBorders>
                  <w:noWrap w:val="0"/>
                  <w:vAlign w:val="center"/>
                </w:tcPr>
                <w:p w14:paraId="2FEE651B">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年工作时间</w:t>
                  </w:r>
                </w:p>
              </w:tc>
              <w:tc>
                <w:tcPr>
                  <w:tcW w:w="304" w:type="pct"/>
                  <w:tcBorders>
                    <w:tl2br w:val="nil"/>
                    <w:tr2bl w:val="nil"/>
                  </w:tcBorders>
                  <w:noWrap w:val="0"/>
                  <w:vAlign w:val="center"/>
                </w:tcPr>
                <w:p w14:paraId="7E40907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产生量</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t/a</w:t>
                  </w:r>
                  <w:r>
                    <w:rPr>
                      <w:rFonts w:hint="eastAsia" w:ascii="Times New Roman" w:hAnsi="Times New Roman" w:cs="Times New Roman"/>
                      <w:b/>
                      <w:bCs/>
                      <w:color w:val="auto"/>
                      <w:sz w:val="21"/>
                      <w:szCs w:val="21"/>
                      <w:highlight w:val="none"/>
                      <w:lang w:val="en-US" w:eastAsia="zh-CN"/>
                    </w:rPr>
                    <w:t>)</w:t>
                  </w:r>
                </w:p>
              </w:tc>
              <w:tc>
                <w:tcPr>
                  <w:tcW w:w="305" w:type="pct"/>
                  <w:tcBorders>
                    <w:tl2br w:val="nil"/>
                    <w:tr2bl w:val="nil"/>
                  </w:tcBorders>
                  <w:shd w:val="clear" w:color="auto" w:fill="auto"/>
                  <w:noWrap w:val="0"/>
                  <w:vAlign w:val="center"/>
                </w:tcPr>
                <w:p w14:paraId="4AA1F5D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产生速率</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kg/h</w:t>
                  </w:r>
                  <w:r>
                    <w:rPr>
                      <w:rFonts w:hint="eastAsia" w:ascii="Times New Roman" w:hAnsi="Times New Roman" w:cs="Times New Roman"/>
                      <w:b/>
                      <w:bCs/>
                      <w:color w:val="auto"/>
                      <w:sz w:val="21"/>
                      <w:szCs w:val="21"/>
                      <w:highlight w:val="none"/>
                      <w:lang w:val="en-US" w:eastAsia="zh-CN"/>
                    </w:rPr>
                    <w:t>)</w:t>
                  </w:r>
                </w:p>
              </w:tc>
              <w:tc>
                <w:tcPr>
                  <w:tcW w:w="363" w:type="pct"/>
                  <w:tcBorders>
                    <w:tl2br w:val="nil"/>
                    <w:tr2bl w:val="nil"/>
                  </w:tcBorders>
                  <w:shd w:val="clear" w:color="auto" w:fill="auto"/>
                  <w:noWrap w:val="0"/>
                  <w:vAlign w:val="center"/>
                </w:tcPr>
                <w:p w14:paraId="49BDBB0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排放浓度</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r>
                    <w:rPr>
                      <w:rFonts w:hint="eastAsia" w:ascii="Times New Roman" w:hAnsi="Times New Roman" w:cs="Times New Roman"/>
                      <w:b/>
                      <w:bCs/>
                      <w:color w:val="auto"/>
                      <w:sz w:val="21"/>
                      <w:szCs w:val="21"/>
                      <w:highlight w:val="none"/>
                      <w:vertAlign w:val="baseline"/>
                      <w:lang w:val="en-US" w:eastAsia="zh-CN"/>
                    </w:rPr>
                    <w:t>)</w:t>
                  </w:r>
                </w:p>
              </w:tc>
              <w:tc>
                <w:tcPr>
                  <w:tcW w:w="212" w:type="pct"/>
                  <w:vMerge w:val="continue"/>
                  <w:tcBorders>
                    <w:tl2br w:val="nil"/>
                    <w:tr2bl w:val="nil"/>
                  </w:tcBorders>
                  <w:noWrap w:val="0"/>
                  <w:vAlign w:val="center"/>
                </w:tcPr>
                <w:p w14:paraId="584A643D">
                  <w:pPr>
                    <w:keepNext w:val="0"/>
                    <w:keepLines w:val="0"/>
                    <w:pageBreakBefore w:val="0"/>
                    <w:widowControl w:val="0"/>
                    <w:tabs>
                      <w:tab w:val="left" w:pos="3300"/>
                    </w:tabs>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298" w:type="pct"/>
                  <w:vMerge w:val="continue"/>
                  <w:tcBorders>
                    <w:tl2br w:val="nil"/>
                    <w:tr2bl w:val="nil"/>
                  </w:tcBorders>
                  <w:noWrap w:val="0"/>
                  <w:vAlign w:val="center"/>
                </w:tcPr>
                <w:p w14:paraId="00379616">
                  <w:pPr>
                    <w:keepNext w:val="0"/>
                    <w:keepLines w:val="0"/>
                    <w:pageBreakBefore w:val="0"/>
                    <w:widowControl w:val="0"/>
                    <w:tabs>
                      <w:tab w:val="left" w:pos="3300"/>
                    </w:tabs>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329" w:type="pct"/>
                  <w:tcBorders>
                    <w:tl2br w:val="nil"/>
                    <w:tr2bl w:val="nil"/>
                  </w:tcBorders>
                  <w:noWrap w:val="0"/>
                  <w:vAlign w:val="center"/>
                </w:tcPr>
                <w:p w14:paraId="5106F7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排放量</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t/a</w:t>
                  </w:r>
                  <w:r>
                    <w:rPr>
                      <w:rFonts w:hint="eastAsia" w:ascii="Times New Roman" w:hAnsi="Times New Roman" w:cs="Times New Roman"/>
                      <w:b/>
                      <w:bCs/>
                      <w:color w:val="auto"/>
                      <w:sz w:val="21"/>
                      <w:szCs w:val="21"/>
                      <w:highlight w:val="none"/>
                      <w:lang w:val="en-US" w:eastAsia="zh-CN"/>
                    </w:rPr>
                    <w:t>)</w:t>
                  </w:r>
                </w:p>
              </w:tc>
              <w:tc>
                <w:tcPr>
                  <w:tcW w:w="380" w:type="pct"/>
                  <w:tcBorders>
                    <w:tl2br w:val="nil"/>
                    <w:tr2bl w:val="nil"/>
                  </w:tcBorders>
                  <w:noWrap w:val="0"/>
                  <w:vAlign w:val="center"/>
                </w:tcPr>
                <w:p w14:paraId="55D8998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排放速率</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kg/h</w:t>
                  </w:r>
                  <w:r>
                    <w:rPr>
                      <w:rFonts w:hint="eastAsia" w:ascii="Times New Roman" w:hAnsi="Times New Roman" w:cs="Times New Roman"/>
                      <w:b/>
                      <w:bCs/>
                      <w:color w:val="auto"/>
                      <w:sz w:val="21"/>
                      <w:szCs w:val="21"/>
                      <w:highlight w:val="none"/>
                      <w:lang w:val="en-US" w:eastAsia="zh-CN"/>
                    </w:rPr>
                    <w:t>)</w:t>
                  </w:r>
                </w:p>
              </w:tc>
              <w:tc>
                <w:tcPr>
                  <w:tcW w:w="366" w:type="pct"/>
                  <w:tcBorders>
                    <w:tl2br w:val="nil"/>
                    <w:tr2bl w:val="nil"/>
                  </w:tcBorders>
                  <w:noWrap w:val="0"/>
                  <w:vAlign w:val="center"/>
                </w:tcPr>
                <w:p w14:paraId="6AFA887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排放浓度</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r>
                    <w:rPr>
                      <w:rFonts w:hint="eastAsia" w:ascii="Times New Roman" w:hAnsi="Times New Roman" w:cs="Times New Roman"/>
                      <w:b/>
                      <w:bCs/>
                      <w:color w:val="auto"/>
                      <w:sz w:val="21"/>
                      <w:szCs w:val="21"/>
                      <w:highlight w:val="none"/>
                      <w:vertAlign w:val="baseline"/>
                      <w:lang w:val="en-US" w:eastAsia="zh-CN"/>
                    </w:rPr>
                    <w:t>)</w:t>
                  </w:r>
                </w:p>
              </w:tc>
              <w:tc>
                <w:tcPr>
                  <w:tcW w:w="228" w:type="pct"/>
                  <w:vMerge w:val="continue"/>
                  <w:tcBorders>
                    <w:tl2br w:val="nil"/>
                    <w:tr2bl w:val="nil"/>
                  </w:tcBorders>
                  <w:noWrap w:val="0"/>
                  <w:vAlign w:val="center"/>
                </w:tcPr>
                <w:p w14:paraId="133BCFD2">
                  <w:pPr>
                    <w:spacing w:line="240" w:lineRule="auto"/>
                    <w:ind w:firstLine="0" w:firstLineChars="0"/>
                    <w:jc w:val="center"/>
                    <w:rPr>
                      <w:rFonts w:hint="default" w:ascii="Times New Roman" w:hAnsi="Times New Roman" w:cs="Times New Roman"/>
                      <w:b/>
                      <w:bCs/>
                      <w:color w:val="auto"/>
                      <w:sz w:val="21"/>
                      <w:szCs w:val="21"/>
                      <w:highlight w:val="none"/>
                    </w:rPr>
                  </w:pPr>
                </w:p>
              </w:tc>
              <w:tc>
                <w:tcPr>
                  <w:tcW w:w="241" w:type="pct"/>
                  <w:vMerge w:val="continue"/>
                  <w:tcBorders>
                    <w:tl2br w:val="nil"/>
                    <w:tr2bl w:val="nil"/>
                  </w:tcBorders>
                  <w:noWrap w:val="0"/>
                  <w:vAlign w:val="center"/>
                </w:tcPr>
                <w:p w14:paraId="52793453">
                  <w:pPr>
                    <w:autoSpaceDE w:val="0"/>
                    <w:autoSpaceDN w:val="0"/>
                    <w:spacing w:line="240" w:lineRule="auto"/>
                    <w:ind w:firstLine="0" w:firstLineChars="0"/>
                    <w:jc w:val="center"/>
                    <w:rPr>
                      <w:rFonts w:hint="default" w:ascii="Times New Roman" w:hAnsi="Times New Roman" w:cs="Times New Roman"/>
                      <w:b/>
                      <w:bCs/>
                      <w:color w:val="auto"/>
                      <w:sz w:val="21"/>
                      <w:szCs w:val="21"/>
                      <w:highlight w:val="none"/>
                    </w:rPr>
                  </w:pPr>
                </w:p>
              </w:tc>
              <w:tc>
                <w:tcPr>
                  <w:tcW w:w="230" w:type="pct"/>
                  <w:vMerge w:val="continue"/>
                  <w:tcBorders>
                    <w:tl2br w:val="nil"/>
                    <w:tr2bl w:val="nil"/>
                  </w:tcBorders>
                  <w:noWrap w:val="0"/>
                  <w:vAlign w:val="center"/>
                </w:tcPr>
                <w:p w14:paraId="56D48EFC">
                  <w:pPr>
                    <w:spacing w:line="240" w:lineRule="auto"/>
                    <w:ind w:firstLine="0" w:firstLineChars="0"/>
                    <w:jc w:val="center"/>
                    <w:rPr>
                      <w:rFonts w:hint="default" w:ascii="Times New Roman" w:hAnsi="Times New Roman" w:cs="Times New Roman"/>
                      <w:b/>
                      <w:bCs/>
                      <w:color w:val="auto"/>
                      <w:sz w:val="21"/>
                      <w:szCs w:val="21"/>
                      <w:highlight w:val="none"/>
                    </w:rPr>
                  </w:pPr>
                </w:p>
              </w:tc>
              <w:tc>
                <w:tcPr>
                  <w:tcW w:w="326" w:type="pct"/>
                  <w:vMerge w:val="continue"/>
                  <w:tcBorders>
                    <w:tl2br w:val="nil"/>
                    <w:tr2bl w:val="nil"/>
                  </w:tcBorders>
                  <w:noWrap w:val="0"/>
                  <w:vAlign w:val="center"/>
                </w:tcPr>
                <w:p w14:paraId="615369D7">
                  <w:pPr>
                    <w:spacing w:line="240" w:lineRule="auto"/>
                    <w:ind w:firstLine="0" w:firstLineChars="0"/>
                    <w:jc w:val="center"/>
                    <w:rPr>
                      <w:rFonts w:hint="default" w:ascii="Times New Roman" w:hAnsi="Times New Roman" w:cs="Times New Roman"/>
                      <w:b/>
                      <w:bCs/>
                      <w:color w:val="auto"/>
                      <w:sz w:val="21"/>
                      <w:szCs w:val="21"/>
                      <w:highlight w:val="none"/>
                    </w:rPr>
                  </w:pPr>
                </w:p>
              </w:tc>
            </w:tr>
            <w:tr w14:paraId="3CDD6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restart"/>
                  <w:tcBorders>
                    <w:tl2br w:val="nil"/>
                    <w:tr2bl w:val="nil"/>
                  </w:tcBorders>
                  <w:noWrap w:val="0"/>
                  <w:vAlign w:val="center"/>
                </w:tcPr>
                <w:p w14:paraId="1B49479C">
                  <w:pPr>
                    <w:widowControl/>
                    <w:spacing w:line="240" w:lineRule="auto"/>
                    <w:ind w:firstLine="0" w:firstLineChars="0"/>
                    <w:jc w:val="center"/>
                    <w:rPr>
                      <w:rFonts w:hint="eastAsia"/>
                      <w:color w:val="auto"/>
                      <w:szCs w:val="21"/>
                      <w:lang w:val="en-US" w:eastAsia="zh-CN"/>
                    </w:rPr>
                  </w:pPr>
                  <w:r>
                    <w:rPr>
                      <w:rFonts w:hint="eastAsia"/>
                      <w:color w:val="auto"/>
                      <w:szCs w:val="21"/>
                      <w:lang w:val="en-US" w:eastAsia="zh-CN"/>
                    </w:rPr>
                    <w:t>聚乙烯外护管生产线</w:t>
                  </w:r>
                </w:p>
              </w:tc>
              <w:tc>
                <w:tcPr>
                  <w:tcW w:w="281" w:type="pct"/>
                  <w:tcBorders>
                    <w:tl2br w:val="nil"/>
                    <w:tr2bl w:val="nil"/>
                  </w:tcBorders>
                  <w:noWrap w:val="0"/>
                  <w:vAlign w:val="center"/>
                </w:tcPr>
                <w:p w14:paraId="00124641">
                  <w:pPr>
                    <w:widowControl/>
                    <w:spacing w:line="240" w:lineRule="auto"/>
                    <w:ind w:firstLine="0" w:firstLineChars="0"/>
                    <w:jc w:val="center"/>
                    <w:rPr>
                      <w:rFonts w:hint="eastAsia"/>
                      <w:color w:val="auto"/>
                      <w:szCs w:val="21"/>
                      <w:lang w:val="en-US" w:eastAsia="zh-CN"/>
                    </w:rPr>
                  </w:pPr>
                  <w:r>
                    <w:rPr>
                      <w:rFonts w:hint="eastAsia" w:ascii="Times New Roman" w:hAnsi="Times New Roman" w:cs="Times New Roman"/>
                      <w:color w:val="auto"/>
                      <w:highlight w:val="none"/>
                      <w:lang w:val="en-US" w:eastAsia="zh-CN"/>
                    </w:rPr>
                    <w:t>原料混合</w:t>
                  </w:r>
                </w:p>
              </w:tc>
              <w:tc>
                <w:tcPr>
                  <w:tcW w:w="266" w:type="pct"/>
                  <w:tcBorders>
                    <w:tl2br w:val="nil"/>
                    <w:tr2bl w:val="nil"/>
                  </w:tcBorders>
                  <w:noWrap w:val="0"/>
                  <w:vAlign w:val="center"/>
                </w:tcPr>
                <w:p w14:paraId="63227DAD">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颗粒物</w:t>
                  </w:r>
                </w:p>
              </w:tc>
              <w:tc>
                <w:tcPr>
                  <w:tcW w:w="287" w:type="pct"/>
                  <w:tcBorders>
                    <w:tl2br w:val="nil"/>
                    <w:tr2bl w:val="nil"/>
                  </w:tcBorders>
                  <w:noWrap w:val="0"/>
                  <w:vAlign w:val="center"/>
                </w:tcPr>
                <w:p w14:paraId="5F547EEB">
                  <w:pPr>
                    <w:widowControl/>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295" w:type="pct"/>
                  <w:tcBorders>
                    <w:tl2br w:val="nil"/>
                    <w:tr2bl w:val="nil"/>
                  </w:tcBorders>
                  <w:noWrap w:val="0"/>
                  <w:vAlign w:val="center"/>
                </w:tcPr>
                <w:p w14:paraId="67B97DDB">
                  <w:pPr>
                    <w:adjustRightInd w:val="0"/>
                    <w:snapToGrid w:val="0"/>
                    <w:jc w:val="center"/>
                    <w:rPr>
                      <w:rFonts w:hint="default"/>
                      <w:color w:val="auto"/>
                      <w:kern w:val="2"/>
                      <w:sz w:val="21"/>
                      <w:szCs w:val="21"/>
                      <w:lang w:val="en-US" w:eastAsia="zh-CN" w:bidi="ar-SA"/>
                    </w:rPr>
                  </w:pPr>
                  <w:r>
                    <w:rPr>
                      <w:rFonts w:hint="eastAsia"/>
                      <w:color w:val="auto"/>
                      <w:kern w:val="2"/>
                      <w:sz w:val="21"/>
                      <w:szCs w:val="21"/>
                      <w:lang w:val="en-US" w:eastAsia="zh-CN" w:bidi="ar-SA"/>
                    </w:rPr>
                    <w:t>2400</w:t>
                  </w:r>
                </w:p>
              </w:tc>
              <w:tc>
                <w:tcPr>
                  <w:tcW w:w="304" w:type="pct"/>
                  <w:tcBorders>
                    <w:tl2br w:val="nil"/>
                    <w:tr2bl w:val="nil"/>
                  </w:tcBorders>
                  <w:shd w:val="clear" w:color="auto" w:fill="auto"/>
                  <w:noWrap w:val="0"/>
                  <w:vAlign w:val="center"/>
                </w:tcPr>
                <w:p w14:paraId="5000484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05" w:type="pct"/>
                  <w:tcBorders>
                    <w:tl2br w:val="nil"/>
                    <w:tr2bl w:val="nil"/>
                  </w:tcBorders>
                  <w:shd w:val="clear" w:color="auto" w:fill="auto"/>
                  <w:noWrap w:val="0"/>
                  <w:vAlign w:val="center"/>
                </w:tcPr>
                <w:p w14:paraId="1EC777B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363" w:type="pct"/>
                  <w:tcBorders>
                    <w:tl2br w:val="nil"/>
                    <w:tr2bl w:val="nil"/>
                  </w:tcBorders>
                  <w:shd w:val="clear" w:color="auto" w:fill="auto"/>
                  <w:noWrap w:val="0"/>
                  <w:vAlign w:val="center"/>
                </w:tcPr>
                <w:p w14:paraId="1D416E9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212" w:type="pct"/>
                  <w:tcBorders>
                    <w:tl2br w:val="nil"/>
                    <w:tr2bl w:val="nil"/>
                  </w:tcBorders>
                  <w:noWrap w:val="0"/>
                  <w:vAlign w:val="center"/>
                </w:tcPr>
                <w:p w14:paraId="11A95B09">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szCs w:val="21"/>
                      <w:lang w:val="en-US" w:eastAsia="zh-CN"/>
                    </w:rPr>
                    <w:t>/</w:t>
                  </w:r>
                </w:p>
              </w:tc>
              <w:tc>
                <w:tcPr>
                  <w:tcW w:w="298" w:type="pct"/>
                  <w:tcBorders>
                    <w:tl2br w:val="nil"/>
                    <w:tr2bl w:val="nil"/>
                  </w:tcBorders>
                  <w:noWrap w:val="0"/>
                  <w:vAlign w:val="center"/>
                </w:tcPr>
                <w:p w14:paraId="5A5A21C1">
                  <w:pPr>
                    <w:widowControl/>
                    <w:spacing w:line="240" w:lineRule="auto"/>
                    <w:ind w:firstLine="0" w:firstLineChars="0"/>
                    <w:jc w:val="center"/>
                    <w:rPr>
                      <w:rFonts w:hint="eastAsia"/>
                      <w:bCs/>
                      <w:color w:val="auto"/>
                      <w:spacing w:val="-10"/>
                      <w:szCs w:val="21"/>
                      <w:lang w:val="en-US" w:eastAsia="zh-CN"/>
                    </w:rPr>
                  </w:pPr>
                  <w:r>
                    <w:rPr>
                      <w:rFonts w:hint="default" w:ascii="Times New Roman" w:hAnsi="Times New Roman" w:cs="Times New Roman"/>
                      <w:color w:val="auto"/>
                      <w:sz w:val="21"/>
                      <w:szCs w:val="21"/>
                      <w:highlight w:val="none"/>
                    </w:rPr>
                    <w:t>设备密闭搅拌</w:t>
                  </w:r>
                </w:p>
              </w:tc>
              <w:tc>
                <w:tcPr>
                  <w:tcW w:w="329" w:type="pct"/>
                  <w:tcBorders>
                    <w:tl2br w:val="nil"/>
                    <w:tr2bl w:val="nil"/>
                  </w:tcBorders>
                  <w:shd w:val="clear" w:color="auto" w:fill="auto"/>
                  <w:noWrap w:val="0"/>
                  <w:vAlign w:val="center"/>
                </w:tcPr>
                <w:p w14:paraId="69CDBAAF">
                  <w:pPr>
                    <w:adjustRightInd w:val="0"/>
                    <w:snapToGrid w:val="0"/>
                    <w:jc w:val="center"/>
                    <w:rPr>
                      <w:rFonts w:ascii="Times New Roman" w:hAnsi="Times New Roman" w:cs="Times New Roman"/>
                      <w:color w:val="auto"/>
                      <w:szCs w:val="21"/>
                    </w:rPr>
                  </w:pPr>
                  <w:r>
                    <w:rPr>
                      <w:rFonts w:hint="eastAsia" w:cs="Times New Roman"/>
                      <w:color w:val="auto"/>
                      <w:szCs w:val="21"/>
                      <w:lang w:val="en-US" w:eastAsia="zh-CN"/>
                    </w:rPr>
                    <w:t>/</w:t>
                  </w:r>
                </w:p>
              </w:tc>
              <w:tc>
                <w:tcPr>
                  <w:tcW w:w="380" w:type="pct"/>
                  <w:tcBorders>
                    <w:tl2br w:val="nil"/>
                    <w:tr2bl w:val="nil"/>
                  </w:tcBorders>
                  <w:shd w:val="clear" w:color="auto" w:fill="auto"/>
                  <w:noWrap w:val="0"/>
                  <w:vAlign w:val="center"/>
                </w:tcPr>
                <w:p w14:paraId="0F61D99B">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66" w:type="pct"/>
                  <w:tcBorders>
                    <w:tl2br w:val="nil"/>
                    <w:tr2bl w:val="nil"/>
                  </w:tcBorders>
                  <w:shd w:val="clear" w:color="auto" w:fill="auto"/>
                  <w:noWrap w:val="0"/>
                  <w:vAlign w:val="center"/>
                </w:tcPr>
                <w:p w14:paraId="66BA159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28" w:type="pct"/>
                  <w:tcBorders>
                    <w:tl2br w:val="nil"/>
                    <w:tr2bl w:val="nil"/>
                  </w:tcBorders>
                  <w:noWrap w:val="0"/>
                  <w:vAlign w:val="center"/>
                </w:tcPr>
                <w:p w14:paraId="3042DD86">
                  <w:pPr>
                    <w:widowControl/>
                    <w:spacing w:line="240" w:lineRule="auto"/>
                    <w:ind w:firstLine="0" w:firstLineChars="0"/>
                    <w:jc w:val="center"/>
                    <w:rPr>
                      <w:rFonts w:hint="eastAsia" w:ascii="Times New Roman" w:hAnsi="Times New Roman" w:cs="Times New Roman"/>
                      <w:color w:val="auto"/>
                      <w:kern w:val="0"/>
                      <w:sz w:val="21"/>
                      <w:szCs w:val="21"/>
                      <w:highlight w:val="none"/>
                      <w:lang w:val="en-US" w:eastAsia="zh-CN"/>
                    </w:rPr>
                  </w:pPr>
                  <w:r>
                    <w:rPr>
                      <w:rFonts w:hint="eastAsia" w:cs="Times New Roman"/>
                      <w:color w:val="auto"/>
                      <w:szCs w:val="21"/>
                      <w:lang w:val="en-US" w:eastAsia="zh-CN"/>
                    </w:rPr>
                    <w:t>/</w:t>
                  </w:r>
                </w:p>
              </w:tc>
              <w:tc>
                <w:tcPr>
                  <w:tcW w:w="241" w:type="pct"/>
                  <w:tcBorders>
                    <w:tl2br w:val="nil"/>
                    <w:tr2bl w:val="nil"/>
                  </w:tcBorders>
                  <w:noWrap w:val="0"/>
                  <w:vAlign w:val="center"/>
                </w:tcPr>
                <w:p w14:paraId="0E560A4A">
                  <w:pPr>
                    <w:widowControl/>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szCs w:val="21"/>
                      <w:lang w:val="en-US" w:eastAsia="zh-CN"/>
                    </w:rPr>
                    <w:t>/</w:t>
                  </w:r>
                </w:p>
              </w:tc>
              <w:tc>
                <w:tcPr>
                  <w:tcW w:w="230" w:type="pct"/>
                  <w:tcBorders>
                    <w:tl2br w:val="nil"/>
                    <w:tr2bl w:val="nil"/>
                  </w:tcBorders>
                  <w:noWrap w:val="0"/>
                  <w:vAlign w:val="center"/>
                </w:tcPr>
                <w:p w14:paraId="2D23D66B">
                  <w:pPr>
                    <w:widowControl/>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szCs w:val="21"/>
                      <w:lang w:val="en-US" w:eastAsia="zh-CN"/>
                    </w:rPr>
                    <w:t>/</w:t>
                  </w:r>
                </w:p>
              </w:tc>
              <w:tc>
                <w:tcPr>
                  <w:tcW w:w="326" w:type="pct"/>
                  <w:tcBorders>
                    <w:tl2br w:val="nil"/>
                    <w:tr2bl w:val="nil"/>
                  </w:tcBorders>
                  <w:noWrap w:val="0"/>
                  <w:vAlign w:val="center"/>
                </w:tcPr>
                <w:p w14:paraId="58DD0CAF">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1.0</w:t>
                  </w:r>
                </w:p>
              </w:tc>
            </w:tr>
            <w:tr w14:paraId="6049D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tcBorders>
                    <w:tl2br w:val="nil"/>
                    <w:tr2bl w:val="nil"/>
                  </w:tcBorders>
                  <w:noWrap w:val="0"/>
                  <w:vAlign w:val="center"/>
                </w:tcPr>
                <w:p w14:paraId="522D8FF6">
                  <w:pPr>
                    <w:widowControl/>
                    <w:spacing w:line="240" w:lineRule="auto"/>
                    <w:ind w:firstLine="0" w:firstLineChars="0"/>
                    <w:jc w:val="center"/>
                    <w:rPr>
                      <w:rFonts w:hint="eastAsia"/>
                      <w:color w:val="auto"/>
                      <w:szCs w:val="21"/>
                      <w:lang w:val="en-US" w:eastAsia="zh-CN"/>
                    </w:rPr>
                  </w:pPr>
                </w:p>
              </w:tc>
              <w:tc>
                <w:tcPr>
                  <w:tcW w:w="281" w:type="pct"/>
                  <w:vMerge w:val="restart"/>
                  <w:tcBorders>
                    <w:tl2br w:val="nil"/>
                    <w:tr2bl w:val="nil"/>
                  </w:tcBorders>
                  <w:noWrap w:val="0"/>
                  <w:vAlign w:val="center"/>
                </w:tcPr>
                <w:p w14:paraId="46083326">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olor w:val="auto"/>
                      <w:szCs w:val="21"/>
                      <w:lang w:val="en-US" w:eastAsia="zh-CN"/>
                    </w:rPr>
                    <w:t>挤出</w:t>
                  </w:r>
                </w:p>
              </w:tc>
              <w:tc>
                <w:tcPr>
                  <w:tcW w:w="266" w:type="pct"/>
                  <w:vMerge w:val="restart"/>
                  <w:tcBorders>
                    <w:tl2br w:val="nil"/>
                    <w:tr2bl w:val="nil"/>
                  </w:tcBorders>
                  <w:noWrap w:val="0"/>
                  <w:vAlign w:val="center"/>
                </w:tcPr>
                <w:p w14:paraId="45AE4A74">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非甲烷总烃</w:t>
                  </w:r>
                </w:p>
              </w:tc>
              <w:tc>
                <w:tcPr>
                  <w:tcW w:w="287" w:type="pct"/>
                  <w:vMerge w:val="restart"/>
                  <w:tcBorders>
                    <w:tl2br w:val="nil"/>
                    <w:tr2bl w:val="nil"/>
                  </w:tcBorders>
                  <w:noWrap w:val="0"/>
                  <w:vAlign w:val="center"/>
                </w:tcPr>
                <w:p w14:paraId="1BEDBDEF">
                  <w:pPr>
                    <w:widowControl/>
                    <w:spacing w:line="240" w:lineRule="auto"/>
                    <w:ind w:firstLine="0" w:firstLineChars="0"/>
                    <w:jc w:val="center"/>
                    <w:rPr>
                      <w:rFonts w:hint="default" w:ascii="Times New Roman" w:hAnsi="Times New Roman" w:cs="Times New Roman"/>
                      <w:color w:val="auto"/>
                      <w:kern w:val="0"/>
                      <w:sz w:val="21"/>
                      <w:szCs w:val="21"/>
                      <w:highlight w:val="none"/>
                      <w:lang w:val="en-US"/>
                    </w:rPr>
                  </w:pPr>
                  <w:r>
                    <w:rPr>
                      <w:rFonts w:hint="eastAsia" w:cs="Times New Roman"/>
                      <w:color w:val="auto"/>
                      <w:kern w:val="0"/>
                      <w:sz w:val="21"/>
                      <w:szCs w:val="21"/>
                      <w:highlight w:val="none"/>
                      <w:lang w:val="en-US" w:eastAsia="zh-CN"/>
                    </w:rPr>
                    <w:t>10000</w:t>
                  </w:r>
                </w:p>
              </w:tc>
              <w:tc>
                <w:tcPr>
                  <w:tcW w:w="295" w:type="pct"/>
                  <w:vMerge w:val="restart"/>
                  <w:tcBorders>
                    <w:tl2br w:val="nil"/>
                    <w:tr2bl w:val="nil"/>
                  </w:tcBorders>
                  <w:noWrap w:val="0"/>
                  <w:vAlign w:val="center"/>
                </w:tcPr>
                <w:p w14:paraId="6A25F607">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2400</w:t>
                  </w:r>
                </w:p>
              </w:tc>
              <w:tc>
                <w:tcPr>
                  <w:tcW w:w="304" w:type="pct"/>
                  <w:tcBorders>
                    <w:tl2br w:val="nil"/>
                    <w:tr2bl w:val="nil"/>
                  </w:tcBorders>
                  <w:shd w:val="clear" w:color="auto" w:fill="auto"/>
                  <w:noWrap w:val="0"/>
                  <w:vAlign w:val="center"/>
                </w:tcPr>
                <w:p w14:paraId="4E2298E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0.752</w:t>
                  </w:r>
                </w:p>
              </w:tc>
              <w:tc>
                <w:tcPr>
                  <w:tcW w:w="305" w:type="pct"/>
                  <w:tcBorders>
                    <w:tl2br w:val="nil"/>
                    <w:tr2bl w:val="nil"/>
                  </w:tcBorders>
                  <w:shd w:val="clear" w:color="auto" w:fill="auto"/>
                  <w:noWrap w:val="0"/>
                  <w:vAlign w:val="center"/>
                </w:tcPr>
                <w:p w14:paraId="6505A2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0.31</w:t>
                  </w:r>
                </w:p>
              </w:tc>
              <w:tc>
                <w:tcPr>
                  <w:tcW w:w="363" w:type="pct"/>
                  <w:tcBorders>
                    <w:tl2br w:val="nil"/>
                    <w:tr2bl w:val="nil"/>
                  </w:tcBorders>
                  <w:shd w:val="clear" w:color="auto" w:fill="auto"/>
                  <w:noWrap w:val="0"/>
                  <w:vAlign w:val="center"/>
                </w:tcPr>
                <w:p w14:paraId="4893130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31</w:t>
                  </w:r>
                </w:p>
              </w:tc>
              <w:tc>
                <w:tcPr>
                  <w:tcW w:w="212" w:type="pct"/>
                  <w:tcBorders>
                    <w:tl2br w:val="nil"/>
                    <w:tr2bl w:val="nil"/>
                  </w:tcBorders>
                  <w:noWrap w:val="0"/>
                  <w:vAlign w:val="center"/>
                </w:tcPr>
                <w:p w14:paraId="3A0D9224">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有组织</w:t>
                  </w:r>
                </w:p>
              </w:tc>
              <w:tc>
                <w:tcPr>
                  <w:tcW w:w="298" w:type="pct"/>
                  <w:tcBorders>
                    <w:tl2br w:val="nil"/>
                    <w:tr2bl w:val="nil"/>
                  </w:tcBorders>
                  <w:noWrap w:val="0"/>
                  <w:vAlign w:val="center"/>
                </w:tcPr>
                <w:p w14:paraId="45BF7450">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bCs/>
                      <w:color w:val="auto"/>
                      <w:spacing w:val="-10"/>
                      <w:szCs w:val="21"/>
                      <w:lang w:val="en-US" w:eastAsia="zh-CN"/>
                    </w:rPr>
                    <w:t>集气罩+软帘+</w:t>
                  </w:r>
                  <w:r>
                    <w:rPr>
                      <w:rFonts w:hint="eastAsia"/>
                      <w:bCs/>
                      <w:color w:val="auto"/>
                      <w:spacing w:val="-10"/>
                      <w:szCs w:val="21"/>
                      <w:lang w:eastAsia="zh-CN"/>
                    </w:rPr>
                    <w:t>二级活性炭</w:t>
                  </w:r>
                  <w:r>
                    <w:rPr>
                      <w:rFonts w:hint="eastAsia"/>
                      <w:bCs/>
                      <w:color w:val="auto"/>
                      <w:spacing w:val="-10"/>
                      <w:szCs w:val="21"/>
                    </w:rPr>
                    <w:t>吸附</w:t>
                  </w:r>
                </w:p>
              </w:tc>
              <w:tc>
                <w:tcPr>
                  <w:tcW w:w="329" w:type="pct"/>
                  <w:tcBorders>
                    <w:tl2br w:val="nil"/>
                    <w:tr2bl w:val="nil"/>
                  </w:tcBorders>
                  <w:shd w:val="clear" w:color="auto" w:fill="auto"/>
                  <w:noWrap w:val="0"/>
                  <w:vAlign w:val="center"/>
                </w:tcPr>
                <w:p w14:paraId="015E256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0.469</w:t>
                  </w:r>
                </w:p>
              </w:tc>
              <w:tc>
                <w:tcPr>
                  <w:tcW w:w="380" w:type="pct"/>
                  <w:tcBorders>
                    <w:tl2br w:val="nil"/>
                    <w:tr2bl w:val="nil"/>
                  </w:tcBorders>
                  <w:shd w:val="clear" w:color="auto" w:fill="auto"/>
                  <w:noWrap w:val="0"/>
                  <w:vAlign w:val="center"/>
                </w:tcPr>
                <w:p w14:paraId="372EC00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366" w:type="pct"/>
                  <w:tcBorders>
                    <w:tl2br w:val="nil"/>
                    <w:tr2bl w:val="nil"/>
                  </w:tcBorders>
                  <w:shd w:val="clear" w:color="auto" w:fill="auto"/>
                  <w:noWrap w:val="0"/>
                  <w:vAlign w:val="center"/>
                </w:tcPr>
                <w:p w14:paraId="41347CC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228" w:type="pct"/>
                  <w:tcBorders>
                    <w:tl2br w:val="nil"/>
                    <w:tr2bl w:val="nil"/>
                  </w:tcBorders>
                  <w:noWrap w:val="0"/>
                  <w:vAlign w:val="center"/>
                </w:tcPr>
                <w:p w14:paraId="48F12BA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80</w:t>
                  </w:r>
                  <w:r>
                    <w:rPr>
                      <w:rFonts w:hint="default" w:ascii="Times New Roman" w:hAnsi="Times New Roman" w:cs="Times New Roman"/>
                      <w:color w:val="auto"/>
                      <w:kern w:val="0"/>
                      <w:sz w:val="21"/>
                      <w:szCs w:val="21"/>
                      <w:highlight w:val="none"/>
                    </w:rPr>
                    <w:t>%</w:t>
                  </w:r>
                </w:p>
              </w:tc>
              <w:tc>
                <w:tcPr>
                  <w:tcW w:w="241" w:type="pct"/>
                  <w:tcBorders>
                    <w:tl2br w:val="nil"/>
                    <w:tr2bl w:val="nil"/>
                  </w:tcBorders>
                  <w:noWrap w:val="0"/>
                  <w:vAlign w:val="center"/>
                </w:tcPr>
                <w:p w14:paraId="3CDF36E2">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rPr>
                    <w:t>37.59</w:t>
                  </w:r>
                  <w:r>
                    <w:rPr>
                      <w:rFonts w:hint="default" w:ascii="Times New Roman" w:hAnsi="Times New Roman" w:cs="Times New Roman"/>
                      <w:color w:val="auto"/>
                      <w:kern w:val="0"/>
                      <w:sz w:val="21"/>
                      <w:szCs w:val="21"/>
                      <w:highlight w:val="none"/>
                      <w:lang w:eastAsia="zh-CN"/>
                    </w:rPr>
                    <w:t>%</w:t>
                  </w:r>
                </w:p>
              </w:tc>
              <w:tc>
                <w:tcPr>
                  <w:tcW w:w="230" w:type="pct"/>
                  <w:tcBorders>
                    <w:tl2br w:val="nil"/>
                    <w:tr2bl w:val="nil"/>
                  </w:tcBorders>
                  <w:noWrap w:val="0"/>
                  <w:vAlign w:val="center"/>
                </w:tcPr>
                <w:p w14:paraId="490CCF27">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326" w:type="pct"/>
                  <w:tcBorders>
                    <w:tl2br w:val="nil"/>
                    <w:tr2bl w:val="nil"/>
                  </w:tcBorders>
                  <w:noWrap w:val="0"/>
                  <w:vAlign w:val="center"/>
                </w:tcPr>
                <w:p w14:paraId="5A07C03D">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6</w:t>
                  </w:r>
                  <w:r>
                    <w:rPr>
                      <w:rFonts w:hint="eastAsia" w:eastAsia="宋体"/>
                      <w:color w:val="auto"/>
                      <w:kern w:val="2"/>
                      <w:sz w:val="21"/>
                      <w:szCs w:val="21"/>
                      <w:lang w:val="en-US" w:eastAsia="zh-CN" w:bidi="ar-SA"/>
                    </w:rPr>
                    <w:t>0</w:t>
                  </w:r>
                </w:p>
              </w:tc>
            </w:tr>
            <w:tr w14:paraId="28495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81" w:type="pct"/>
                  <w:vMerge w:val="continue"/>
                  <w:tcBorders>
                    <w:tl2br w:val="nil"/>
                    <w:tr2bl w:val="nil"/>
                  </w:tcBorders>
                  <w:noWrap w:val="0"/>
                  <w:vAlign w:val="center"/>
                </w:tcPr>
                <w:p w14:paraId="21EA1278">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81" w:type="pct"/>
                  <w:vMerge w:val="continue"/>
                  <w:tcBorders>
                    <w:tl2br w:val="nil"/>
                    <w:tr2bl w:val="nil"/>
                  </w:tcBorders>
                  <w:noWrap w:val="0"/>
                  <w:vAlign w:val="center"/>
                </w:tcPr>
                <w:p w14:paraId="0FE0F71F">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66" w:type="pct"/>
                  <w:vMerge w:val="continue"/>
                  <w:tcBorders>
                    <w:tl2br w:val="nil"/>
                    <w:tr2bl w:val="nil"/>
                  </w:tcBorders>
                  <w:noWrap w:val="0"/>
                  <w:vAlign w:val="center"/>
                </w:tcPr>
                <w:p w14:paraId="78E81438">
                  <w:pPr>
                    <w:widowControl/>
                    <w:spacing w:line="240" w:lineRule="auto"/>
                    <w:ind w:firstLine="0" w:firstLineChars="0"/>
                    <w:jc w:val="center"/>
                    <w:rPr>
                      <w:rFonts w:hint="default" w:ascii="Times New Roman" w:hAnsi="Times New Roman" w:cs="Times New Roman"/>
                      <w:color w:val="auto"/>
                      <w:kern w:val="0"/>
                      <w:sz w:val="21"/>
                      <w:szCs w:val="21"/>
                      <w:highlight w:val="none"/>
                      <w:lang w:val="en-US" w:eastAsia="zh-CN" w:bidi="ar-SA"/>
                    </w:rPr>
                  </w:pPr>
                </w:p>
              </w:tc>
              <w:tc>
                <w:tcPr>
                  <w:tcW w:w="287" w:type="pct"/>
                  <w:vMerge w:val="continue"/>
                  <w:tcBorders>
                    <w:tl2br w:val="nil"/>
                    <w:tr2bl w:val="nil"/>
                  </w:tcBorders>
                  <w:noWrap w:val="0"/>
                  <w:vAlign w:val="center"/>
                </w:tcPr>
                <w:p w14:paraId="0D04A4E8">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295" w:type="pct"/>
                  <w:vMerge w:val="continue"/>
                  <w:tcBorders>
                    <w:tl2br w:val="nil"/>
                    <w:tr2bl w:val="nil"/>
                  </w:tcBorders>
                  <w:noWrap w:val="0"/>
                  <w:vAlign w:val="center"/>
                </w:tcPr>
                <w:p w14:paraId="763BBBE0">
                  <w:pPr>
                    <w:adjustRightInd w:val="0"/>
                    <w:snapToGrid w:val="0"/>
                    <w:jc w:val="center"/>
                    <w:rPr>
                      <w:rFonts w:hint="eastAsia" w:eastAsia="宋体"/>
                      <w:color w:val="auto"/>
                      <w:kern w:val="2"/>
                      <w:sz w:val="21"/>
                      <w:szCs w:val="21"/>
                      <w:lang w:val="en-US" w:eastAsia="zh-CN" w:bidi="ar-SA"/>
                    </w:rPr>
                  </w:pPr>
                </w:p>
              </w:tc>
              <w:tc>
                <w:tcPr>
                  <w:tcW w:w="304" w:type="pct"/>
                  <w:tcBorders>
                    <w:tl2br w:val="nil"/>
                    <w:tr2bl w:val="nil"/>
                  </w:tcBorders>
                  <w:shd w:val="clear" w:color="auto" w:fill="auto"/>
                  <w:noWrap w:val="0"/>
                  <w:vAlign w:val="center"/>
                </w:tcPr>
                <w:p w14:paraId="33453A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188</w:t>
                  </w:r>
                </w:p>
              </w:tc>
              <w:tc>
                <w:tcPr>
                  <w:tcW w:w="305" w:type="pct"/>
                  <w:tcBorders>
                    <w:tl2br w:val="nil"/>
                    <w:tr2bl w:val="nil"/>
                  </w:tcBorders>
                  <w:shd w:val="clear" w:color="auto" w:fill="auto"/>
                  <w:noWrap w:val="0"/>
                  <w:vAlign w:val="center"/>
                </w:tcPr>
                <w:p w14:paraId="3A5C05A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63" w:type="pct"/>
                  <w:tcBorders>
                    <w:tl2br w:val="nil"/>
                    <w:tr2bl w:val="nil"/>
                  </w:tcBorders>
                  <w:shd w:val="clear" w:color="auto" w:fill="auto"/>
                  <w:noWrap w:val="0"/>
                  <w:vAlign w:val="center"/>
                </w:tcPr>
                <w:p w14:paraId="7F6C52E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12" w:type="pct"/>
                  <w:tcBorders>
                    <w:tl2br w:val="nil"/>
                    <w:tr2bl w:val="nil"/>
                  </w:tcBorders>
                  <w:noWrap w:val="0"/>
                  <w:vAlign w:val="center"/>
                </w:tcPr>
                <w:p w14:paraId="2B6AF1A5">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无组织</w:t>
                  </w:r>
                </w:p>
              </w:tc>
              <w:tc>
                <w:tcPr>
                  <w:tcW w:w="298" w:type="pct"/>
                  <w:tcBorders>
                    <w:tl2br w:val="nil"/>
                    <w:tr2bl w:val="nil"/>
                  </w:tcBorders>
                  <w:noWrap w:val="0"/>
                  <w:vAlign w:val="center"/>
                </w:tcPr>
                <w:p w14:paraId="4BC8AEF1">
                  <w:pPr>
                    <w:widowControl/>
                    <w:spacing w:line="240" w:lineRule="auto"/>
                    <w:ind w:firstLine="0" w:firstLineChars="0"/>
                    <w:jc w:val="center"/>
                    <w:rPr>
                      <w:rFonts w:hint="eastAsia" w:eastAsia="宋体"/>
                      <w:bCs/>
                      <w:color w:val="auto"/>
                      <w:spacing w:val="-10"/>
                      <w:szCs w:val="21"/>
                      <w:lang w:val="en-US" w:eastAsia="zh-CN"/>
                    </w:rPr>
                  </w:pPr>
                  <w:r>
                    <w:rPr>
                      <w:rFonts w:hint="eastAsia"/>
                      <w:bCs/>
                      <w:color w:val="auto"/>
                      <w:spacing w:val="-10"/>
                      <w:szCs w:val="21"/>
                      <w:lang w:val="en-US" w:eastAsia="zh-CN"/>
                    </w:rPr>
                    <w:t>/</w:t>
                  </w:r>
                </w:p>
              </w:tc>
              <w:tc>
                <w:tcPr>
                  <w:tcW w:w="329" w:type="pct"/>
                  <w:tcBorders>
                    <w:tl2br w:val="nil"/>
                    <w:tr2bl w:val="nil"/>
                  </w:tcBorders>
                  <w:shd w:val="clear" w:color="auto" w:fill="auto"/>
                  <w:noWrap w:val="0"/>
                  <w:vAlign w:val="center"/>
                </w:tcPr>
                <w:p w14:paraId="1557A44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188</w:t>
                  </w:r>
                </w:p>
              </w:tc>
              <w:tc>
                <w:tcPr>
                  <w:tcW w:w="380" w:type="pct"/>
                  <w:tcBorders>
                    <w:tl2br w:val="nil"/>
                    <w:tr2bl w:val="nil"/>
                  </w:tcBorders>
                  <w:shd w:val="clear" w:color="auto" w:fill="auto"/>
                  <w:noWrap w:val="0"/>
                  <w:vAlign w:val="center"/>
                </w:tcPr>
                <w:p w14:paraId="0269A5B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66" w:type="pct"/>
                  <w:tcBorders>
                    <w:tl2br w:val="nil"/>
                    <w:tr2bl w:val="nil"/>
                  </w:tcBorders>
                  <w:shd w:val="clear" w:color="auto" w:fill="auto"/>
                  <w:noWrap w:val="0"/>
                  <w:vAlign w:val="center"/>
                </w:tcPr>
                <w:p w14:paraId="42D8D59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28" w:type="pct"/>
                  <w:tcBorders>
                    <w:tl2br w:val="nil"/>
                    <w:tr2bl w:val="nil"/>
                  </w:tcBorders>
                  <w:noWrap w:val="0"/>
                  <w:vAlign w:val="center"/>
                </w:tcPr>
                <w:p w14:paraId="057B893A">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41" w:type="pct"/>
                  <w:tcBorders>
                    <w:tl2br w:val="nil"/>
                    <w:tr2bl w:val="nil"/>
                  </w:tcBorders>
                  <w:noWrap w:val="0"/>
                  <w:vAlign w:val="center"/>
                </w:tcPr>
                <w:p w14:paraId="3E61B3A9">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30" w:type="pct"/>
                  <w:tcBorders>
                    <w:tl2br w:val="nil"/>
                    <w:tr2bl w:val="nil"/>
                  </w:tcBorders>
                  <w:noWrap w:val="0"/>
                  <w:vAlign w:val="center"/>
                </w:tcPr>
                <w:p w14:paraId="7921EACD">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326" w:type="pct"/>
                  <w:tcBorders>
                    <w:tl2br w:val="nil"/>
                    <w:tr2bl w:val="nil"/>
                  </w:tcBorders>
                  <w:noWrap w:val="0"/>
                  <w:vAlign w:val="center"/>
                </w:tcPr>
                <w:p w14:paraId="11DE7AE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w:t>
                  </w:r>
                  <w:r>
                    <w:rPr>
                      <w:rFonts w:hint="eastAsia" w:ascii="Times New Roman" w:hAnsi="Times New Roman" w:cs="Times New Roman"/>
                      <w:color w:val="auto"/>
                      <w:szCs w:val="21"/>
                      <w:lang w:val="en-US" w:eastAsia="zh-CN"/>
                    </w:rPr>
                    <w:t>0</w:t>
                  </w:r>
                </w:p>
              </w:tc>
            </w:tr>
            <w:tr w14:paraId="49555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Merge w:val="restart"/>
                  <w:tcBorders>
                    <w:tl2br w:val="nil"/>
                    <w:tr2bl w:val="nil"/>
                  </w:tcBorders>
                  <w:noWrap w:val="0"/>
                  <w:vAlign w:val="center"/>
                </w:tcPr>
                <w:p w14:paraId="7CF18616">
                  <w:pPr>
                    <w:widowControl/>
                    <w:spacing w:line="240" w:lineRule="auto"/>
                    <w:ind w:firstLine="0" w:firstLineChars="0"/>
                    <w:jc w:val="center"/>
                    <w:rPr>
                      <w:rFonts w:hint="eastAsia"/>
                      <w:color w:val="auto"/>
                      <w:szCs w:val="21"/>
                      <w:lang w:val="en-US" w:eastAsia="zh-CN"/>
                    </w:rPr>
                  </w:pPr>
                  <w:r>
                    <w:rPr>
                      <w:rFonts w:hint="eastAsia"/>
                      <w:color w:val="auto"/>
                      <w:szCs w:val="21"/>
                      <w:lang w:val="en-US" w:eastAsia="zh-CN"/>
                    </w:rPr>
                    <w:t>聚氨酯保温管生产线</w:t>
                  </w:r>
                </w:p>
              </w:tc>
              <w:tc>
                <w:tcPr>
                  <w:tcW w:w="281" w:type="pct"/>
                  <w:vMerge w:val="restart"/>
                  <w:tcBorders>
                    <w:tl2br w:val="nil"/>
                    <w:tr2bl w:val="nil"/>
                  </w:tcBorders>
                  <w:noWrap w:val="0"/>
                  <w:vAlign w:val="center"/>
                </w:tcPr>
                <w:p w14:paraId="7CB56C9B">
                  <w:pPr>
                    <w:widowControl/>
                    <w:spacing w:line="240" w:lineRule="auto"/>
                    <w:ind w:firstLine="0" w:firstLineChars="0"/>
                    <w:jc w:val="center"/>
                    <w:rPr>
                      <w:rFonts w:hint="default" w:cs="Times New Roman"/>
                      <w:color w:val="auto"/>
                      <w:kern w:val="0"/>
                      <w:sz w:val="21"/>
                      <w:szCs w:val="21"/>
                      <w:highlight w:val="none"/>
                      <w:lang w:val="en-US" w:eastAsia="zh-CN"/>
                    </w:rPr>
                  </w:pPr>
                  <w:r>
                    <w:rPr>
                      <w:rFonts w:hint="eastAsia"/>
                      <w:color w:val="auto"/>
                      <w:szCs w:val="21"/>
                      <w:lang w:val="en-US" w:eastAsia="zh-CN"/>
                    </w:rPr>
                    <w:t>发泡</w:t>
                  </w:r>
                </w:p>
              </w:tc>
              <w:tc>
                <w:tcPr>
                  <w:tcW w:w="266" w:type="pct"/>
                  <w:vMerge w:val="restart"/>
                  <w:tcBorders>
                    <w:tl2br w:val="nil"/>
                    <w:tr2bl w:val="nil"/>
                  </w:tcBorders>
                  <w:noWrap w:val="0"/>
                  <w:vAlign w:val="center"/>
                </w:tcPr>
                <w:p w14:paraId="6DE7FFA7">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非甲烷总烃</w:t>
                  </w:r>
                </w:p>
              </w:tc>
              <w:tc>
                <w:tcPr>
                  <w:tcW w:w="287" w:type="pct"/>
                  <w:vMerge w:val="restart"/>
                  <w:tcBorders>
                    <w:tl2br w:val="nil"/>
                    <w:tr2bl w:val="nil"/>
                  </w:tcBorders>
                  <w:noWrap w:val="0"/>
                  <w:vAlign w:val="center"/>
                </w:tcPr>
                <w:p w14:paraId="10C2C078">
                  <w:pPr>
                    <w:widowControl/>
                    <w:spacing w:line="240" w:lineRule="auto"/>
                    <w:ind w:firstLine="0" w:firstLine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rPr>
                    <w:t>000</w:t>
                  </w:r>
                </w:p>
              </w:tc>
              <w:tc>
                <w:tcPr>
                  <w:tcW w:w="295" w:type="pct"/>
                  <w:vMerge w:val="restart"/>
                  <w:tcBorders>
                    <w:tl2br w:val="nil"/>
                    <w:tr2bl w:val="nil"/>
                  </w:tcBorders>
                  <w:noWrap w:val="0"/>
                  <w:vAlign w:val="center"/>
                </w:tcPr>
                <w:p w14:paraId="4FC92B0E">
                  <w:pPr>
                    <w:widowControl/>
                    <w:spacing w:line="240" w:lineRule="auto"/>
                    <w:ind w:firstLine="0" w:firstLineChars="0"/>
                    <w:jc w:val="center"/>
                    <w:rPr>
                      <w:rFonts w:hint="eastAsia" w:cs="Times New Roman"/>
                      <w:color w:val="auto"/>
                      <w:kern w:val="0"/>
                      <w:sz w:val="21"/>
                      <w:szCs w:val="21"/>
                      <w:highlight w:val="none"/>
                      <w:lang w:val="en-US" w:eastAsia="zh-CN"/>
                    </w:rPr>
                  </w:pPr>
                  <w:r>
                    <w:rPr>
                      <w:rFonts w:hint="eastAsia"/>
                      <w:color w:val="auto"/>
                      <w:kern w:val="2"/>
                      <w:sz w:val="21"/>
                      <w:szCs w:val="21"/>
                      <w:lang w:val="en-US" w:eastAsia="zh-CN" w:bidi="ar-SA"/>
                    </w:rPr>
                    <w:t>900</w:t>
                  </w:r>
                </w:p>
              </w:tc>
              <w:tc>
                <w:tcPr>
                  <w:tcW w:w="304" w:type="pct"/>
                  <w:tcBorders>
                    <w:tl2br w:val="nil"/>
                    <w:tr2bl w:val="nil"/>
                  </w:tcBorders>
                  <w:shd w:val="clear" w:color="auto" w:fill="auto"/>
                  <w:noWrap w:val="0"/>
                  <w:vAlign w:val="center"/>
                </w:tcPr>
                <w:p w14:paraId="4AE4C42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0.306</w:t>
                  </w:r>
                </w:p>
              </w:tc>
              <w:tc>
                <w:tcPr>
                  <w:tcW w:w="305" w:type="pct"/>
                  <w:tcBorders>
                    <w:tl2br w:val="nil"/>
                    <w:tr2bl w:val="nil"/>
                  </w:tcBorders>
                  <w:shd w:val="clear" w:color="auto" w:fill="auto"/>
                  <w:noWrap w:val="0"/>
                  <w:vAlign w:val="center"/>
                </w:tcPr>
                <w:p w14:paraId="4366DE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0.34</w:t>
                  </w:r>
                </w:p>
              </w:tc>
              <w:tc>
                <w:tcPr>
                  <w:tcW w:w="363" w:type="pct"/>
                  <w:tcBorders>
                    <w:tl2br w:val="nil"/>
                    <w:tr2bl w:val="nil"/>
                  </w:tcBorders>
                  <w:shd w:val="clear" w:color="auto" w:fill="auto"/>
                  <w:noWrap w:val="0"/>
                  <w:vAlign w:val="center"/>
                </w:tcPr>
                <w:p w14:paraId="59B6D09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42.5</w:t>
                  </w:r>
                </w:p>
              </w:tc>
              <w:tc>
                <w:tcPr>
                  <w:tcW w:w="212" w:type="pct"/>
                  <w:tcBorders>
                    <w:tl2br w:val="nil"/>
                    <w:tr2bl w:val="nil"/>
                  </w:tcBorders>
                  <w:noWrap w:val="0"/>
                  <w:vAlign w:val="center"/>
                </w:tcPr>
                <w:p w14:paraId="102A1140">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有组织</w:t>
                  </w:r>
                </w:p>
              </w:tc>
              <w:tc>
                <w:tcPr>
                  <w:tcW w:w="298" w:type="pct"/>
                  <w:tcBorders>
                    <w:tl2br w:val="nil"/>
                    <w:tr2bl w:val="nil"/>
                  </w:tcBorders>
                  <w:noWrap w:val="0"/>
                  <w:vAlign w:val="center"/>
                </w:tcPr>
                <w:p w14:paraId="21C7C322">
                  <w:pPr>
                    <w:widowControl/>
                    <w:spacing w:line="240" w:lineRule="auto"/>
                    <w:ind w:firstLine="0" w:firstLineChars="0"/>
                    <w:jc w:val="center"/>
                    <w:rPr>
                      <w:rFonts w:hint="eastAsia"/>
                      <w:bCs/>
                      <w:color w:val="auto"/>
                      <w:spacing w:val="-10"/>
                      <w:szCs w:val="21"/>
                    </w:rPr>
                  </w:pPr>
                  <w:r>
                    <w:rPr>
                      <w:rFonts w:hint="eastAsia"/>
                      <w:bCs/>
                      <w:color w:val="auto"/>
                      <w:spacing w:val="-10"/>
                      <w:szCs w:val="21"/>
                      <w:lang w:val="en-US" w:eastAsia="zh-CN"/>
                    </w:rPr>
                    <w:t>集气罩+软帘+</w:t>
                  </w:r>
                  <w:r>
                    <w:rPr>
                      <w:rFonts w:hint="eastAsia"/>
                      <w:bCs/>
                      <w:color w:val="auto"/>
                      <w:spacing w:val="-10"/>
                      <w:szCs w:val="21"/>
                      <w:lang w:eastAsia="zh-CN"/>
                    </w:rPr>
                    <w:t>二级活性炭</w:t>
                  </w:r>
                  <w:r>
                    <w:rPr>
                      <w:rFonts w:hint="eastAsia"/>
                      <w:bCs/>
                      <w:color w:val="auto"/>
                      <w:spacing w:val="-10"/>
                      <w:szCs w:val="21"/>
                    </w:rPr>
                    <w:t>吸附</w:t>
                  </w:r>
                </w:p>
              </w:tc>
              <w:tc>
                <w:tcPr>
                  <w:tcW w:w="329" w:type="pct"/>
                  <w:tcBorders>
                    <w:tl2br w:val="nil"/>
                    <w:tr2bl w:val="nil"/>
                  </w:tcBorders>
                  <w:shd w:val="clear" w:color="auto" w:fill="auto"/>
                  <w:noWrap w:val="0"/>
                  <w:vAlign w:val="center"/>
                </w:tcPr>
                <w:p w14:paraId="1EB34AE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0.19</w:t>
                  </w:r>
                </w:p>
              </w:tc>
              <w:tc>
                <w:tcPr>
                  <w:tcW w:w="380" w:type="pct"/>
                  <w:tcBorders>
                    <w:tl2br w:val="nil"/>
                    <w:tr2bl w:val="nil"/>
                  </w:tcBorders>
                  <w:shd w:val="clear" w:color="auto" w:fill="auto"/>
                  <w:noWrap w:val="0"/>
                  <w:vAlign w:val="center"/>
                </w:tcPr>
                <w:p w14:paraId="6AE004F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0.21</w:t>
                  </w:r>
                </w:p>
              </w:tc>
              <w:tc>
                <w:tcPr>
                  <w:tcW w:w="366" w:type="pct"/>
                  <w:tcBorders>
                    <w:tl2br w:val="nil"/>
                    <w:tr2bl w:val="nil"/>
                  </w:tcBorders>
                  <w:shd w:val="clear" w:color="auto" w:fill="auto"/>
                  <w:noWrap w:val="0"/>
                  <w:vAlign w:val="center"/>
                </w:tcPr>
                <w:p w14:paraId="482AAB3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26.3</w:t>
                  </w:r>
                </w:p>
              </w:tc>
              <w:tc>
                <w:tcPr>
                  <w:tcW w:w="228" w:type="pct"/>
                  <w:tcBorders>
                    <w:tl2br w:val="nil"/>
                    <w:tr2bl w:val="nil"/>
                  </w:tcBorders>
                  <w:shd w:val="clear" w:color="auto" w:fill="auto"/>
                  <w:noWrap w:val="0"/>
                  <w:vAlign w:val="center"/>
                </w:tcPr>
                <w:p w14:paraId="2BFDC31F">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80</w:t>
                  </w:r>
                  <w:r>
                    <w:rPr>
                      <w:rFonts w:hint="default" w:ascii="Times New Roman" w:hAnsi="Times New Roman" w:cs="Times New Roman"/>
                      <w:color w:val="auto"/>
                      <w:kern w:val="0"/>
                      <w:sz w:val="21"/>
                      <w:szCs w:val="21"/>
                      <w:highlight w:val="none"/>
                    </w:rPr>
                    <w:t>%</w:t>
                  </w:r>
                </w:p>
              </w:tc>
              <w:tc>
                <w:tcPr>
                  <w:tcW w:w="241" w:type="pct"/>
                  <w:tcBorders>
                    <w:tl2br w:val="nil"/>
                    <w:tr2bl w:val="nil"/>
                  </w:tcBorders>
                  <w:shd w:val="clear" w:color="auto" w:fill="auto"/>
                  <w:noWrap w:val="0"/>
                  <w:vAlign w:val="center"/>
                </w:tcPr>
                <w:p w14:paraId="15262A52">
                  <w:pPr>
                    <w:widowControl/>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37.59</w:t>
                  </w:r>
                  <w:r>
                    <w:rPr>
                      <w:rFonts w:hint="default" w:ascii="Times New Roman" w:hAnsi="Times New Roman" w:cs="Times New Roman"/>
                      <w:color w:val="auto"/>
                      <w:kern w:val="0"/>
                      <w:sz w:val="21"/>
                      <w:szCs w:val="21"/>
                      <w:highlight w:val="none"/>
                      <w:lang w:eastAsia="zh-CN"/>
                    </w:rPr>
                    <w:t>%</w:t>
                  </w:r>
                </w:p>
              </w:tc>
              <w:tc>
                <w:tcPr>
                  <w:tcW w:w="230" w:type="pct"/>
                  <w:tcBorders>
                    <w:tl2br w:val="nil"/>
                    <w:tr2bl w:val="nil"/>
                  </w:tcBorders>
                  <w:noWrap w:val="0"/>
                  <w:vAlign w:val="center"/>
                </w:tcPr>
                <w:p w14:paraId="4298DD18">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326" w:type="pct"/>
                  <w:tcBorders>
                    <w:tl2br w:val="nil"/>
                    <w:tr2bl w:val="nil"/>
                  </w:tcBorders>
                  <w:shd w:val="clear" w:color="auto" w:fill="auto"/>
                  <w:noWrap w:val="0"/>
                  <w:vAlign w:val="center"/>
                </w:tcPr>
                <w:p w14:paraId="5373AF4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6</w:t>
                  </w:r>
                  <w:r>
                    <w:rPr>
                      <w:rFonts w:hint="eastAsia" w:eastAsia="宋体"/>
                      <w:color w:val="auto"/>
                      <w:kern w:val="2"/>
                      <w:sz w:val="21"/>
                      <w:szCs w:val="21"/>
                      <w:lang w:val="en-US" w:eastAsia="zh-CN" w:bidi="ar-SA"/>
                    </w:rPr>
                    <w:t>0</w:t>
                  </w:r>
                </w:p>
              </w:tc>
            </w:tr>
            <w:tr w14:paraId="65ABA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tcBorders>
                    <w:tl2br w:val="nil"/>
                    <w:tr2bl w:val="nil"/>
                  </w:tcBorders>
                  <w:noWrap w:val="0"/>
                  <w:vAlign w:val="center"/>
                </w:tcPr>
                <w:p w14:paraId="466182D6">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81" w:type="pct"/>
                  <w:vMerge w:val="continue"/>
                  <w:tcBorders>
                    <w:tl2br w:val="nil"/>
                    <w:tr2bl w:val="nil"/>
                  </w:tcBorders>
                  <w:noWrap w:val="0"/>
                  <w:vAlign w:val="center"/>
                </w:tcPr>
                <w:p w14:paraId="4153585C">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66" w:type="pct"/>
                  <w:vMerge w:val="continue"/>
                  <w:tcBorders>
                    <w:tl2br w:val="nil"/>
                    <w:tr2bl w:val="nil"/>
                  </w:tcBorders>
                  <w:noWrap w:val="0"/>
                  <w:vAlign w:val="center"/>
                </w:tcPr>
                <w:p w14:paraId="3D881581">
                  <w:pPr>
                    <w:widowControl/>
                    <w:spacing w:line="240" w:lineRule="auto"/>
                    <w:ind w:firstLine="0" w:firstLineChars="0"/>
                    <w:jc w:val="center"/>
                    <w:rPr>
                      <w:rFonts w:hint="eastAsia" w:ascii="Times New Roman" w:hAnsi="Times New Roman" w:cs="Times New Roman"/>
                      <w:color w:val="auto"/>
                      <w:kern w:val="0"/>
                      <w:sz w:val="21"/>
                      <w:szCs w:val="21"/>
                      <w:highlight w:val="none"/>
                      <w:lang w:val="en-US" w:eastAsia="zh-CN" w:bidi="ar-SA"/>
                    </w:rPr>
                  </w:pPr>
                </w:p>
              </w:tc>
              <w:tc>
                <w:tcPr>
                  <w:tcW w:w="287" w:type="pct"/>
                  <w:vMerge w:val="continue"/>
                  <w:tcBorders>
                    <w:tl2br w:val="nil"/>
                    <w:tr2bl w:val="nil"/>
                  </w:tcBorders>
                  <w:noWrap w:val="0"/>
                  <w:vAlign w:val="center"/>
                </w:tcPr>
                <w:p w14:paraId="1C4433FF">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295" w:type="pct"/>
                  <w:vMerge w:val="continue"/>
                  <w:tcBorders>
                    <w:tl2br w:val="nil"/>
                    <w:tr2bl w:val="nil"/>
                  </w:tcBorders>
                  <w:noWrap w:val="0"/>
                  <w:vAlign w:val="center"/>
                </w:tcPr>
                <w:p w14:paraId="50C43575">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304" w:type="pct"/>
                  <w:tcBorders>
                    <w:tl2br w:val="nil"/>
                    <w:tr2bl w:val="nil"/>
                  </w:tcBorders>
                  <w:shd w:val="clear" w:color="auto" w:fill="auto"/>
                  <w:noWrap w:val="0"/>
                  <w:vAlign w:val="center"/>
                </w:tcPr>
                <w:p w14:paraId="77864A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0.077</w:t>
                  </w:r>
                </w:p>
              </w:tc>
              <w:tc>
                <w:tcPr>
                  <w:tcW w:w="305" w:type="pct"/>
                  <w:tcBorders>
                    <w:tl2br w:val="nil"/>
                    <w:tr2bl w:val="nil"/>
                  </w:tcBorders>
                  <w:shd w:val="clear" w:color="auto" w:fill="auto"/>
                  <w:noWrap w:val="0"/>
                  <w:vAlign w:val="center"/>
                </w:tcPr>
                <w:p w14:paraId="46F2E3D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63" w:type="pct"/>
                  <w:tcBorders>
                    <w:tl2br w:val="nil"/>
                    <w:tr2bl w:val="nil"/>
                  </w:tcBorders>
                  <w:shd w:val="clear" w:color="auto" w:fill="auto"/>
                  <w:noWrap w:val="0"/>
                  <w:vAlign w:val="center"/>
                </w:tcPr>
                <w:p w14:paraId="18C19AA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12" w:type="pct"/>
                  <w:tcBorders>
                    <w:tl2br w:val="nil"/>
                    <w:tr2bl w:val="nil"/>
                  </w:tcBorders>
                  <w:noWrap w:val="0"/>
                  <w:vAlign w:val="center"/>
                </w:tcPr>
                <w:p w14:paraId="5BB0E0C6">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无组织</w:t>
                  </w:r>
                </w:p>
              </w:tc>
              <w:tc>
                <w:tcPr>
                  <w:tcW w:w="298" w:type="pct"/>
                  <w:tcBorders>
                    <w:tl2br w:val="nil"/>
                    <w:tr2bl w:val="nil"/>
                  </w:tcBorders>
                  <w:noWrap w:val="0"/>
                  <w:vAlign w:val="center"/>
                </w:tcPr>
                <w:p w14:paraId="11B14351">
                  <w:pPr>
                    <w:widowControl/>
                    <w:spacing w:line="240" w:lineRule="auto"/>
                    <w:ind w:firstLine="0" w:firstLineChars="0"/>
                    <w:jc w:val="center"/>
                    <w:rPr>
                      <w:rFonts w:hint="eastAsia" w:eastAsia="宋体"/>
                      <w:bCs/>
                      <w:color w:val="auto"/>
                      <w:spacing w:val="-10"/>
                      <w:szCs w:val="21"/>
                      <w:lang w:val="en-US" w:eastAsia="zh-CN"/>
                    </w:rPr>
                  </w:pPr>
                  <w:r>
                    <w:rPr>
                      <w:rFonts w:hint="eastAsia"/>
                      <w:bCs/>
                      <w:color w:val="auto"/>
                      <w:spacing w:val="-10"/>
                      <w:szCs w:val="21"/>
                      <w:lang w:val="en-US" w:eastAsia="zh-CN"/>
                    </w:rPr>
                    <w:t>/</w:t>
                  </w:r>
                </w:p>
              </w:tc>
              <w:tc>
                <w:tcPr>
                  <w:tcW w:w="329" w:type="pct"/>
                  <w:tcBorders>
                    <w:tl2br w:val="nil"/>
                    <w:tr2bl w:val="nil"/>
                  </w:tcBorders>
                  <w:shd w:val="clear" w:color="auto" w:fill="auto"/>
                  <w:noWrap w:val="0"/>
                  <w:vAlign w:val="center"/>
                </w:tcPr>
                <w:p w14:paraId="7D86AB9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77</w:t>
                  </w:r>
                </w:p>
              </w:tc>
              <w:tc>
                <w:tcPr>
                  <w:tcW w:w="380" w:type="pct"/>
                  <w:tcBorders>
                    <w:tl2br w:val="nil"/>
                    <w:tr2bl w:val="nil"/>
                  </w:tcBorders>
                  <w:shd w:val="clear" w:color="auto" w:fill="auto"/>
                  <w:noWrap w:val="0"/>
                  <w:vAlign w:val="center"/>
                </w:tcPr>
                <w:p w14:paraId="6B7D4C9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366" w:type="pct"/>
                  <w:tcBorders>
                    <w:tl2br w:val="nil"/>
                    <w:tr2bl w:val="nil"/>
                  </w:tcBorders>
                  <w:shd w:val="clear" w:color="auto" w:fill="auto"/>
                  <w:noWrap w:val="0"/>
                  <w:vAlign w:val="center"/>
                </w:tcPr>
                <w:p w14:paraId="6D09E72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28" w:type="pct"/>
                  <w:tcBorders>
                    <w:tl2br w:val="nil"/>
                    <w:tr2bl w:val="nil"/>
                  </w:tcBorders>
                  <w:noWrap w:val="0"/>
                  <w:vAlign w:val="center"/>
                </w:tcPr>
                <w:p w14:paraId="0246B6E1">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41" w:type="pct"/>
                  <w:tcBorders>
                    <w:tl2br w:val="nil"/>
                    <w:tr2bl w:val="nil"/>
                  </w:tcBorders>
                  <w:noWrap w:val="0"/>
                  <w:vAlign w:val="center"/>
                </w:tcPr>
                <w:p w14:paraId="214A2501">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30" w:type="pct"/>
                  <w:tcBorders>
                    <w:tl2br w:val="nil"/>
                    <w:tr2bl w:val="nil"/>
                  </w:tcBorders>
                  <w:noWrap w:val="0"/>
                  <w:vAlign w:val="center"/>
                </w:tcPr>
                <w:p w14:paraId="13C2B53C">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326" w:type="pct"/>
                  <w:tcBorders>
                    <w:tl2br w:val="nil"/>
                    <w:tr2bl w:val="nil"/>
                  </w:tcBorders>
                  <w:shd w:val="clear" w:color="auto" w:fill="auto"/>
                  <w:noWrap w:val="0"/>
                  <w:vAlign w:val="center"/>
                </w:tcPr>
                <w:p w14:paraId="7766E6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w:t>
                  </w:r>
                  <w:r>
                    <w:rPr>
                      <w:rFonts w:hint="eastAsia" w:ascii="Times New Roman" w:hAnsi="Times New Roman" w:cs="Times New Roman"/>
                      <w:color w:val="auto"/>
                      <w:szCs w:val="21"/>
                      <w:lang w:val="en-US" w:eastAsia="zh-CN"/>
                    </w:rPr>
                    <w:t>0</w:t>
                  </w:r>
                </w:p>
              </w:tc>
            </w:tr>
            <w:tr w14:paraId="25BE7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Merge w:val="continue"/>
                  <w:tcBorders>
                    <w:tl2br w:val="nil"/>
                    <w:tr2bl w:val="nil"/>
                  </w:tcBorders>
                  <w:noWrap w:val="0"/>
                  <w:vAlign w:val="center"/>
                </w:tcPr>
                <w:p w14:paraId="7D2E200A">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281" w:type="pct"/>
                  <w:tcBorders>
                    <w:tl2br w:val="nil"/>
                    <w:tr2bl w:val="nil"/>
                  </w:tcBorders>
                  <w:noWrap w:val="0"/>
                  <w:vAlign w:val="center"/>
                </w:tcPr>
                <w:p w14:paraId="55B47654">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除锈</w:t>
                  </w:r>
                </w:p>
              </w:tc>
              <w:tc>
                <w:tcPr>
                  <w:tcW w:w="266" w:type="pct"/>
                  <w:tcBorders>
                    <w:tl2br w:val="nil"/>
                    <w:tr2bl w:val="nil"/>
                  </w:tcBorders>
                  <w:noWrap w:val="0"/>
                  <w:vAlign w:val="center"/>
                </w:tcPr>
                <w:p w14:paraId="06483DD9">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颗粒物</w:t>
                  </w:r>
                </w:p>
              </w:tc>
              <w:tc>
                <w:tcPr>
                  <w:tcW w:w="287" w:type="pct"/>
                  <w:tcBorders>
                    <w:tl2br w:val="nil"/>
                    <w:tr2bl w:val="nil"/>
                  </w:tcBorders>
                  <w:noWrap w:val="0"/>
                  <w:vAlign w:val="center"/>
                </w:tcPr>
                <w:p w14:paraId="7A995DAE">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15000</w:t>
                  </w:r>
                </w:p>
              </w:tc>
              <w:tc>
                <w:tcPr>
                  <w:tcW w:w="295" w:type="pct"/>
                  <w:tcBorders>
                    <w:tl2br w:val="nil"/>
                    <w:tr2bl w:val="nil"/>
                  </w:tcBorders>
                  <w:noWrap w:val="0"/>
                  <w:vAlign w:val="center"/>
                </w:tcPr>
                <w:p w14:paraId="78536C87">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300</w:t>
                  </w:r>
                </w:p>
              </w:tc>
              <w:tc>
                <w:tcPr>
                  <w:tcW w:w="304" w:type="pct"/>
                  <w:tcBorders>
                    <w:tl2br w:val="nil"/>
                    <w:tr2bl w:val="nil"/>
                  </w:tcBorders>
                  <w:shd w:val="clear" w:color="auto" w:fill="auto"/>
                  <w:noWrap w:val="0"/>
                  <w:vAlign w:val="center"/>
                </w:tcPr>
                <w:p w14:paraId="2351ABA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0.782</w:t>
                  </w:r>
                </w:p>
              </w:tc>
              <w:tc>
                <w:tcPr>
                  <w:tcW w:w="305" w:type="pct"/>
                  <w:tcBorders>
                    <w:tl2br w:val="nil"/>
                    <w:tr2bl w:val="nil"/>
                  </w:tcBorders>
                  <w:shd w:val="clear" w:color="auto" w:fill="auto"/>
                  <w:noWrap w:val="0"/>
                  <w:vAlign w:val="center"/>
                </w:tcPr>
                <w:p w14:paraId="54CB58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363" w:type="pct"/>
                  <w:tcBorders>
                    <w:tl2br w:val="nil"/>
                    <w:tr2bl w:val="nil"/>
                  </w:tcBorders>
                  <w:shd w:val="clear" w:color="auto" w:fill="auto"/>
                  <w:noWrap w:val="0"/>
                  <w:vAlign w:val="center"/>
                </w:tcPr>
                <w:p w14:paraId="59CF40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173</w:t>
                  </w:r>
                </w:p>
              </w:tc>
              <w:tc>
                <w:tcPr>
                  <w:tcW w:w="212" w:type="pct"/>
                  <w:tcBorders>
                    <w:tl2br w:val="nil"/>
                    <w:tr2bl w:val="nil"/>
                  </w:tcBorders>
                  <w:noWrap w:val="0"/>
                  <w:vAlign w:val="center"/>
                </w:tcPr>
                <w:p w14:paraId="6082F934">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有组织</w:t>
                  </w:r>
                </w:p>
              </w:tc>
              <w:tc>
                <w:tcPr>
                  <w:tcW w:w="298" w:type="pct"/>
                  <w:tcBorders>
                    <w:tl2br w:val="nil"/>
                    <w:tr2bl w:val="nil"/>
                  </w:tcBorders>
                  <w:shd w:val="clear" w:color="auto" w:fill="auto"/>
                  <w:noWrap w:val="0"/>
                  <w:vAlign w:val="center"/>
                </w:tcPr>
                <w:p w14:paraId="3EDC0872">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bCs/>
                      <w:color w:val="auto"/>
                      <w:spacing w:val="-10"/>
                      <w:szCs w:val="21"/>
                      <w:lang w:val="en-US" w:eastAsia="zh-CN"/>
                    </w:rPr>
                    <w:t>布袋除尘器</w:t>
                  </w:r>
                </w:p>
              </w:tc>
              <w:tc>
                <w:tcPr>
                  <w:tcW w:w="329" w:type="pct"/>
                  <w:tcBorders>
                    <w:tl2br w:val="nil"/>
                    <w:tr2bl w:val="nil"/>
                  </w:tcBorders>
                  <w:shd w:val="clear" w:color="auto" w:fill="auto"/>
                  <w:noWrap w:val="0"/>
                  <w:vAlign w:val="center"/>
                </w:tcPr>
                <w:p w14:paraId="3FCEA2E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0.196</w:t>
                  </w:r>
                </w:p>
              </w:tc>
              <w:tc>
                <w:tcPr>
                  <w:tcW w:w="380" w:type="pct"/>
                  <w:tcBorders>
                    <w:tl2br w:val="nil"/>
                    <w:tr2bl w:val="nil"/>
                  </w:tcBorders>
                  <w:shd w:val="clear" w:color="auto" w:fill="auto"/>
                  <w:noWrap w:val="0"/>
                  <w:vAlign w:val="center"/>
                </w:tcPr>
                <w:p w14:paraId="33AC6DB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0.65</w:t>
                  </w:r>
                </w:p>
              </w:tc>
              <w:tc>
                <w:tcPr>
                  <w:tcW w:w="366" w:type="pct"/>
                  <w:tcBorders>
                    <w:tl2br w:val="nil"/>
                    <w:tr2bl w:val="nil"/>
                  </w:tcBorders>
                  <w:shd w:val="clear" w:color="auto" w:fill="auto"/>
                  <w:noWrap w:val="0"/>
                  <w:vAlign w:val="center"/>
                </w:tcPr>
                <w:p w14:paraId="4B7DD19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43</w:t>
                  </w:r>
                </w:p>
              </w:tc>
              <w:tc>
                <w:tcPr>
                  <w:tcW w:w="228" w:type="pct"/>
                  <w:tcBorders>
                    <w:tl2br w:val="nil"/>
                    <w:tr2bl w:val="nil"/>
                  </w:tcBorders>
                  <w:shd w:val="clear" w:color="auto" w:fill="auto"/>
                  <w:noWrap w:val="0"/>
                  <w:vAlign w:val="center"/>
                </w:tcPr>
                <w:p w14:paraId="4DABA46A">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241" w:type="pct"/>
                  <w:tcBorders>
                    <w:tl2br w:val="nil"/>
                    <w:tr2bl w:val="nil"/>
                  </w:tcBorders>
                  <w:shd w:val="clear" w:color="auto" w:fill="auto"/>
                  <w:noWrap w:val="0"/>
                  <w:vAlign w:val="center"/>
                </w:tcPr>
                <w:p w14:paraId="3803FE80">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75</w:t>
                  </w:r>
                  <w:r>
                    <w:rPr>
                      <w:rFonts w:hint="eastAsia" w:eastAsia="宋体" w:cs="Times New Roman"/>
                      <w:color w:val="auto"/>
                      <w:sz w:val="21"/>
                      <w:szCs w:val="21"/>
                      <w:highlight w:val="none"/>
                      <w:lang w:val="en-US" w:eastAsia="zh-CN"/>
                    </w:rPr>
                    <w:t>%</w:t>
                  </w:r>
                </w:p>
              </w:tc>
              <w:tc>
                <w:tcPr>
                  <w:tcW w:w="230" w:type="pct"/>
                  <w:tcBorders>
                    <w:tl2br w:val="nil"/>
                    <w:tr2bl w:val="nil"/>
                  </w:tcBorders>
                  <w:shd w:val="clear" w:color="auto" w:fill="auto"/>
                  <w:noWrap w:val="0"/>
                  <w:vAlign w:val="center"/>
                </w:tcPr>
                <w:p w14:paraId="301C68D0">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1.75</w:t>
                  </w:r>
                </w:p>
              </w:tc>
              <w:tc>
                <w:tcPr>
                  <w:tcW w:w="326" w:type="pct"/>
                  <w:tcBorders>
                    <w:tl2br w:val="nil"/>
                    <w:tr2bl w:val="nil"/>
                  </w:tcBorders>
                  <w:shd w:val="clear" w:color="auto" w:fill="auto"/>
                  <w:noWrap w:val="0"/>
                  <w:vAlign w:val="center"/>
                </w:tcPr>
                <w:p w14:paraId="016FAF4F">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120</w:t>
                  </w:r>
                </w:p>
              </w:tc>
            </w:tr>
          </w:tbl>
          <w:p w14:paraId="4430A98C">
            <w:pPr>
              <w:pStyle w:val="10"/>
              <w:adjustRightInd w:val="0"/>
              <w:snapToGrid w:val="0"/>
              <w:spacing w:after="0" w:line="360" w:lineRule="auto"/>
              <w:ind w:left="0" w:leftChars="0" w:firstLine="0" w:firstLineChars="0"/>
              <w:jc w:val="left"/>
              <w:rPr>
                <w:color w:val="auto"/>
              </w:rPr>
            </w:pPr>
          </w:p>
          <w:p w14:paraId="34048B9A">
            <w:pPr>
              <w:pStyle w:val="10"/>
              <w:adjustRightInd w:val="0"/>
              <w:snapToGrid w:val="0"/>
              <w:spacing w:after="0" w:line="360" w:lineRule="auto"/>
              <w:ind w:left="0" w:leftChars="0" w:firstLine="0" w:firstLineChars="0"/>
              <w:jc w:val="left"/>
              <w:rPr>
                <w:color w:val="auto"/>
              </w:rPr>
            </w:pPr>
          </w:p>
          <w:p w14:paraId="632A721A">
            <w:pPr>
              <w:pStyle w:val="10"/>
              <w:adjustRightInd w:val="0"/>
              <w:snapToGrid w:val="0"/>
              <w:spacing w:after="0" w:line="360" w:lineRule="auto"/>
              <w:ind w:left="0" w:leftChars="0" w:firstLine="0" w:firstLineChars="0"/>
              <w:jc w:val="left"/>
              <w:rPr>
                <w:color w:val="auto"/>
              </w:rPr>
            </w:pPr>
          </w:p>
        </w:tc>
      </w:tr>
    </w:tbl>
    <w:p w14:paraId="1D1A8C6B">
      <w:pPr>
        <w:pStyle w:val="24"/>
        <w:jc w:val="center"/>
        <w:outlineLvl w:val="0"/>
        <w:rPr>
          <w:rFonts w:ascii="黑体" w:hAnsi="黑体" w:eastAsia="黑体"/>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C6C5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49" w:hRule="atLeast"/>
          <w:jc w:val="center"/>
        </w:trPr>
        <w:tc>
          <w:tcPr>
            <w:tcW w:w="746" w:type="dxa"/>
            <w:noWrap w:val="0"/>
            <w:tcMar>
              <w:left w:w="28" w:type="dxa"/>
              <w:right w:w="28" w:type="dxa"/>
            </w:tcMar>
            <w:vAlign w:val="center"/>
          </w:tcPr>
          <w:p w14:paraId="242F82B0">
            <w:pPr>
              <w:pStyle w:val="24"/>
              <w:adjustRightInd w:val="0"/>
              <w:snapToGrid w:val="0"/>
              <w:spacing w:before="0" w:beforeAutospacing="0" w:after="0" w:afterAutospacing="0"/>
              <w:jc w:val="center"/>
              <w:rPr>
                <w:rFonts w:ascii="Times New Roman" w:hAnsi="Times New Roman"/>
                <w:color w:val="auto"/>
                <w:kern w:val="2"/>
                <w:szCs w:val="24"/>
              </w:rPr>
            </w:pPr>
            <w:r>
              <w:rPr>
                <w:rFonts w:hint="eastAsia" w:cs="宋体"/>
                <w:bCs/>
                <w:color w:val="auto"/>
              </w:rPr>
              <w:t>运营期环境影响和保护措施</w:t>
            </w:r>
          </w:p>
        </w:tc>
        <w:tc>
          <w:tcPr>
            <w:tcW w:w="8162" w:type="dxa"/>
            <w:noWrap w:val="0"/>
            <w:vAlign w:val="center"/>
          </w:tcPr>
          <w:p w14:paraId="1EFAD3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rFonts w:hint="eastAsia"/>
                <w:bCs/>
                <w:color w:val="auto"/>
                <w:sz w:val="24"/>
              </w:rPr>
              <w:t>（2）</w:t>
            </w:r>
            <w:r>
              <w:rPr>
                <w:bCs/>
                <w:color w:val="auto"/>
                <w:sz w:val="24"/>
              </w:rPr>
              <w:t>废气排放源强核算</w:t>
            </w:r>
          </w:p>
          <w:p w14:paraId="34C4C58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本项目</w:t>
            </w:r>
            <w:r>
              <w:rPr>
                <w:rFonts w:hint="eastAsia" w:cs="Times New Roman"/>
                <w:bCs/>
                <w:color w:val="auto"/>
                <w:sz w:val="24"/>
                <w:lang w:val="en-US" w:eastAsia="zh-CN"/>
              </w:rPr>
              <w:t>运营期</w:t>
            </w:r>
            <w:r>
              <w:rPr>
                <w:rFonts w:hint="eastAsia" w:ascii="Times New Roman" w:hAnsi="Times New Roman" w:cs="Times New Roman"/>
                <w:bCs/>
                <w:color w:val="auto"/>
                <w:sz w:val="24"/>
                <w:lang w:val="en-US" w:eastAsia="zh-CN"/>
              </w:rPr>
              <w:t>产生的废气主要</w:t>
            </w:r>
            <w:r>
              <w:rPr>
                <w:rFonts w:hint="eastAsia" w:cs="Times New Roman"/>
                <w:bCs/>
                <w:color w:val="auto"/>
                <w:sz w:val="24"/>
                <w:lang w:val="en-US" w:eastAsia="zh-CN"/>
              </w:rPr>
              <w:t>是</w:t>
            </w:r>
            <w:r>
              <w:rPr>
                <w:rFonts w:hint="default" w:ascii="Times New Roman" w:hAnsi="Times New Roman" w:cs="Times New Roman"/>
                <w:bCs/>
                <w:color w:val="auto"/>
                <w:sz w:val="24"/>
                <w:lang w:val="en-US" w:eastAsia="zh-CN"/>
              </w:rPr>
              <w:t>聚乙烯</w:t>
            </w:r>
            <w:r>
              <w:rPr>
                <w:rFonts w:hint="default" w:ascii="Times New Roman" w:hAnsi="Times New Roman" w:cs="Times New Roman"/>
                <w:bCs/>
                <w:color w:val="auto"/>
                <w:sz w:val="24"/>
              </w:rPr>
              <w:t>外护管生产线</w:t>
            </w:r>
            <w:r>
              <w:rPr>
                <w:rFonts w:hint="eastAsia" w:ascii="Times New Roman" w:hAnsi="Times New Roman" w:cs="Times New Roman"/>
                <w:bCs/>
                <w:color w:val="auto"/>
                <w:sz w:val="24"/>
                <w:lang w:val="en-US" w:eastAsia="zh-CN"/>
              </w:rPr>
              <w:t>产生的原料混合废气、挤出废气和聚氨酯</w:t>
            </w:r>
            <w:r>
              <w:rPr>
                <w:rFonts w:hint="default" w:ascii="Times New Roman" w:hAnsi="Times New Roman" w:cs="Times New Roman"/>
                <w:bCs/>
                <w:color w:val="auto"/>
                <w:sz w:val="24"/>
              </w:rPr>
              <w:t>保温管生产线</w:t>
            </w:r>
            <w:r>
              <w:rPr>
                <w:rFonts w:hint="eastAsia" w:ascii="Times New Roman" w:hAnsi="Times New Roman" w:cs="Times New Roman"/>
                <w:bCs/>
                <w:color w:val="auto"/>
                <w:sz w:val="24"/>
                <w:lang w:val="en-US" w:eastAsia="zh-CN"/>
              </w:rPr>
              <w:t>产生的除锈粉尘和发泡废气。</w:t>
            </w:r>
          </w:p>
          <w:p w14:paraId="4B2A286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1）</w:t>
            </w:r>
            <w:r>
              <w:rPr>
                <w:rFonts w:hint="default" w:ascii="Times New Roman" w:hAnsi="Times New Roman" w:cs="Times New Roman"/>
                <w:bCs/>
                <w:color w:val="auto"/>
                <w:sz w:val="24"/>
                <w:lang w:val="en-US" w:eastAsia="zh-CN"/>
              </w:rPr>
              <w:t>聚乙烯</w:t>
            </w:r>
            <w:r>
              <w:rPr>
                <w:rFonts w:hint="default" w:ascii="Times New Roman" w:hAnsi="Times New Roman" w:cs="Times New Roman"/>
                <w:bCs/>
                <w:color w:val="auto"/>
                <w:sz w:val="24"/>
              </w:rPr>
              <w:t>外护管生产线</w:t>
            </w:r>
          </w:p>
          <w:p w14:paraId="274F1C9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①原料混合</w:t>
            </w:r>
            <w:r>
              <w:rPr>
                <w:rFonts w:hint="default" w:ascii="Times New Roman" w:hAnsi="Times New Roman" w:cs="Times New Roman"/>
                <w:color w:val="auto"/>
                <w:sz w:val="24"/>
              </w:rPr>
              <w:t>废气</w:t>
            </w:r>
          </w:p>
          <w:p w14:paraId="67CFA36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原料混合搅拌工序在密闭设备中进行，聚乙烯树脂和色母为颗粒状，因此</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粉尘产生量极少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本次环评不进行量化分析。</w:t>
            </w:r>
          </w:p>
          <w:p w14:paraId="24C501A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②挤出废气</w:t>
            </w:r>
          </w:p>
          <w:p w14:paraId="0E62EF9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rPr>
            </w:pPr>
            <w:r>
              <w:rPr>
                <w:rFonts w:hint="default" w:ascii="Times New Roman" w:hAnsi="Times New Roman" w:eastAsia="宋体" w:cs="Times New Roman"/>
                <w:bCs/>
                <w:color w:val="auto"/>
                <w:sz w:val="24"/>
              </w:rPr>
              <w:t>高密度聚乙烯树脂为高分子聚合物，为无毒无害的材料。本项目聚乙烯加热温度控制在190℃以下，原料不会分解，仅原料中残存和未聚合的反应单体会在挤出过程中逃逸，以非甲烷总烃计。</w:t>
            </w:r>
            <w:r>
              <w:rPr>
                <w:rFonts w:hint="eastAsia" w:cs="Times New Roman"/>
                <w:color w:val="auto"/>
                <w:sz w:val="24"/>
                <w:lang w:val="en-US" w:eastAsia="zh-CN"/>
              </w:rPr>
              <w:t>类比《聚乙烯外护管及保温管生产迁建项目验收监测报告》，挤出排气筒进口非甲烷总烃排放速率为0.0706~0.1082kg/h，本次评价取最大排放速率非甲烷总烃为0.1082kg/h，</w:t>
            </w:r>
            <w:r>
              <w:rPr>
                <w:rFonts w:hint="default" w:ascii="Times New Roman" w:hAnsi="Times New Roman" w:cs="Times New Roman"/>
                <w:color w:val="auto"/>
                <w:sz w:val="24"/>
              </w:rPr>
              <w:t>挤出机每天运行</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h，年工作时间为2</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00h</w:t>
            </w:r>
            <w:r>
              <w:rPr>
                <w:rFonts w:hint="eastAsia" w:ascii="Times New Roman" w:hAnsi="Times New Roman" w:cs="Times New Roman"/>
                <w:color w:val="auto"/>
                <w:sz w:val="24"/>
                <w:lang w:eastAsia="zh-CN"/>
              </w:rPr>
              <w:t>，</w:t>
            </w:r>
            <w:r>
              <w:rPr>
                <w:rFonts w:hint="eastAsia" w:cs="Times New Roman"/>
                <w:color w:val="auto"/>
                <w:sz w:val="24"/>
                <w:lang w:val="en-US" w:eastAsia="zh-CN"/>
              </w:rPr>
              <w:t>废气收集效率为80%，本次增加1条挤出生产线，产品由700t/a增加至1000t/a，监测时工况为49.35%，计算100%工况下</w:t>
            </w:r>
            <w:r>
              <w:rPr>
                <w:rFonts w:hint="eastAsia" w:ascii="Times New Roman" w:hAnsi="Times New Roman" w:cs="Times New Roman"/>
                <w:color w:val="auto"/>
                <w:sz w:val="24"/>
                <w:lang w:val="en-US" w:eastAsia="zh-CN"/>
              </w:rPr>
              <w:t>挤出废气中非甲烷总烃产生量为</w:t>
            </w:r>
            <w:r>
              <w:rPr>
                <w:rFonts w:hint="eastAsia" w:cs="Times New Roman"/>
                <w:color w:val="auto"/>
                <w:sz w:val="24"/>
                <w:lang w:val="en-US" w:eastAsia="zh-CN"/>
              </w:rPr>
              <w:t>0.94</w:t>
            </w:r>
            <w:r>
              <w:rPr>
                <w:rFonts w:hint="eastAsia" w:ascii="Times New Roman" w:hAnsi="Times New Roman" w:cs="Times New Roman"/>
                <w:color w:val="auto"/>
                <w:sz w:val="24"/>
                <w:lang w:val="en-US" w:eastAsia="zh-CN"/>
              </w:rPr>
              <w:t>t/a</w:t>
            </w:r>
            <w:r>
              <w:rPr>
                <w:rFonts w:hint="eastAsia" w:ascii="Times New Roman" w:hAnsi="Times New Roman" w:eastAsia="宋体" w:cs="Times New Roman"/>
                <w:bCs/>
                <w:color w:val="auto"/>
                <w:sz w:val="24"/>
                <w:lang w:val="en-US" w:eastAsia="zh-CN"/>
              </w:rPr>
              <w:t>。</w:t>
            </w:r>
          </w:p>
          <w:p w14:paraId="7DF2791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color w:val="auto"/>
                <w:kern w:val="2"/>
                <w:sz w:val="24"/>
                <w:szCs w:val="24"/>
                <w:lang w:val="en-US" w:eastAsia="zh-CN" w:bidi="ar-SA"/>
              </w:rPr>
              <w:t>3台挤出机上方均设置</w:t>
            </w:r>
            <w:r>
              <w:rPr>
                <w:rFonts w:hint="eastAsia" w:ascii="Times New Roman" w:hAnsi="Times New Roman" w:eastAsia="宋体" w:cs="Times New Roman"/>
                <w:color w:val="auto"/>
                <w:kern w:val="2"/>
                <w:sz w:val="24"/>
                <w:szCs w:val="24"/>
                <w:lang w:val="en-US" w:eastAsia="zh-CN" w:bidi="ar-SA"/>
              </w:rPr>
              <w:t>吸顶式</w:t>
            </w:r>
            <w:r>
              <w:rPr>
                <w:rFonts w:hint="default" w:ascii="Times New Roman" w:hAnsi="Times New Roman" w:eastAsia="宋体" w:cs="Times New Roman"/>
                <w:color w:val="auto"/>
                <w:kern w:val="2"/>
                <w:sz w:val="24"/>
                <w:szCs w:val="24"/>
                <w:lang w:val="en-US" w:eastAsia="zh-CN" w:bidi="ar-SA"/>
              </w:rPr>
              <w:t>集气罩</w:t>
            </w:r>
            <w:r>
              <w:rPr>
                <w:rFonts w:hint="eastAsia" w:cs="Times New Roman"/>
                <w:color w:val="auto"/>
                <w:kern w:val="2"/>
                <w:sz w:val="24"/>
                <w:szCs w:val="24"/>
                <w:lang w:val="en-US" w:eastAsia="zh-CN" w:bidi="ar-SA"/>
              </w:rPr>
              <w:t>+软帘</w:t>
            </w:r>
            <w:r>
              <w:rPr>
                <w:rFonts w:hint="default" w:ascii="Times New Roman" w:hAnsi="Times New Roman" w:eastAsia="宋体" w:cs="Times New Roman"/>
                <w:color w:val="auto"/>
                <w:kern w:val="2"/>
                <w:sz w:val="24"/>
                <w:szCs w:val="24"/>
                <w:lang w:val="en-US" w:eastAsia="zh-CN" w:bidi="ar-SA"/>
              </w:rPr>
              <w:t>（共3套）收集</w:t>
            </w:r>
            <w:r>
              <w:rPr>
                <w:rFonts w:hint="eastAsia" w:ascii="Times New Roman" w:hAnsi="Times New Roman" w:eastAsia="宋体" w:cs="Times New Roman"/>
                <w:color w:val="auto"/>
                <w:kern w:val="2"/>
                <w:sz w:val="24"/>
                <w:szCs w:val="24"/>
                <w:lang w:val="en-US" w:eastAsia="zh-CN" w:bidi="ar-SA"/>
              </w:rPr>
              <w:t>有机</w:t>
            </w:r>
            <w:r>
              <w:rPr>
                <w:rFonts w:hint="default" w:ascii="Times New Roman" w:hAnsi="Times New Roman" w:eastAsia="宋体" w:cs="Times New Roman"/>
                <w:color w:val="auto"/>
                <w:kern w:val="2"/>
                <w:sz w:val="24"/>
                <w:szCs w:val="24"/>
                <w:lang w:val="en-US" w:eastAsia="zh-CN" w:bidi="ar-SA"/>
              </w:rPr>
              <w:t>废气，</w:t>
            </w:r>
            <w:r>
              <w:rPr>
                <w:rFonts w:hint="eastAsia"/>
                <w:color w:val="auto"/>
                <w:sz w:val="24"/>
                <w:lang w:val="en-US" w:eastAsia="zh-CN"/>
              </w:rPr>
              <w:t>产生的有机废气</w:t>
            </w:r>
            <w:r>
              <w:rPr>
                <w:rFonts w:hint="default" w:ascii="Times New Roman" w:hAnsi="Times New Roman" w:eastAsia="宋体" w:cs="Times New Roman"/>
                <w:color w:val="auto"/>
                <w:kern w:val="2"/>
                <w:sz w:val="24"/>
                <w:szCs w:val="24"/>
                <w:lang w:val="en-US" w:eastAsia="zh-CN" w:bidi="ar-SA"/>
              </w:rPr>
              <w:t>收集后</w:t>
            </w:r>
            <w:r>
              <w:rPr>
                <w:rFonts w:hint="eastAsia" w:ascii="Times New Roman" w:hAnsi="Times New Roman" w:eastAsia="宋体" w:cs="Times New Roman"/>
                <w:color w:val="auto"/>
                <w:kern w:val="2"/>
                <w:sz w:val="24"/>
                <w:szCs w:val="24"/>
                <w:lang w:val="en-US" w:eastAsia="zh-CN" w:bidi="ar-SA"/>
              </w:rPr>
              <w:t>经</w:t>
            </w:r>
            <w:r>
              <w:rPr>
                <w:rFonts w:hint="eastAsia" w:cs="Times New Roman"/>
                <w:color w:val="auto"/>
                <w:kern w:val="2"/>
                <w:sz w:val="24"/>
                <w:szCs w:val="24"/>
                <w:lang w:val="en-US" w:eastAsia="zh-CN" w:bidi="ar-SA"/>
              </w:rPr>
              <w:t>二级活性炭</w:t>
            </w:r>
            <w:r>
              <w:rPr>
                <w:rFonts w:hint="default" w:ascii="Times New Roman" w:hAnsi="Times New Roman" w:eastAsia="宋体" w:cs="Times New Roman"/>
                <w:color w:val="auto"/>
                <w:kern w:val="2"/>
                <w:sz w:val="24"/>
                <w:szCs w:val="24"/>
                <w:lang w:val="en-US" w:eastAsia="zh-CN" w:bidi="ar-SA"/>
              </w:rPr>
              <w:t>吸附装置进行处理</w:t>
            </w:r>
            <w:r>
              <w:rPr>
                <w:rFonts w:hint="eastAsia" w:cs="Times New Roman"/>
                <w:color w:val="auto"/>
                <w:kern w:val="2"/>
                <w:sz w:val="24"/>
                <w:szCs w:val="24"/>
                <w:lang w:val="en-US" w:eastAsia="zh-CN" w:bidi="ar-SA"/>
              </w:rPr>
              <w:t>，尾气通过</w:t>
            </w:r>
            <w:r>
              <w:rPr>
                <w:rFonts w:hint="eastAsia" w:ascii="Times New Roman" w:hAnsi="Times New Roman" w:eastAsia="宋体" w:cs="Times New Roman"/>
                <w:color w:val="auto"/>
                <w:kern w:val="2"/>
                <w:sz w:val="24"/>
                <w:szCs w:val="24"/>
                <w:lang w:val="en-US" w:eastAsia="zh-CN" w:bidi="ar-SA"/>
              </w:rPr>
              <w:t>1根</w:t>
            </w:r>
            <w:r>
              <w:rPr>
                <w:rFonts w:hint="default" w:ascii="Times New Roman" w:hAnsi="Times New Roman" w:eastAsia="宋体" w:cs="Times New Roman"/>
                <w:color w:val="auto"/>
                <w:kern w:val="2"/>
                <w:sz w:val="24"/>
                <w:szCs w:val="24"/>
                <w:lang w:val="en-US" w:eastAsia="zh-CN" w:bidi="ar-SA"/>
              </w:rPr>
              <w:t>15米高排气筒</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DA001</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排放。</w:t>
            </w:r>
            <w:r>
              <w:rPr>
                <w:rFonts w:hint="eastAsia" w:cs="Times New Roman"/>
                <w:color w:val="auto"/>
                <w:sz w:val="24"/>
                <w:lang w:val="en-US" w:eastAsia="zh-CN"/>
              </w:rPr>
              <w:t>风机风量为10000</w:t>
            </w:r>
            <w:r>
              <w:rPr>
                <w:rFonts w:hint="eastAsia"/>
                <w:color w:val="auto"/>
                <w:sz w:val="24"/>
              </w:rPr>
              <w:t>m</w:t>
            </w:r>
            <w:r>
              <w:rPr>
                <w:rFonts w:hint="eastAsia"/>
                <w:color w:val="auto"/>
                <w:sz w:val="24"/>
                <w:vertAlign w:val="superscript"/>
              </w:rPr>
              <w:t>3</w:t>
            </w:r>
            <w:r>
              <w:rPr>
                <w:rFonts w:hint="eastAsia"/>
                <w:color w:val="auto"/>
                <w:sz w:val="24"/>
              </w:rPr>
              <w:t>/h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2"/>
                <w:sz w:val="24"/>
                <w:szCs w:val="24"/>
                <w:lang w:val="en-US" w:eastAsia="zh-CN" w:bidi="ar-SA"/>
              </w:rPr>
              <w:t>根据</w:t>
            </w:r>
            <w:r>
              <w:rPr>
                <w:rFonts w:hint="eastAsia" w:ascii="Times New Roman" w:hAnsi="Times New Roman" w:eastAsia="宋体" w:cs="Times New Roman"/>
                <w:bCs/>
                <w:color w:val="auto"/>
                <w:sz w:val="24"/>
                <w:lang w:val="en-US" w:eastAsia="zh-CN"/>
              </w:rPr>
              <w:t>《排放源统计调查产排污核算方法和系数手册》中2922</w:t>
            </w:r>
            <w:r>
              <w:rPr>
                <w:rFonts w:hint="default" w:ascii="Times New Roman" w:hAnsi="Times New Roman" w:eastAsia="宋体" w:cs="Times New Roman"/>
                <w:bCs/>
                <w:color w:val="auto"/>
                <w:sz w:val="24"/>
                <w:lang w:val="en-US" w:eastAsia="zh-CN"/>
              </w:rPr>
              <w:t>塑料板、管、型材制造行业系数表</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color w:val="auto"/>
                <w:kern w:val="2"/>
                <w:sz w:val="24"/>
                <w:szCs w:val="24"/>
                <w:lang w:val="en-US" w:eastAsia="zh-CN" w:bidi="ar-SA"/>
              </w:rPr>
              <w:t>活性炭吸附装置的</w:t>
            </w:r>
            <w:r>
              <w:rPr>
                <w:rFonts w:hint="eastAsia" w:ascii="Times New Roman" w:hAnsi="Times New Roman" w:eastAsia="宋体" w:cs="Times New Roman"/>
                <w:color w:val="auto"/>
                <w:kern w:val="2"/>
                <w:sz w:val="24"/>
                <w:szCs w:val="24"/>
                <w:lang w:val="en-US" w:eastAsia="zh-CN" w:bidi="ar-SA"/>
              </w:rPr>
              <w:t>处理</w:t>
            </w:r>
            <w:r>
              <w:rPr>
                <w:rFonts w:hint="default" w:ascii="Times New Roman" w:hAnsi="Times New Roman" w:eastAsia="宋体" w:cs="Times New Roman"/>
                <w:color w:val="auto"/>
                <w:kern w:val="2"/>
                <w:sz w:val="24"/>
                <w:szCs w:val="24"/>
                <w:lang w:val="en-US" w:eastAsia="zh-CN" w:bidi="ar-SA"/>
              </w:rPr>
              <w:t>效率为</w:t>
            </w:r>
            <w:r>
              <w:rPr>
                <w:rFonts w:hint="eastAsia" w:ascii="Times New Roman" w:hAnsi="Times New Roman" w:eastAsia="宋体"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，二级活性炭处理效率为37.59%</w:t>
            </w:r>
            <w:r>
              <w:rPr>
                <w:rFonts w:hint="eastAsia" w:ascii="Times New Roman" w:hAnsi="Times New Roman" w:eastAsia="宋体" w:cs="Times New Roman"/>
                <w:bCs/>
                <w:color w:val="auto"/>
                <w:sz w:val="24"/>
                <w:lang w:val="en-US" w:eastAsia="zh-CN"/>
              </w:rPr>
              <w:t>。</w:t>
            </w:r>
          </w:p>
          <w:p w14:paraId="1765C7D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挤出过程</w:t>
            </w:r>
            <w:r>
              <w:rPr>
                <w:rFonts w:hint="default" w:ascii="Times New Roman" w:hAnsi="Times New Roman" w:eastAsia="宋体" w:cs="Times New Roman"/>
                <w:color w:val="auto"/>
                <w:kern w:val="2"/>
                <w:sz w:val="24"/>
                <w:szCs w:val="24"/>
                <w:lang w:val="en-US" w:eastAsia="zh-CN" w:bidi="ar-SA"/>
              </w:rPr>
              <w:t>有组织非甲烷总烃产生量为</w:t>
            </w:r>
            <w:r>
              <w:rPr>
                <w:rFonts w:hint="eastAsia" w:cs="Times New Roman"/>
                <w:color w:val="auto"/>
                <w:kern w:val="2"/>
                <w:sz w:val="24"/>
                <w:szCs w:val="24"/>
                <w:lang w:val="en-US" w:eastAsia="zh-CN" w:bidi="ar-SA"/>
              </w:rPr>
              <w:t>0.752</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eastAsia="宋体" w:cs="Times New Roman"/>
                <w:color w:val="auto"/>
                <w:kern w:val="2"/>
                <w:sz w:val="24"/>
                <w:szCs w:val="24"/>
                <w:lang w:val="en-US" w:eastAsia="zh-CN" w:bidi="ar-SA"/>
              </w:rPr>
              <w:t>产生速率为0</w:t>
            </w:r>
            <w:r>
              <w:rPr>
                <w:rFonts w:hint="eastAsia" w:cs="Times New Roman"/>
                <w:color w:val="auto"/>
                <w:kern w:val="2"/>
                <w:sz w:val="24"/>
                <w:szCs w:val="24"/>
                <w:lang w:val="en-US" w:eastAsia="zh-CN" w:bidi="ar-SA"/>
              </w:rPr>
              <w:t>.31</w:t>
            </w:r>
            <w:r>
              <w:rPr>
                <w:rFonts w:hint="default" w:ascii="Times New Roman" w:hAnsi="Times New Roman" w:eastAsia="宋体" w:cs="Times New Roman"/>
                <w:color w:val="auto"/>
                <w:kern w:val="2"/>
                <w:sz w:val="24"/>
                <w:szCs w:val="24"/>
                <w:lang w:val="en-US" w:eastAsia="zh-CN" w:bidi="ar-SA"/>
              </w:rPr>
              <w:t>kg/h</w:t>
            </w:r>
            <w:r>
              <w:rPr>
                <w:rFonts w:hint="eastAsia" w:cs="Times New Roman"/>
                <w:color w:val="auto"/>
                <w:kern w:val="2"/>
                <w:sz w:val="24"/>
                <w:szCs w:val="24"/>
                <w:lang w:val="en-US" w:eastAsia="zh-CN" w:bidi="ar-SA"/>
              </w:rPr>
              <w:t>，产生浓度为31</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经处理后非甲烷总烃排放量为0.</w:t>
            </w:r>
            <w:r>
              <w:rPr>
                <w:rFonts w:hint="eastAsia" w:cs="Times New Roman"/>
                <w:color w:val="auto"/>
                <w:kern w:val="2"/>
                <w:sz w:val="24"/>
                <w:szCs w:val="24"/>
                <w:lang w:val="en-US" w:eastAsia="zh-CN" w:bidi="ar-SA"/>
              </w:rPr>
              <w:t>469</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cs="Times New Roman"/>
                <w:color w:val="auto"/>
                <w:kern w:val="0"/>
                <w:sz w:val="24"/>
                <w:lang w:val="en-US" w:eastAsia="zh-CN"/>
              </w:rPr>
              <w:t>排放</w:t>
            </w:r>
            <w:r>
              <w:rPr>
                <w:rFonts w:hint="default" w:ascii="Times New Roman" w:hAnsi="Times New Roman" w:eastAsia="宋体" w:cs="Times New Roman"/>
                <w:color w:val="auto"/>
                <w:kern w:val="2"/>
                <w:sz w:val="24"/>
                <w:szCs w:val="24"/>
                <w:lang w:val="en-US" w:eastAsia="zh-CN" w:bidi="ar-SA"/>
              </w:rPr>
              <w:t>速率为0.</w:t>
            </w:r>
            <w:r>
              <w:rPr>
                <w:rFonts w:hint="eastAsia" w:cs="Times New Roman"/>
                <w:color w:val="auto"/>
                <w:kern w:val="2"/>
                <w:sz w:val="24"/>
                <w:szCs w:val="24"/>
                <w:lang w:val="en-US" w:eastAsia="zh-CN" w:bidi="ar-SA"/>
              </w:rPr>
              <w:t>19</w:t>
            </w:r>
            <w:r>
              <w:rPr>
                <w:rFonts w:hint="default" w:ascii="Times New Roman" w:hAnsi="Times New Roman" w:eastAsia="宋体" w:cs="Times New Roman"/>
                <w:color w:val="auto"/>
                <w:kern w:val="2"/>
                <w:sz w:val="24"/>
                <w:szCs w:val="24"/>
                <w:lang w:val="en-US" w:eastAsia="zh-CN" w:bidi="ar-SA"/>
              </w:rPr>
              <w:t>kg/h，</w:t>
            </w:r>
            <w:r>
              <w:rPr>
                <w:rFonts w:hint="eastAsia" w:ascii="Times New Roman" w:hAnsi="Times New Roman" w:eastAsia="宋体" w:cs="Times New Roman"/>
                <w:color w:val="auto"/>
                <w:kern w:val="2"/>
                <w:sz w:val="24"/>
                <w:szCs w:val="24"/>
                <w:lang w:val="en-US" w:eastAsia="zh-CN" w:bidi="ar-SA"/>
              </w:rPr>
              <w:t>排放</w:t>
            </w:r>
            <w:r>
              <w:rPr>
                <w:rFonts w:hint="default" w:ascii="Times New Roman" w:hAnsi="Times New Roman" w:eastAsia="宋体" w:cs="Times New Roman"/>
                <w:color w:val="auto"/>
                <w:kern w:val="2"/>
                <w:sz w:val="24"/>
                <w:szCs w:val="24"/>
                <w:lang w:val="en-US" w:eastAsia="zh-CN" w:bidi="ar-SA"/>
              </w:rPr>
              <w:t>浓度为</w:t>
            </w:r>
            <w:r>
              <w:rPr>
                <w:rFonts w:hint="eastAsia"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0"/>
                <w:sz w:val="24"/>
                <w:lang w:eastAsia="zh-CN"/>
              </w:rPr>
              <w:t>）；</w:t>
            </w:r>
            <w:r>
              <w:rPr>
                <w:rFonts w:hint="eastAsia"/>
                <w:color w:val="auto"/>
                <w:sz w:val="24"/>
              </w:rPr>
              <w:t>无组织非甲烷总烃排放量为</w:t>
            </w:r>
            <w:r>
              <w:rPr>
                <w:rFonts w:hint="eastAsia"/>
                <w:color w:val="auto"/>
                <w:sz w:val="24"/>
                <w:lang w:val="en-US" w:eastAsia="zh-CN"/>
              </w:rPr>
              <w:t>0.188</w:t>
            </w:r>
            <w:r>
              <w:rPr>
                <w:rFonts w:hint="eastAsia"/>
                <w:color w:val="auto"/>
                <w:sz w:val="24"/>
              </w:rPr>
              <w:t>t/a；非甲烷总烃总排放量为</w:t>
            </w:r>
            <w:r>
              <w:rPr>
                <w:rFonts w:hint="eastAsia"/>
                <w:color w:val="auto"/>
                <w:sz w:val="24"/>
                <w:lang w:val="en-US" w:eastAsia="zh-CN"/>
              </w:rPr>
              <w:t>0.657</w:t>
            </w:r>
            <w:r>
              <w:rPr>
                <w:rFonts w:hint="eastAsia"/>
                <w:color w:val="auto"/>
                <w:sz w:val="24"/>
              </w:rPr>
              <w:t>t/a。</w:t>
            </w:r>
          </w:p>
          <w:p w14:paraId="114249D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2）保温管生产线</w:t>
            </w:r>
          </w:p>
          <w:p w14:paraId="3C155F1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auto"/>
                <w:sz w:val="24"/>
                <w:lang w:val="en-US" w:eastAsia="zh-CN"/>
              </w:rPr>
            </w:pPr>
            <w:r>
              <w:rPr>
                <w:rFonts w:hint="default" w:ascii="Times New Roman" w:hAnsi="Times New Roman" w:cs="Times New Roman"/>
                <w:bCs/>
                <w:color w:val="auto"/>
                <w:sz w:val="24"/>
              </w:rPr>
              <w:t>①</w:t>
            </w:r>
            <w:r>
              <w:rPr>
                <w:rFonts w:hint="eastAsia" w:ascii="Times New Roman" w:hAnsi="Times New Roman" w:cs="Times New Roman"/>
                <w:bCs/>
                <w:color w:val="auto"/>
                <w:sz w:val="24"/>
                <w:lang w:val="en-US" w:eastAsia="zh-CN"/>
              </w:rPr>
              <w:t>除锈粉尘</w:t>
            </w:r>
          </w:p>
          <w:p w14:paraId="1A7F6E60">
            <w:pPr>
              <w:pStyle w:val="46"/>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lang w:eastAsia="zh-CN"/>
              </w:rPr>
            </w:pPr>
            <w:r>
              <w:rPr>
                <w:rFonts w:hint="eastAsia"/>
                <w:color w:val="auto"/>
                <w:lang w:val="en-US" w:eastAsia="zh-CN"/>
              </w:rPr>
              <w:t>钢管除</w:t>
            </w:r>
            <w:r>
              <w:rPr>
                <w:rFonts w:hint="default" w:ascii="Times New Roman" w:hAnsi="Times New Roman" w:cs="Times New Roman"/>
                <w:color w:val="auto"/>
                <w:lang w:val="en-US" w:eastAsia="zh-CN"/>
              </w:rPr>
              <w:t>锈过程</w:t>
            </w:r>
            <w:r>
              <w:rPr>
                <w:rFonts w:hint="eastAsia" w:ascii="Times New Roman" w:hAnsi="Times New Roman" w:cs="Times New Roman"/>
                <w:color w:val="auto"/>
                <w:lang w:val="en-US" w:eastAsia="zh-CN"/>
              </w:rPr>
              <w:t>会产生粉尘，除锈</w:t>
            </w:r>
            <w:r>
              <w:rPr>
                <w:rFonts w:hint="default" w:ascii="Times New Roman" w:hAnsi="Times New Roman" w:cs="Times New Roman"/>
                <w:color w:val="auto"/>
                <w:lang w:val="en-US" w:eastAsia="zh-CN"/>
              </w:rPr>
              <w:t>采用全密闭作业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因此不产生无组织粉尘。</w:t>
            </w:r>
            <w:r>
              <w:rPr>
                <w:rFonts w:hint="eastAsia" w:cs="Times New Roman"/>
                <w:color w:val="auto"/>
                <w:sz w:val="24"/>
                <w:lang w:val="en-US" w:eastAsia="zh-CN"/>
              </w:rPr>
              <w:t>类比《聚乙烯外护管及保温管生产迁建项目验收监测</w:t>
            </w:r>
            <w:r>
              <w:rPr>
                <w:rFonts w:hint="default" w:ascii="Times New Roman" w:hAnsi="Times New Roman" w:cs="Times New Roman"/>
                <w:color w:val="auto"/>
                <w:sz w:val="24"/>
                <w:lang w:val="en-US" w:eastAsia="zh-CN"/>
              </w:rPr>
              <w:t>报告》，除锈排气筒进口颗粒物排放速率为</w:t>
            </w:r>
            <w:r>
              <w:rPr>
                <w:rFonts w:hint="eastAsia" w:ascii="Times New Roman" w:hAnsi="Times New Roman" w:cs="Times New Roman"/>
                <w:color w:val="auto"/>
                <w:sz w:val="24"/>
                <w:lang w:val="en-US" w:eastAsia="zh-CN"/>
              </w:rPr>
              <w:t>1.0651~1.3027</w:t>
            </w:r>
            <w:r>
              <w:rPr>
                <w:rFonts w:hint="eastAsia" w:ascii="Times New Roman" w:hAnsi="Times New Roman" w:eastAsia="宋体" w:cs="Times New Roman"/>
                <w:color w:val="auto"/>
                <w:kern w:val="2"/>
                <w:sz w:val="24"/>
                <w:szCs w:val="24"/>
                <w:vertAlign w:val="baseline"/>
                <w:lang w:val="en-US" w:eastAsia="zh-CN" w:bidi="ar-SA"/>
              </w:rPr>
              <w:t>kg/h</w:t>
            </w:r>
            <w:r>
              <w:rPr>
                <w:rFonts w:hint="default" w:ascii="Times New Roman" w:hAnsi="Times New Roman" w:cs="Times New Roman"/>
                <w:color w:val="auto"/>
                <w:sz w:val="24"/>
                <w:lang w:val="en-US" w:eastAsia="zh-CN"/>
              </w:rPr>
              <w:t>，本次评价取最大排放速率颗粒物为</w:t>
            </w:r>
            <w:r>
              <w:rPr>
                <w:rFonts w:hint="eastAsia" w:ascii="Times New Roman" w:hAnsi="Times New Roman" w:cs="Times New Roman"/>
                <w:color w:val="auto"/>
                <w:sz w:val="24"/>
                <w:lang w:val="en-US" w:eastAsia="zh-CN"/>
              </w:rPr>
              <w:t>1.3027</w:t>
            </w:r>
            <w:r>
              <w:rPr>
                <w:rFonts w:hint="eastAsia" w:ascii="Times New Roman" w:hAnsi="Times New Roman" w:eastAsia="宋体" w:cs="Times New Roman"/>
                <w:color w:val="auto"/>
                <w:kern w:val="2"/>
                <w:sz w:val="24"/>
                <w:szCs w:val="24"/>
                <w:vertAlign w:val="baseline"/>
                <w:lang w:val="en-US" w:eastAsia="zh-CN" w:bidi="ar-SA"/>
              </w:rPr>
              <w:t>kg/h</w:t>
            </w:r>
            <w:r>
              <w:rPr>
                <w:rFonts w:hint="default" w:ascii="Times New Roman" w:hAnsi="Times New Roman" w:cs="Times New Roman"/>
                <w:color w:val="auto"/>
                <w:sz w:val="24"/>
                <w:lang w:val="en-US" w:eastAsia="zh-CN"/>
              </w:rPr>
              <w:t>，</w:t>
            </w:r>
            <w:r>
              <w:rPr>
                <w:rFonts w:hint="eastAsia" w:ascii="Times New Roman" w:hAnsi="Times New Roman" w:eastAsia="宋体" w:cs="Times New Roman"/>
                <w:color w:val="auto"/>
                <w:kern w:val="2"/>
                <w:sz w:val="24"/>
                <w:szCs w:val="24"/>
                <w:lang w:val="en-US" w:eastAsia="zh-CN" w:bidi="ar-SA"/>
              </w:rPr>
              <w:t>除锈机年工作300h（工作时间根据需要，不定时工作）</w:t>
            </w:r>
            <w:r>
              <w:rPr>
                <w:rFonts w:hint="eastAsia" w:ascii="Times New Roman" w:hAnsi="Times New Roman" w:cs="Times New Roman"/>
                <w:color w:val="auto"/>
                <w:kern w:val="2"/>
                <w:sz w:val="24"/>
                <w:szCs w:val="24"/>
                <w:lang w:val="en-US" w:eastAsia="zh-CN" w:bidi="ar-SA"/>
              </w:rPr>
              <w:t>，收集效率100%，</w:t>
            </w:r>
            <w:r>
              <w:rPr>
                <w:rFonts w:hint="eastAsia" w:ascii="Times New Roman" w:hAnsi="Times New Roman" w:cs="Times New Roman"/>
                <w:color w:val="auto"/>
                <w:sz w:val="24"/>
                <w:lang w:val="en-US" w:eastAsia="zh-CN"/>
              </w:rPr>
              <w:t>监测时</w:t>
            </w:r>
            <w:r>
              <w:rPr>
                <w:rFonts w:hint="default" w:ascii="Times New Roman" w:hAnsi="Times New Roman" w:cs="Times New Roman"/>
                <w:color w:val="auto"/>
                <w:sz w:val="24"/>
                <w:lang w:val="en-US" w:eastAsia="zh-CN"/>
              </w:rPr>
              <w:t>工况为5</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计算100%工况下</w:t>
            </w:r>
            <w:r>
              <w:rPr>
                <w:rFonts w:hint="eastAsia" w:ascii="Times New Roman" w:hAnsi="Times New Roman" w:eastAsia="宋体" w:cs="Times New Roman"/>
                <w:color w:val="auto"/>
                <w:kern w:val="2"/>
                <w:sz w:val="24"/>
                <w:szCs w:val="24"/>
                <w:lang w:val="en-US" w:eastAsia="zh-CN" w:bidi="ar-SA"/>
              </w:rPr>
              <w:t>颗粒物产生量为</w:t>
            </w:r>
            <w:r>
              <w:rPr>
                <w:rFonts w:hint="eastAsia" w:ascii="Times New Roman" w:hAnsi="Times New Roman" w:cs="Times New Roman"/>
                <w:color w:val="auto"/>
                <w:kern w:val="2"/>
                <w:sz w:val="24"/>
                <w:szCs w:val="24"/>
                <w:lang w:val="en-US" w:eastAsia="zh-CN" w:bidi="ar-SA"/>
              </w:rPr>
              <w:t>0.782</w:t>
            </w:r>
            <w:r>
              <w:rPr>
                <w:rFonts w:hint="default" w:ascii="Times New Roman" w:hAnsi="Times New Roman" w:cs="Times New Roman"/>
                <w:color w:val="auto"/>
                <w:kern w:val="0"/>
                <w:sz w:val="24"/>
              </w:rPr>
              <w:t>t/a</w:t>
            </w:r>
            <w:r>
              <w:rPr>
                <w:rFonts w:hint="eastAsia" w:ascii="Times New Roman" w:hAnsi="Times New Roman" w:cs="Times New Roman"/>
                <w:color w:val="auto"/>
                <w:kern w:val="0"/>
                <w:sz w:val="24"/>
                <w:lang w:eastAsia="zh-CN"/>
              </w:rPr>
              <w:t>。</w:t>
            </w:r>
          </w:p>
          <w:p w14:paraId="244F7B08">
            <w:pPr>
              <w:pStyle w:val="46"/>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除锈机自带布袋除尘器处理除锈粉尘，</w:t>
            </w:r>
            <w:r>
              <w:rPr>
                <w:rFonts w:hint="default" w:ascii="Times New Roman" w:hAnsi="Times New Roman" w:cs="Times New Roman"/>
                <w:color w:val="auto"/>
                <w:lang w:val="en-US" w:eastAsia="zh-CN"/>
              </w:rPr>
              <w:t>粉尘经设备自带除尘器处理后经</w:t>
            </w:r>
            <w:r>
              <w:rPr>
                <w:rFonts w:hint="default" w:ascii="Times New Roman" w:hAnsi="Times New Roman" w:eastAsia="宋体" w:cs="Times New Roman"/>
                <w:color w:val="auto"/>
                <w:lang w:val="en-US" w:eastAsia="zh-CN"/>
              </w:rPr>
              <w:t>1根</w:t>
            </w:r>
            <w:r>
              <w:rPr>
                <w:rFonts w:hint="eastAsia" w:ascii="Times New Roman" w:hAnsi="Times New Roman" w:cs="Times New Roman"/>
                <w:color w:val="auto"/>
                <w:lang w:val="en-US" w:eastAsia="zh-CN"/>
              </w:rPr>
              <w:t>15m</w:t>
            </w:r>
            <w:r>
              <w:rPr>
                <w:rFonts w:hint="default" w:ascii="Times New Roman" w:hAnsi="Times New Roman" w:eastAsia="宋体" w:cs="Times New Roman"/>
                <w:color w:val="auto"/>
                <w:lang w:val="en-US" w:eastAsia="zh-CN"/>
              </w:rPr>
              <w:t>高排气筒</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DA003</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lang w:val="en-US" w:eastAsia="zh-CN"/>
              </w:rPr>
              <w:t>排放</w:t>
            </w:r>
            <w:r>
              <w:rPr>
                <w:rFonts w:hint="eastAsia" w:ascii="Times New Roman" w:hAnsi="Times New Roman" w:cs="Times New Roman"/>
                <w:color w:val="auto"/>
                <w:kern w:val="2"/>
                <w:sz w:val="24"/>
                <w:szCs w:val="24"/>
                <w:lang w:val="en-US" w:eastAsia="zh-CN" w:bidi="ar-SA"/>
              </w:rPr>
              <w:t>，</w:t>
            </w:r>
            <w:r>
              <w:rPr>
                <w:rFonts w:hint="eastAsia" w:cs="Times New Roman"/>
                <w:color w:val="auto"/>
                <w:sz w:val="24"/>
                <w:lang w:val="en-US" w:eastAsia="zh-CN"/>
              </w:rPr>
              <w:t>根据《聚乙烯外护管及保温管生产迁建项目验收监测</w:t>
            </w:r>
            <w:r>
              <w:rPr>
                <w:rFonts w:hint="default" w:ascii="Times New Roman" w:hAnsi="Times New Roman" w:cs="Times New Roman"/>
                <w:color w:val="auto"/>
                <w:sz w:val="24"/>
                <w:lang w:val="en-US" w:eastAsia="zh-CN"/>
              </w:rPr>
              <w:t>报告》</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kern w:val="2"/>
                <w:sz w:val="24"/>
                <w:szCs w:val="24"/>
                <w:vertAlign w:val="baseline"/>
                <w:lang w:val="en-US" w:eastAsia="zh-CN" w:bidi="ar-SA"/>
              </w:rPr>
              <w:t>处理效率为</w:t>
            </w:r>
            <w:r>
              <w:rPr>
                <w:rFonts w:hint="eastAsia" w:ascii="Times New Roman" w:hAnsi="Times New Roman" w:cs="Times New Roman"/>
                <w:color w:val="auto"/>
                <w:kern w:val="2"/>
                <w:sz w:val="24"/>
                <w:szCs w:val="24"/>
                <w:vertAlign w:val="baseline"/>
                <w:lang w:val="en-US" w:eastAsia="zh-CN" w:bidi="ar-SA"/>
              </w:rPr>
              <w:t>75.6~82.4%，本次评价取75</w:t>
            </w:r>
            <w:r>
              <w:rPr>
                <w:rFonts w:hint="eastAsia" w:ascii="Times New Roman" w:hAnsi="Times New Roman" w:eastAsia="宋体" w:cs="Times New Roman"/>
                <w:color w:val="auto"/>
                <w:kern w:val="2"/>
                <w:sz w:val="24"/>
                <w:szCs w:val="24"/>
                <w:vertAlign w:val="baseline"/>
                <w:lang w:val="en-US" w:eastAsia="zh-CN" w:bidi="ar-SA"/>
              </w:rPr>
              <w:t>%，</w:t>
            </w:r>
            <w:r>
              <w:rPr>
                <w:rFonts w:hint="eastAsia" w:ascii="Times New Roman" w:hAnsi="Times New Roman" w:cs="Times New Roman"/>
                <w:color w:val="auto"/>
                <w:kern w:val="2"/>
                <w:sz w:val="24"/>
                <w:szCs w:val="24"/>
                <w:vertAlign w:val="baseline"/>
                <w:lang w:val="en-US" w:eastAsia="zh-CN" w:bidi="ar-SA"/>
              </w:rPr>
              <w:t>风机风量为15000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h</w:t>
            </w:r>
            <w:r>
              <w:rPr>
                <w:rFonts w:hint="eastAsia" w:ascii="Times New Roman" w:hAnsi="Times New Roman" w:cs="Times New Roman"/>
                <w:color w:val="auto"/>
                <w:kern w:val="2"/>
                <w:sz w:val="24"/>
                <w:szCs w:val="24"/>
                <w:lang w:val="en-US" w:eastAsia="zh-CN" w:bidi="ar-SA"/>
              </w:rPr>
              <w:t>。</w:t>
            </w:r>
          </w:p>
          <w:p w14:paraId="68E61AC7">
            <w:pPr>
              <w:pStyle w:val="46"/>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kern w:val="0"/>
                <w:sz w:val="24"/>
                <w:lang w:val="en-US" w:eastAsia="zh-CN"/>
              </w:rPr>
              <w:t>除锈废气有组织颗粒物产生量为0.782t/a</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2"/>
                <w:sz w:val="24"/>
                <w:szCs w:val="24"/>
                <w:lang w:val="en-US" w:eastAsia="zh-CN" w:bidi="ar-SA"/>
              </w:rPr>
              <w:t>产生</w:t>
            </w:r>
            <w:r>
              <w:rPr>
                <w:rFonts w:hint="eastAsia" w:ascii="Times New Roman" w:hAnsi="Times New Roman" w:eastAsia="宋体" w:cs="Times New Roman"/>
                <w:color w:val="auto"/>
                <w:kern w:val="2"/>
                <w:sz w:val="24"/>
                <w:szCs w:val="24"/>
                <w:vertAlign w:val="baseline"/>
                <w:lang w:val="en-US" w:eastAsia="zh-CN" w:bidi="ar-SA"/>
              </w:rPr>
              <w:t>速率为</w:t>
            </w:r>
            <w:r>
              <w:rPr>
                <w:rFonts w:hint="eastAsia" w:ascii="Times New Roman" w:hAnsi="Times New Roman" w:cs="Times New Roman"/>
                <w:color w:val="auto"/>
                <w:kern w:val="2"/>
                <w:sz w:val="24"/>
                <w:szCs w:val="24"/>
                <w:vertAlign w:val="baseline"/>
                <w:lang w:val="en-US" w:eastAsia="zh-CN" w:bidi="ar-SA"/>
              </w:rPr>
              <w:t>2.6</w:t>
            </w:r>
            <w:r>
              <w:rPr>
                <w:rFonts w:hint="eastAsia" w:ascii="Times New Roman" w:hAnsi="Times New Roman" w:eastAsia="宋体" w:cs="Times New Roman"/>
                <w:color w:val="auto"/>
                <w:kern w:val="2"/>
                <w:sz w:val="24"/>
                <w:szCs w:val="24"/>
                <w:vertAlign w:val="baseline"/>
                <w:lang w:val="en-US" w:eastAsia="zh-CN" w:bidi="ar-SA"/>
              </w:rPr>
              <w:t>kg/h</w:t>
            </w:r>
            <w:r>
              <w:rPr>
                <w:rFonts w:hint="eastAsia" w:ascii="Times New Roman" w:hAnsi="Times New Roman" w:cs="Times New Roman"/>
                <w:color w:val="auto"/>
                <w:kern w:val="2"/>
                <w:sz w:val="24"/>
                <w:szCs w:val="24"/>
                <w:vertAlign w:val="baseline"/>
                <w:lang w:val="en-US" w:eastAsia="zh-CN" w:bidi="ar-SA"/>
              </w:rPr>
              <w:t>，173</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cs="Times New Roman"/>
                <w:color w:val="auto"/>
                <w:kern w:val="2"/>
                <w:sz w:val="24"/>
                <w:szCs w:val="24"/>
                <w:vertAlign w:val="baseline"/>
                <w:lang w:val="en-US" w:eastAsia="zh-CN" w:bidi="ar-SA"/>
              </w:rPr>
              <w:t>）</w:t>
            </w:r>
            <w:r>
              <w:rPr>
                <w:rFonts w:hint="eastAsia" w:ascii="Times New Roman" w:hAnsi="Times New Roman" w:eastAsia="宋体" w:cs="Times New Roman"/>
                <w:color w:val="auto"/>
                <w:kern w:val="2"/>
                <w:sz w:val="24"/>
                <w:szCs w:val="24"/>
                <w:vertAlign w:val="baseline"/>
                <w:lang w:val="en-US" w:eastAsia="zh-CN" w:bidi="ar-SA"/>
              </w:rPr>
              <w:t>；则</w:t>
            </w:r>
            <w:r>
              <w:rPr>
                <w:rFonts w:hint="eastAsia" w:ascii="Times New Roman" w:hAnsi="Times New Roman" w:eastAsia="宋体" w:cs="Times New Roman"/>
                <w:color w:val="auto"/>
                <w:kern w:val="2"/>
                <w:sz w:val="24"/>
                <w:szCs w:val="24"/>
                <w:lang w:val="en-US" w:eastAsia="zh-CN" w:bidi="ar-SA"/>
              </w:rPr>
              <w:t>除锈过程颗粒物排放量为0.</w:t>
            </w:r>
            <w:r>
              <w:rPr>
                <w:rFonts w:hint="eastAsia" w:ascii="Times New Roman" w:hAnsi="Times New Roman" w:cs="Times New Roman"/>
                <w:color w:val="auto"/>
                <w:kern w:val="2"/>
                <w:sz w:val="24"/>
                <w:szCs w:val="24"/>
                <w:lang w:val="en-US" w:eastAsia="zh-CN" w:bidi="ar-SA"/>
              </w:rPr>
              <w:t>196</w:t>
            </w:r>
            <w:r>
              <w:rPr>
                <w:rFonts w:hint="default" w:ascii="Times New Roman" w:hAnsi="Times New Roman" w:cs="Times New Roman"/>
                <w:color w:val="auto"/>
                <w:kern w:val="0"/>
                <w:sz w:val="24"/>
              </w:rPr>
              <w:t>t/a</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2"/>
                <w:sz w:val="24"/>
                <w:szCs w:val="24"/>
                <w:lang w:val="en-US" w:eastAsia="zh-CN" w:bidi="ar-SA"/>
              </w:rPr>
              <w:t>排放</w:t>
            </w:r>
            <w:r>
              <w:rPr>
                <w:rFonts w:hint="eastAsia" w:ascii="Times New Roman" w:hAnsi="Times New Roman" w:eastAsia="宋体" w:cs="Times New Roman"/>
                <w:color w:val="auto"/>
                <w:kern w:val="2"/>
                <w:sz w:val="24"/>
                <w:szCs w:val="24"/>
                <w:vertAlign w:val="baseline"/>
                <w:lang w:val="en-US" w:eastAsia="zh-CN" w:bidi="ar-SA"/>
              </w:rPr>
              <w:t>速率为0.</w:t>
            </w:r>
            <w:r>
              <w:rPr>
                <w:rFonts w:hint="eastAsia" w:ascii="Times New Roman" w:hAnsi="Times New Roman" w:cs="Times New Roman"/>
                <w:color w:val="auto"/>
                <w:kern w:val="2"/>
                <w:sz w:val="24"/>
                <w:szCs w:val="24"/>
                <w:vertAlign w:val="baseline"/>
                <w:lang w:val="en-US" w:eastAsia="zh-CN" w:bidi="ar-SA"/>
              </w:rPr>
              <w:t>65</w:t>
            </w:r>
            <w:r>
              <w:rPr>
                <w:rFonts w:hint="eastAsia" w:ascii="Times New Roman" w:hAnsi="Times New Roman" w:eastAsia="宋体" w:cs="Times New Roman"/>
                <w:color w:val="auto"/>
                <w:kern w:val="2"/>
                <w:sz w:val="24"/>
                <w:szCs w:val="24"/>
                <w:vertAlign w:val="baseline"/>
                <w:lang w:val="en-US" w:eastAsia="zh-CN" w:bidi="ar-SA"/>
              </w:rPr>
              <w:t>kg/h，</w:t>
            </w:r>
            <w:r>
              <w:rPr>
                <w:rFonts w:hint="eastAsia" w:ascii="Times New Roman" w:hAnsi="Times New Roman" w:eastAsia="宋体" w:cs="Times New Roman"/>
                <w:color w:val="auto"/>
                <w:kern w:val="2"/>
                <w:sz w:val="24"/>
                <w:szCs w:val="24"/>
                <w:lang w:val="en-US" w:eastAsia="zh-CN" w:bidi="ar-SA"/>
              </w:rPr>
              <w:t>排放浓度</w:t>
            </w:r>
            <w:r>
              <w:rPr>
                <w:rFonts w:hint="eastAsia" w:ascii="Times New Roman" w:hAnsi="Times New Roman" w:eastAsia="宋体" w:cs="Times New Roman"/>
                <w:color w:val="auto"/>
                <w:kern w:val="2"/>
                <w:sz w:val="24"/>
                <w:szCs w:val="24"/>
                <w:vertAlign w:val="baseline"/>
                <w:lang w:val="en-US" w:eastAsia="zh-CN" w:bidi="ar-SA"/>
              </w:rPr>
              <w:t>为</w:t>
            </w:r>
            <w:r>
              <w:rPr>
                <w:rFonts w:hint="eastAsia" w:ascii="Times New Roman" w:hAnsi="Times New Roman" w:cs="Times New Roman"/>
                <w:color w:val="auto"/>
                <w:kern w:val="2"/>
                <w:sz w:val="24"/>
                <w:szCs w:val="24"/>
                <w:vertAlign w:val="baseline"/>
                <w:lang w:val="en-US" w:eastAsia="zh-CN" w:bidi="ar-SA"/>
              </w:rPr>
              <w:t>43</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vertAlign w:val="baseline"/>
                <w:lang w:val="en-US" w:eastAsia="zh-CN" w:bidi="ar-SA"/>
              </w:rPr>
              <w:t>。</w:t>
            </w:r>
          </w:p>
          <w:p w14:paraId="5CAE7C8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②</w:t>
            </w:r>
            <w:r>
              <w:rPr>
                <w:rFonts w:hint="eastAsia" w:ascii="Times New Roman" w:hAnsi="Times New Roman" w:cs="Times New Roman"/>
                <w:bCs/>
                <w:color w:val="auto"/>
                <w:sz w:val="24"/>
                <w:lang w:val="en-US" w:eastAsia="zh-CN"/>
              </w:rPr>
              <w:t>发泡废气</w:t>
            </w:r>
          </w:p>
          <w:p w14:paraId="768AE3B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保温管生产线产生的废气主要是发泡废气，</w:t>
            </w:r>
            <w:r>
              <w:rPr>
                <w:rFonts w:hint="default" w:ascii="Times New Roman" w:hAnsi="Times New Roman" w:cs="Times New Roman"/>
                <w:color w:val="auto"/>
                <w:sz w:val="24"/>
              </w:rPr>
              <w:t>发泡反应放出的CO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会带出少量发泡原料，主要为异氰酸酯及聚醚多元醇，以非甲烷总烃计</w:t>
            </w:r>
            <w:r>
              <w:rPr>
                <w:rFonts w:hint="eastAsia" w:cs="Times New Roman"/>
                <w:color w:val="auto"/>
                <w:sz w:val="24"/>
                <w:lang w:eastAsia="zh-CN"/>
              </w:rPr>
              <w:t>。</w:t>
            </w:r>
            <w:r>
              <w:rPr>
                <w:rFonts w:hint="eastAsia" w:cs="Times New Roman"/>
                <w:color w:val="auto"/>
                <w:sz w:val="24"/>
                <w:lang w:val="en-US" w:eastAsia="zh-CN"/>
              </w:rPr>
              <w:t>类比《聚乙烯外护管及保温管生产迁建项目验收监测报告》，发泡排气筒进口非甲烷总烃排放速率为0.1364~0.1734kg/h，本次评价取最大排放速率非甲烷总烃为0.1734kg/h，</w:t>
            </w:r>
            <w:r>
              <w:rPr>
                <w:rFonts w:hint="default" w:ascii="Times New Roman" w:hAnsi="Times New Roman" w:cs="Times New Roman"/>
                <w:color w:val="auto"/>
                <w:sz w:val="24"/>
              </w:rPr>
              <w:t>发泡机每天运行3h，年工作时间为900h</w:t>
            </w:r>
            <w:r>
              <w:rPr>
                <w:rFonts w:hint="eastAsia" w:ascii="Times New Roman" w:hAnsi="Times New Roman" w:cs="Times New Roman"/>
                <w:color w:val="auto"/>
                <w:sz w:val="24"/>
                <w:lang w:eastAsia="zh-CN"/>
              </w:rPr>
              <w:t>，</w:t>
            </w:r>
            <w:r>
              <w:rPr>
                <w:rFonts w:hint="eastAsia" w:cs="Times New Roman"/>
                <w:color w:val="auto"/>
                <w:sz w:val="24"/>
                <w:lang w:val="en-US" w:eastAsia="zh-CN"/>
              </w:rPr>
              <w:t>废气收集效率为80%，监测时工况为51%，计算100%工况下</w:t>
            </w:r>
            <w:r>
              <w:rPr>
                <w:rFonts w:hint="default" w:ascii="Times New Roman" w:hAnsi="Times New Roman" w:cs="Times New Roman"/>
                <w:color w:val="auto"/>
                <w:sz w:val="24"/>
              </w:rPr>
              <w:t>发泡过程废气产生量为0</w:t>
            </w:r>
            <w:r>
              <w:rPr>
                <w:rFonts w:hint="eastAsia" w:cs="Times New Roman"/>
                <w:color w:val="auto"/>
                <w:sz w:val="24"/>
                <w:lang w:val="en-US" w:eastAsia="zh-CN"/>
              </w:rPr>
              <w:t>.383</w:t>
            </w:r>
            <w:r>
              <w:rPr>
                <w:rFonts w:hint="default" w:ascii="Times New Roman" w:hAnsi="Times New Roman" w:cs="Times New Roman"/>
                <w:color w:val="auto"/>
                <w:sz w:val="24"/>
              </w:rPr>
              <w:t>t</w:t>
            </w:r>
            <w:r>
              <w:rPr>
                <w:rFonts w:hint="eastAsia" w:cs="Times New Roman"/>
                <w:color w:val="auto"/>
                <w:sz w:val="24"/>
                <w:lang w:eastAsia="zh-CN"/>
              </w:rPr>
              <w:t>。</w:t>
            </w:r>
          </w:p>
          <w:p w14:paraId="5182A02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台</w:t>
            </w:r>
            <w:r>
              <w:rPr>
                <w:rFonts w:hint="eastAsia" w:ascii="Times New Roman" w:hAnsi="Times New Roman" w:eastAsia="宋体" w:cs="Times New Roman"/>
                <w:color w:val="auto"/>
                <w:kern w:val="2"/>
                <w:sz w:val="24"/>
                <w:szCs w:val="24"/>
                <w:lang w:val="en-US" w:eastAsia="zh-CN" w:bidi="ar-SA"/>
              </w:rPr>
              <w:t>发泡机</w:t>
            </w:r>
            <w:r>
              <w:rPr>
                <w:rFonts w:hint="default" w:ascii="Times New Roman" w:hAnsi="Times New Roman" w:eastAsia="宋体" w:cs="Times New Roman"/>
                <w:color w:val="auto"/>
                <w:kern w:val="2"/>
                <w:sz w:val="24"/>
                <w:szCs w:val="24"/>
                <w:lang w:val="en-US" w:eastAsia="zh-CN" w:bidi="ar-SA"/>
              </w:rPr>
              <w:t>上方均设置</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集气罩</w:t>
            </w:r>
            <w:r>
              <w:rPr>
                <w:rFonts w:hint="eastAsia" w:cs="Times New Roman"/>
                <w:color w:val="auto"/>
                <w:kern w:val="2"/>
                <w:sz w:val="24"/>
                <w:szCs w:val="24"/>
                <w:lang w:val="en-US" w:eastAsia="zh-CN" w:bidi="ar-SA"/>
              </w:rPr>
              <w:t>+软帘”</w:t>
            </w:r>
            <w:r>
              <w:rPr>
                <w:rFonts w:hint="default" w:ascii="Times New Roman" w:hAnsi="Times New Roman" w:eastAsia="宋体" w:cs="Times New Roman"/>
                <w:color w:val="auto"/>
                <w:kern w:val="2"/>
                <w:sz w:val="24"/>
                <w:szCs w:val="24"/>
                <w:lang w:val="en-US" w:eastAsia="zh-CN" w:bidi="ar-SA"/>
              </w:rPr>
              <w:t>收集</w:t>
            </w:r>
            <w:r>
              <w:rPr>
                <w:rFonts w:hint="eastAsia" w:ascii="Times New Roman" w:hAnsi="Times New Roman" w:eastAsia="宋体" w:cs="Times New Roman"/>
                <w:color w:val="auto"/>
                <w:kern w:val="2"/>
                <w:sz w:val="24"/>
                <w:szCs w:val="24"/>
                <w:lang w:val="en-US" w:eastAsia="zh-CN" w:bidi="ar-SA"/>
              </w:rPr>
              <w:t>有机</w:t>
            </w:r>
            <w:r>
              <w:rPr>
                <w:rFonts w:hint="default" w:ascii="Times New Roman" w:hAnsi="Times New Roman" w:eastAsia="宋体" w:cs="Times New Roman"/>
                <w:color w:val="auto"/>
                <w:kern w:val="2"/>
                <w:sz w:val="24"/>
                <w:szCs w:val="24"/>
                <w:lang w:val="en-US" w:eastAsia="zh-CN" w:bidi="ar-SA"/>
              </w:rPr>
              <w:t>废气，</w:t>
            </w:r>
            <w:r>
              <w:rPr>
                <w:rFonts w:hint="eastAsia"/>
                <w:color w:val="auto"/>
                <w:sz w:val="24"/>
                <w:lang w:val="en-US" w:eastAsia="zh-CN"/>
              </w:rPr>
              <w:t>产生的有机废气</w:t>
            </w:r>
            <w:r>
              <w:rPr>
                <w:rFonts w:hint="default" w:ascii="Times New Roman" w:hAnsi="Times New Roman" w:eastAsia="宋体" w:cs="Times New Roman"/>
                <w:color w:val="auto"/>
                <w:kern w:val="2"/>
                <w:sz w:val="24"/>
                <w:szCs w:val="24"/>
                <w:lang w:val="en-US" w:eastAsia="zh-CN" w:bidi="ar-SA"/>
              </w:rPr>
              <w:t>收集后</w:t>
            </w:r>
            <w:r>
              <w:rPr>
                <w:rFonts w:hint="eastAsia" w:ascii="Times New Roman" w:hAnsi="Times New Roman" w:eastAsia="宋体" w:cs="Times New Roman"/>
                <w:color w:val="auto"/>
                <w:kern w:val="2"/>
                <w:sz w:val="24"/>
                <w:szCs w:val="24"/>
                <w:lang w:val="en-US" w:eastAsia="zh-CN" w:bidi="ar-SA"/>
              </w:rPr>
              <w:t>经</w:t>
            </w:r>
            <w:r>
              <w:rPr>
                <w:rFonts w:hint="eastAsia" w:cs="Times New Roman"/>
                <w:color w:val="auto"/>
                <w:kern w:val="2"/>
                <w:sz w:val="24"/>
                <w:szCs w:val="24"/>
                <w:lang w:val="en-US" w:eastAsia="zh-CN" w:bidi="ar-SA"/>
              </w:rPr>
              <w:t>二级活性炭</w:t>
            </w:r>
            <w:r>
              <w:rPr>
                <w:rFonts w:hint="default" w:ascii="Times New Roman" w:hAnsi="Times New Roman" w:eastAsia="宋体" w:cs="Times New Roman"/>
                <w:color w:val="auto"/>
                <w:kern w:val="2"/>
                <w:sz w:val="24"/>
                <w:szCs w:val="24"/>
                <w:lang w:val="en-US" w:eastAsia="zh-CN" w:bidi="ar-SA"/>
              </w:rPr>
              <w:t>吸附装置进行处理</w:t>
            </w:r>
            <w:r>
              <w:rPr>
                <w:rFonts w:hint="eastAsia" w:cs="Times New Roman"/>
                <w:color w:val="auto"/>
                <w:kern w:val="2"/>
                <w:sz w:val="24"/>
                <w:szCs w:val="24"/>
                <w:lang w:val="en-US" w:eastAsia="zh-CN" w:bidi="ar-SA"/>
              </w:rPr>
              <w:t>，尾气通过</w:t>
            </w:r>
            <w:r>
              <w:rPr>
                <w:rFonts w:hint="eastAsia" w:ascii="Times New Roman" w:hAnsi="Times New Roman" w:eastAsia="宋体" w:cs="Times New Roman"/>
                <w:color w:val="auto"/>
                <w:kern w:val="2"/>
                <w:sz w:val="24"/>
                <w:szCs w:val="24"/>
                <w:lang w:val="en-US" w:eastAsia="zh-CN" w:bidi="ar-SA"/>
              </w:rPr>
              <w:t>1根</w:t>
            </w:r>
            <w:r>
              <w:rPr>
                <w:rFonts w:hint="default" w:ascii="Times New Roman" w:hAnsi="Times New Roman" w:eastAsia="宋体" w:cs="Times New Roman"/>
                <w:color w:val="auto"/>
                <w:kern w:val="2"/>
                <w:sz w:val="24"/>
                <w:szCs w:val="24"/>
                <w:lang w:val="en-US" w:eastAsia="zh-CN" w:bidi="ar-SA"/>
              </w:rPr>
              <w:t>15米高排气筒</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DA002</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排放。</w:t>
            </w:r>
            <w:r>
              <w:rPr>
                <w:rFonts w:hint="eastAsia" w:cs="Times New Roman"/>
                <w:color w:val="auto"/>
                <w:sz w:val="24"/>
                <w:lang w:val="en-US" w:eastAsia="zh-CN"/>
              </w:rPr>
              <w:t>风机风量为8000</w:t>
            </w:r>
            <w:r>
              <w:rPr>
                <w:rFonts w:hint="eastAsia"/>
                <w:color w:val="auto"/>
                <w:sz w:val="24"/>
              </w:rPr>
              <w:t>m</w:t>
            </w:r>
            <w:r>
              <w:rPr>
                <w:rFonts w:hint="eastAsia"/>
                <w:color w:val="auto"/>
                <w:sz w:val="24"/>
                <w:vertAlign w:val="superscript"/>
              </w:rPr>
              <w:t>3</w:t>
            </w:r>
            <w:r>
              <w:rPr>
                <w:rFonts w:hint="eastAsia"/>
                <w:color w:val="auto"/>
                <w:sz w:val="24"/>
              </w:rPr>
              <w:t>/h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2"/>
                <w:sz w:val="24"/>
                <w:szCs w:val="24"/>
                <w:lang w:val="en-US" w:eastAsia="zh-CN" w:bidi="ar-SA"/>
              </w:rPr>
              <w:t>根据</w:t>
            </w:r>
            <w:r>
              <w:rPr>
                <w:rFonts w:hint="eastAsia" w:ascii="Times New Roman" w:hAnsi="Times New Roman" w:eastAsia="宋体" w:cs="Times New Roman"/>
                <w:bCs/>
                <w:color w:val="auto"/>
                <w:sz w:val="24"/>
                <w:lang w:val="en-US" w:eastAsia="zh-CN"/>
              </w:rPr>
              <w:t>《排放源统计调查产排污核算方法和系数手册》中2922</w:t>
            </w:r>
            <w:r>
              <w:rPr>
                <w:rFonts w:hint="default" w:ascii="Times New Roman" w:hAnsi="Times New Roman" w:eastAsia="宋体" w:cs="Times New Roman"/>
                <w:bCs/>
                <w:color w:val="auto"/>
                <w:sz w:val="24"/>
                <w:lang w:val="en-US" w:eastAsia="zh-CN"/>
              </w:rPr>
              <w:t>塑料板、管、型材制造行业系数表</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color w:val="auto"/>
                <w:kern w:val="2"/>
                <w:sz w:val="24"/>
                <w:szCs w:val="24"/>
                <w:lang w:val="en-US" w:eastAsia="zh-CN" w:bidi="ar-SA"/>
              </w:rPr>
              <w:t>活性炭吸附装置的</w:t>
            </w:r>
            <w:r>
              <w:rPr>
                <w:rFonts w:hint="eastAsia" w:ascii="Times New Roman" w:hAnsi="Times New Roman" w:eastAsia="宋体" w:cs="Times New Roman"/>
                <w:color w:val="auto"/>
                <w:kern w:val="2"/>
                <w:sz w:val="24"/>
                <w:szCs w:val="24"/>
                <w:lang w:val="en-US" w:eastAsia="zh-CN" w:bidi="ar-SA"/>
              </w:rPr>
              <w:t>处理</w:t>
            </w:r>
            <w:r>
              <w:rPr>
                <w:rFonts w:hint="default" w:ascii="Times New Roman" w:hAnsi="Times New Roman" w:eastAsia="宋体" w:cs="Times New Roman"/>
                <w:color w:val="auto"/>
                <w:kern w:val="2"/>
                <w:sz w:val="24"/>
                <w:szCs w:val="24"/>
                <w:lang w:val="en-US" w:eastAsia="zh-CN" w:bidi="ar-SA"/>
              </w:rPr>
              <w:t>效率为</w:t>
            </w:r>
            <w:r>
              <w:rPr>
                <w:rFonts w:hint="eastAsia" w:ascii="Times New Roman" w:hAnsi="Times New Roman" w:eastAsia="宋体"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，二级活性炭处理效率为37.59%</w:t>
            </w:r>
            <w:r>
              <w:rPr>
                <w:rFonts w:hint="eastAsia" w:ascii="Times New Roman" w:hAnsi="Times New Roman" w:eastAsia="宋体" w:cs="Times New Roman"/>
                <w:bCs/>
                <w:color w:val="auto"/>
                <w:sz w:val="24"/>
                <w:lang w:val="en-US" w:eastAsia="zh-CN"/>
              </w:rPr>
              <w:t>。</w:t>
            </w:r>
          </w:p>
          <w:p w14:paraId="6A9593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发泡过程</w:t>
            </w:r>
            <w:r>
              <w:rPr>
                <w:rFonts w:hint="default" w:ascii="Times New Roman" w:hAnsi="Times New Roman" w:eastAsia="宋体" w:cs="Times New Roman"/>
                <w:color w:val="auto"/>
                <w:kern w:val="2"/>
                <w:sz w:val="24"/>
                <w:szCs w:val="24"/>
                <w:lang w:val="en-US" w:eastAsia="zh-CN" w:bidi="ar-SA"/>
              </w:rPr>
              <w:t>有组织非甲烷总烃产生量为</w:t>
            </w:r>
            <w:r>
              <w:rPr>
                <w:rFonts w:hint="eastAsia" w:ascii="Times New Roman" w:hAnsi="Times New Roman" w:eastAsia="宋体" w:cs="Times New Roman"/>
                <w:color w:val="auto"/>
                <w:kern w:val="2"/>
                <w:sz w:val="24"/>
                <w:szCs w:val="24"/>
                <w:lang w:val="en-US" w:eastAsia="zh-CN" w:bidi="ar-SA"/>
              </w:rPr>
              <w:t>0.</w:t>
            </w:r>
            <w:r>
              <w:rPr>
                <w:rFonts w:hint="eastAsia" w:cs="Times New Roman"/>
                <w:color w:val="auto"/>
                <w:kern w:val="2"/>
                <w:sz w:val="24"/>
                <w:szCs w:val="24"/>
                <w:lang w:val="en-US" w:eastAsia="zh-CN" w:bidi="ar-SA"/>
              </w:rPr>
              <w:t>306</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eastAsia="宋体" w:cs="Times New Roman"/>
                <w:color w:val="auto"/>
                <w:kern w:val="2"/>
                <w:sz w:val="24"/>
                <w:szCs w:val="24"/>
                <w:lang w:val="en-US" w:eastAsia="zh-CN" w:bidi="ar-SA"/>
              </w:rPr>
              <w:t>产生速率为0.</w:t>
            </w:r>
            <w:r>
              <w:rPr>
                <w:rFonts w:hint="eastAsia" w:cs="Times New Roman"/>
                <w:color w:val="auto"/>
                <w:kern w:val="2"/>
                <w:sz w:val="24"/>
                <w:szCs w:val="24"/>
                <w:lang w:val="en-US" w:eastAsia="zh-CN" w:bidi="ar-SA"/>
              </w:rPr>
              <w:t>34</w:t>
            </w:r>
            <w:r>
              <w:rPr>
                <w:rFonts w:hint="default" w:ascii="Times New Roman" w:hAnsi="Times New Roman" w:eastAsia="宋体" w:cs="Times New Roman"/>
                <w:color w:val="auto"/>
                <w:kern w:val="2"/>
                <w:sz w:val="24"/>
                <w:szCs w:val="24"/>
                <w:lang w:val="en-US" w:eastAsia="zh-CN" w:bidi="ar-SA"/>
              </w:rPr>
              <w:t>kg/h</w:t>
            </w:r>
            <w:r>
              <w:rPr>
                <w:rFonts w:hint="eastAsia" w:cs="Times New Roman"/>
                <w:color w:val="auto"/>
                <w:kern w:val="2"/>
                <w:sz w:val="24"/>
                <w:szCs w:val="24"/>
                <w:lang w:val="en-US" w:eastAsia="zh-CN" w:bidi="ar-SA"/>
              </w:rPr>
              <w:t>，产生浓度为42.5</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经处理后非甲烷总烃排放量为0.</w:t>
            </w:r>
            <w:r>
              <w:rPr>
                <w:rFonts w:hint="eastAsia" w:cs="Times New Roman"/>
                <w:color w:val="auto"/>
                <w:kern w:val="2"/>
                <w:sz w:val="24"/>
                <w:szCs w:val="24"/>
                <w:lang w:val="en-US" w:eastAsia="zh-CN" w:bidi="ar-SA"/>
              </w:rPr>
              <w:t>19</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cs="Times New Roman"/>
                <w:color w:val="auto"/>
                <w:kern w:val="0"/>
                <w:sz w:val="24"/>
                <w:lang w:val="en-US" w:eastAsia="zh-CN"/>
              </w:rPr>
              <w:t>排放</w:t>
            </w:r>
            <w:r>
              <w:rPr>
                <w:rFonts w:hint="default" w:ascii="Times New Roman" w:hAnsi="Times New Roman" w:eastAsia="宋体" w:cs="Times New Roman"/>
                <w:color w:val="auto"/>
                <w:kern w:val="2"/>
                <w:sz w:val="24"/>
                <w:szCs w:val="24"/>
                <w:lang w:val="en-US" w:eastAsia="zh-CN" w:bidi="ar-SA"/>
              </w:rPr>
              <w:t>速率为0.</w:t>
            </w:r>
            <w:r>
              <w:rPr>
                <w:rFonts w:hint="eastAsia"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kg/h，</w:t>
            </w:r>
            <w:r>
              <w:rPr>
                <w:rFonts w:hint="eastAsia" w:ascii="Times New Roman" w:hAnsi="Times New Roman" w:eastAsia="宋体" w:cs="Times New Roman"/>
                <w:color w:val="auto"/>
                <w:kern w:val="2"/>
                <w:sz w:val="24"/>
                <w:szCs w:val="24"/>
                <w:lang w:val="en-US" w:eastAsia="zh-CN" w:bidi="ar-SA"/>
              </w:rPr>
              <w:t>排放</w:t>
            </w:r>
            <w:r>
              <w:rPr>
                <w:rFonts w:hint="default" w:ascii="Times New Roman" w:hAnsi="Times New Roman" w:eastAsia="宋体" w:cs="Times New Roman"/>
                <w:color w:val="auto"/>
                <w:kern w:val="2"/>
                <w:sz w:val="24"/>
                <w:szCs w:val="24"/>
                <w:lang w:val="en-US" w:eastAsia="zh-CN" w:bidi="ar-SA"/>
              </w:rPr>
              <w:t>浓度为</w:t>
            </w:r>
            <w:r>
              <w:rPr>
                <w:rFonts w:hint="eastAsia" w:cs="Times New Roman"/>
                <w:color w:val="auto"/>
                <w:kern w:val="2"/>
                <w:sz w:val="24"/>
                <w:szCs w:val="24"/>
                <w:lang w:val="en-US" w:eastAsia="zh-CN" w:bidi="ar-SA"/>
              </w:rPr>
              <w:t>26.3</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0"/>
                <w:sz w:val="24"/>
                <w:lang w:eastAsia="zh-CN"/>
              </w:rPr>
              <w:t>）；</w:t>
            </w:r>
            <w:r>
              <w:rPr>
                <w:rFonts w:hint="eastAsia"/>
                <w:color w:val="auto"/>
                <w:sz w:val="24"/>
              </w:rPr>
              <w:t>无组织非甲烷总烃排放量为</w:t>
            </w:r>
            <w:r>
              <w:rPr>
                <w:rFonts w:hint="eastAsia"/>
                <w:color w:val="auto"/>
                <w:sz w:val="24"/>
                <w:lang w:val="en-US" w:eastAsia="zh-CN"/>
              </w:rPr>
              <w:t>0.077</w:t>
            </w:r>
            <w:r>
              <w:rPr>
                <w:rFonts w:hint="eastAsia"/>
                <w:color w:val="auto"/>
                <w:sz w:val="24"/>
              </w:rPr>
              <w:t>t/a；非甲烷总烃总排放量为</w:t>
            </w:r>
            <w:r>
              <w:rPr>
                <w:rFonts w:hint="eastAsia"/>
                <w:color w:val="auto"/>
                <w:sz w:val="24"/>
                <w:lang w:val="en-US" w:eastAsia="zh-CN"/>
              </w:rPr>
              <w:t>0.267</w:t>
            </w:r>
            <w:r>
              <w:rPr>
                <w:rFonts w:hint="eastAsia"/>
                <w:color w:val="auto"/>
                <w:sz w:val="24"/>
              </w:rPr>
              <w:t>t/a。</w:t>
            </w:r>
          </w:p>
          <w:p w14:paraId="5092A5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rFonts w:hint="eastAsia"/>
                <w:bCs/>
                <w:color w:val="auto"/>
                <w:sz w:val="24"/>
              </w:rPr>
              <w:t>（3）</w:t>
            </w:r>
            <w:r>
              <w:rPr>
                <w:bCs/>
                <w:color w:val="auto"/>
                <w:sz w:val="24"/>
              </w:rPr>
              <w:t>排放口基本情况</w:t>
            </w:r>
          </w:p>
          <w:p w14:paraId="7C29D9DD">
            <w:pPr>
              <w:keepNext w:val="0"/>
              <w:keepLines w:val="0"/>
              <w:pageBreakBefore w:val="0"/>
              <w:widowControl w:val="0"/>
              <w:tabs>
                <w:tab w:val="left" w:pos="2539"/>
              </w:tabs>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排放口基本情况见</w:t>
            </w:r>
            <w:r>
              <w:rPr>
                <w:rFonts w:hint="eastAsia"/>
                <w:bCs/>
                <w:color w:val="auto"/>
                <w:sz w:val="24"/>
              </w:rPr>
              <w:t>下表</w:t>
            </w:r>
            <w:r>
              <w:rPr>
                <w:bCs/>
                <w:color w:val="auto"/>
                <w:sz w:val="24"/>
              </w:rPr>
              <w:t>。</w:t>
            </w:r>
          </w:p>
          <w:p w14:paraId="5ACE90A1">
            <w:pPr>
              <w:tabs>
                <w:tab w:val="left" w:pos="2539"/>
              </w:tabs>
              <w:adjustRightInd w:val="0"/>
              <w:snapToGrid w:val="0"/>
              <w:jc w:val="center"/>
              <w:rPr>
                <w:b/>
                <w:color w:val="auto"/>
                <w:sz w:val="24"/>
              </w:rPr>
            </w:pPr>
            <w:r>
              <w:rPr>
                <w:b/>
                <w:color w:val="auto"/>
                <w:sz w:val="24"/>
              </w:rPr>
              <w:t>表4-</w:t>
            </w:r>
            <w:r>
              <w:rPr>
                <w:rFonts w:hint="eastAsia"/>
                <w:b/>
                <w:color w:val="auto"/>
                <w:sz w:val="24"/>
                <w:lang w:val="en-US" w:eastAsia="zh-CN"/>
              </w:rPr>
              <w:t>2</w:t>
            </w:r>
            <w:r>
              <w:rPr>
                <w:b/>
                <w:color w:val="auto"/>
                <w:sz w:val="24"/>
              </w:rPr>
              <w:t xml:space="preserve">  排放口基本情况表</w:t>
            </w:r>
          </w:p>
          <w:tbl>
            <w:tblPr>
              <w:tblStyle w:val="27"/>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863"/>
              <w:gridCol w:w="1703"/>
              <w:gridCol w:w="752"/>
              <w:gridCol w:w="882"/>
              <w:gridCol w:w="906"/>
              <w:gridCol w:w="906"/>
              <w:gridCol w:w="1080"/>
            </w:tblGrid>
            <w:tr w14:paraId="7D3E8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81" w:type="pct"/>
                  <w:noWrap w:val="0"/>
                  <w:vAlign w:val="center"/>
                </w:tcPr>
                <w:p w14:paraId="06BC2806">
                  <w:pPr>
                    <w:pStyle w:val="6"/>
                    <w:ind w:left="-105" w:leftChars="-50" w:right="-105" w:rightChars="-50" w:firstLine="0"/>
                    <w:jc w:val="center"/>
                    <w:rPr>
                      <w:b/>
                      <w:color w:val="auto"/>
                      <w:sz w:val="21"/>
                      <w:szCs w:val="21"/>
                    </w:rPr>
                  </w:pPr>
                  <w:r>
                    <w:rPr>
                      <w:rFonts w:hint="eastAsia"/>
                      <w:b/>
                      <w:color w:val="auto"/>
                      <w:sz w:val="21"/>
                      <w:szCs w:val="21"/>
                    </w:rPr>
                    <w:t>排气筒名称</w:t>
                  </w:r>
                </w:p>
              </w:tc>
              <w:tc>
                <w:tcPr>
                  <w:tcW w:w="537" w:type="pct"/>
                  <w:noWrap w:val="0"/>
                  <w:vAlign w:val="center"/>
                </w:tcPr>
                <w:p w14:paraId="7F9A4E63">
                  <w:pPr>
                    <w:pStyle w:val="6"/>
                    <w:ind w:left="-105" w:leftChars="-50" w:right="-105" w:rightChars="-50" w:firstLine="0"/>
                    <w:jc w:val="center"/>
                    <w:rPr>
                      <w:b/>
                      <w:color w:val="auto"/>
                      <w:sz w:val="21"/>
                      <w:szCs w:val="21"/>
                    </w:rPr>
                  </w:pPr>
                  <w:r>
                    <w:rPr>
                      <w:rFonts w:hint="eastAsia"/>
                      <w:b/>
                      <w:color w:val="auto"/>
                      <w:sz w:val="21"/>
                      <w:szCs w:val="21"/>
                    </w:rPr>
                    <w:t>污染物</w:t>
                  </w:r>
                </w:p>
              </w:tc>
              <w:tc>
                <w:tcPr>
                  <w:tcW w:w="1061" w:type="pct"/>
                  <w:noWrap w:val="0"/>
                  <w:vAlign w:val="center"/>
                </w:tcPr>
                <w:p w14:paraId="00A58EFF">
                  <w:pPr>
                    <w:pStyle w:val="6"/>
                    <w:ind w:left="-105" w:leftChars="-50" w:right="-105" w:rightChars="-50" w:firstLine="0"/>
                    <w:jc w:val="center"/>
                    <w:rPr>
                      <w:b/>
                      <w:color w:val="auto"/>
                      <w:sz w:val="21"/>
                      <w:szCs w:val="21"/>
                    </w:rPr>
                  </w:pPr>
                  <w:r>
                    <w:rPr>
                      <w:rFonts w:hint="eastAsia"/>
                      <w:b/>
                      <w:color w:val="auto"/>
                      <w:sz w:val="21"/>
                      <w:szCs w:val="21"/>
                    </w:rPr>
                    <w:t>排气筒底部中心坐标/°</w:t>
                  </w:r>
                </w:p>
              </w:tc>
              <w:tc>
                <w:tcPr>
                  <w:tcW w:w="468" w:type="pct"/>
                  <w:noWrap w:val="0"/>
                  <w:vAlign w:val="center"/>
                </w:tcPr>
                <w:p w14:paraId="20388AFE">
                  <w:pPr>
                    <w:pStyle w:val="6"/>
                    <w:ind w:left="-105" w:leftChars="-50" w:right="-105" w:rightChars="-50" w:firstLine="0"/>
                    <w:jc w:val="center"/>
                    <w:rPr>
                      <w:b/>
                      <w:color w:val="auto"/>
                      <w:sz w:val="21"/>
                      <w:szCs w:val="21"/>
                    </w:rPr>
                  </w:pPr>
                  <w:r>
                    <w:rPr>
                      <w:b/>
                      <w:color w:val="auto"/>
                      <w:sz w:val="21"/>
                      <w:szCs w:val="21"/>
                    </w:rPr>
                    <w:t>排气筒高度/m</w:t>
                  </w:r>
                </w:p>
              </w:tc>
              <w:tc>
                <w:tcPr>
                  <w:tcW w:w="549" w:type="pct"/>
                  <w:noWrap w:val="0"/>
                  <w:vAlign w:val="center"/>
                </w:tcPr>
                <w:p w14:paraId="1FB998E7">
                  <w:pPr>
                    <w:pStyle w:val="6"/>
                    <w:ind w:left="-105" w:leftChars="-50" w:right="-105" w:rightChars="-50" w:firstLine="0"/>
                    <w:jc w:val="center"/>
                    <w:rPr>
                      <w:b/>
                      <w:color w:val="auto"/>
                      <w:sz w:val="21"/>
                      <w:szCs w:val="21"/>
                    </w:rPr>
                  </w:pPr>
                  <w:r>
                    <w:rPr>
                      <w:b/>
                      <w:color w:val="auto"/>
                      <w:sz w:val="21"/>
                      <w:szCs w:val="21"/>
                    </w:rPr>
                    <w:t>排气筒出口内径/m</w:t>
                  </w:r>
                </w:p>
              </w:tc>
              <w:tc>
                <w:tcPr>
                  <w:tcW w:w="564" w:type="pct"/>
                  <w:noWrap w:val="0"/>
                  <w:vAlign w:val="center"/>
                </w:tcPr>
                <w:p w14:paraId="7DF65797">
                  <w:pPr>
                    <w:pStyle w:val="6"/>
                    <w:ind w:left="-105" w:leftChars="-50" w:right="-105" w:rightChars="-50" w:firstLine="0"/>
                    <w:jc w:val="center"/>
                    <w:rPr>
                      <w:rFonts w:hint="default" w:eastAsia="宋体"/>
                      <w:b/>
                      <w:color w:val="auto"/>
                      <w:sz w:val="21"/>
                      <w:szCs w:val="21"/>
                      <w:lang w:val="en-US" w:eastAsia="zh-CN"/>
                    </w:rPr>
                  </w:pPr>
                  <w:r>
                    <w:rPr>
                      <w:rFonts w:hint="eastAsia"/>
                      <w:b/>
                      <w:color w:val="auto"/>
                      <w:sz w:val="21"/>
                      <w:szCs w:val="21"/>
                      <w:lang w:val="en-US" w:eastAsia="zh-CN"/>
                    </w:rPr>
                    <w:t>废气流速m/s</w:t>
                  </w:r>
                </w:p>
              </w:tc>
              <w:tc>
                <w:tcPr>
                  <w:tcW w:w="564" w:type="pct"/>
                  <w:noWrap w:val="0"/>
                  <w:vAlign w:val="center"/>
                </w:tcPr>
                <w:p w14:paraId="08385ACE">
                  <w:pPr>
                    <w:pStyle w:val="6"/>
                    <w:ind w:left="-105" w:leftChars="-50" w:right="-105" w:rightChars="-50" w:firstLine="0"/>
                    <w:jc w:val="center"/>
                    <w:rPr>
                      <w:b/>
                      <w:color w:val="auto"/>
                      <w:sz w:val="21"/>
                      <w:szCs w:val="21"/>
                    </w:rPr>
                  </w:pPr>
                  <w:r>
                    <w:rPr>
                      <w:b/>
                      <w:color w:val="auto"/>
                      <w:sz w:val="21"/>
                      <w:szCs w:val="21"/>
                    </w:rPr>
                    <w:t>烟气温度/℃</w:t>
                  </w:r>
                </w:p>
              </w:tc>
              <w:tc>
                <w:tcPr>
                  <w:tcW w:w="672" w:type="pct"/>
                  <w:noWrap w:val="0"/>
                  <w:vAlign w:val="center"/>
                </w:tcPr>
                <w:p w14:paraId="049323B7">
                  <w:pPr>
                    <w:pStyle w:val="6"/>
                    <w:ind w:left="-105" w:leftChars="-50" w:right="-105" w:rightChars="-50" w:firstLine="0"/>
                    <w:jc w:val="center"/>
                    <w:rPr>
                      <w:b/>
                      <w:color w:val="auto"/>
                      <w:sz w:val="21"/>
                      <w:szCs w:val="21"/>
                    </w:rPr>
                  </w:pPr>
                  <w:r>
                    <w:rPr>
                      <w:b/>
                      <w:color w:val="auto"/>
                      <w:sz w:val="21"/>
                      <w:szCs w:val="21"/>
                    </w:rPr>
                    <w:t>排放口类型</w:t>
                  </w:r>
                </w:p>
              </w:tc>
            </w:tr>
            <w:tr w14:paraId="6577E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1" w:type="pct"/>
                  <w:noWrap w:val="0"/>
                  <w:vAlign w:val="center"/>
                </w:tcPr>
                <w:p w14:paraId="359ECC7E">
                  <w:pPr>
                    <w:pStyle w:val="6"/>
                    <w:ind w:left="-105" w:leftChars="-50" w:right="-105" w:rightChars="-50" w:firstLine="0"/>
                    <w:jc w:val="center"/>
                    <w:rPr>
                      <w:rFonts w:hint="eastAsia"/>
                      <w:color w:val="auto"/>
                      <w:sz w:val="21"/>
                      <w:szCs w:val="21"/>
                    </w:rPr>
                  </w:pPr>
                  <w:r>
                    <w:rPr>
                      <w:rFonts w:hint="eastAsia"/>
                      <w:color w:val="auto"/>
                      <w:sz w:val="21"/>
                      <w:szCs w:val="21"/>
                    </w:rPr>
                    <w:t>排气筒DA001</w:t>
                  </w:r>
                </w:p>
              </w:tc>
              <w:tc>
                <w:tcPr>
                  <w:tcW w:w="537" w:type="pct"/>
                  <w:vMerge w:val="restart"/>
                  <w:noWrap w:val="0"/>
                  <w:vAlign w:val="center"/>
                </w:tcPr>
                <w:p w14:paraId="45B7076D">
                  <w:pPr>
                    <w:pStyle w:val="6"/>
                    <w:ind w:firstLine="0"/>
                    <w:jc w:val="center"/>
                    <w:rPr>
                      <w:rFonts w:hint="default" w:eastAsia="宋体"/>
                      <w:color w:val="auto"/>
                      <w:sz w:val="21"/>
                      <w:szCs w:val="21"/>
                      <w:lang w:val="en-US" w:eastAsia="zh-CN"/>
                    </w:rPr>
                  </w:pPr>
                  <w:r>
                    <w:rPr>
                      <w:rFonts w:hint="eastAsia"/>
                      <w:color w:val="auto"/>
                      <w:sz w:val="21"/>
                      <w:szCs w:val="21"/>
                      <w:lang w:val="en-US" w:eastAsia="zh-CN"/>
                    </w:rPr>
                    <w:t>非甲烷总烃</w:t>
                  </w:r>
                </w:p>
              </w:tc>
              <w:tc>
                <w:tcPr>
                  <w:tcW w:w="1061" w:type="pct"/>
                  <w:noWrap w:val="0"/>
                  <w:vAlign w:val="center"/>
                </w:tcPr>
                <w:p w14:paraId="6A125F94">
                  <w:pPr>
                    <w:pStyle w:val="6"/>
                    <w:ind w:firstLine="0"/>
                    <w:jc w:val="center"/>
                    <w:rPr>
                      <w:rFonts w:hint="eastAsia"/>
                      <w:color w:val="auto"/>
                      <w:sz w:val="21"/>
                      <w:szCs w:val="21"/>
                    </w:rPr>
                  </w:pPr>
                  <w:r>
                    <w:rPr>
                      <w:rFonts w:hint="eastAsia"/>
                      <w:color w:val="auto"/>
                      <w:sz w:val="21"/>
                      <w:szCs w:val="21"/>
                    </w:rPr>
                    <w:t>108.90478313</w:t>
                  </w:r>
                </w:p>
                <w:p w14:paraId="2A4792DF">
                  <w:pPr>
                    <w:pStyle w:val="6"/>
                    <w:ind w:firstLine="0"/>
                    <w:jc w:val="center"/>
                    <w:rPr>
                      <w:color w:val="auto"/>
                      <w:sz w:val="21"/>
                      <w:szCs w:val="21"/>
                    </w:rPr>
                  </w:pPr>
                  <w:r>
                    <w:rPr>
                      <w:rFonts w:hint="eastAsia"/>
                      <w:color w:val="auto"/>
                      <w:sz w:val="21"/>
                      <w:szCs w:val="21"/>
                    </w:rPr>
                    <w:t>34.53184088</w:t>
                  </w:r>
                </w:p>
              </w:tc>
              <w:tc>
                <w:tcPr>
                  <w:tcW w:w="468" w:type="pct"/>
                  <w:noWrap w:val="0"/>
                  <w:vAlign w:val="center"/>
                </w:tcPr>
                <w:p w14:paraId="2F55FF0C">
                  <w:pPr>
                    <w:pStyle w:val="6"/>
                    <w:ind w:firstLine="0"/>
                    <w:jc w:val="center"/>
                    <w:rPr>
                      <w:rFonts w:hint="default" w:eastAsia="宋体"/>
                      <w:color w:val="auto"/>
                      <w:sz w:val="21"/>
                      <w:szCs w:val="21"/>
                      <w:lang w:val="en-US" w:eastAsia="zh-CN"/>
                    </w:rPr>
                  </w:pPr>
                  <w:r>
                    <w:rPr>
                      <w:rFonts w:hint="eastAsia"/>
                      <w:color w:val="auto"/>
                      <w:sz w:val="21"/>
                      <w:szCs w:val="21"/>
                      <w:lang w:val="en-US" w:eastAsia="zh-CN"/>
                    </w:rPr>
                    <w:t>15</w:t>
                  </w:r>
                </w:p>
              </w:tc>
              <w:tc>
                <w:tcPr>
                  <w:tcW w:w="549" w:type="pct"/>
                  <w:noWrap w:val="0"/>
                  <w:vAlign w:val="center"/>
                </w:tcPr>
                <w:p w14:paraId="7664DFA5">
                  <w:pPr>
                    <w:pStyle w:val="6"/>
                    <w:ind w:firstLine="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5</w:t>
                  </w:r>
                </w:p>
              </w:tc>
              <w:tc>
                <w:tcPr>
                  <w:tcW w:w="564" w:type="pct"/>
                  <w:noWrap w:val="0"/>
                  <w:vAlign w:val="center"/>
                </w:tcPr>
                <w:p w14:paraId="69D074A4">
                  <w:pPr>
                    <w:pStyle w:val="6"/>
                    <w:ind w:firstLine="0"/>
                    <w:jc w:val="center"/>
                    <w:rPr>
                      <w:rFonts w:hint="default" w:eastAsia="宋体"/>
                      <w:color w:val="auto"/>
                      <w:sz w:val="21"/>
                      <w:szCs w:val="21"/>
                      <w:lang w:val="en-US" w:eastAsia="zh-CN"/>
                    </w:rPr>
                  </w:pPr>
                  <w:r>
                    <w:rPr>
                      <w:rFonts w:hint="eastAsia"/>
                      <w:color w:val="auto"/>
                      <w:sz w:val="21"/>
                      <w:szCs w:val="21"/>
                      <w:lang w:val="en-US" w:eastAsia="zh-CN"/>
                    </w:rPr>
                    <w:t>12.7</w:t>
                  </w:r>
                </w:p>
              </w:tc>
              <w:tc>
                <w:tcPr>
                  <w:tcW w:w="564" w:type="pct"/>
                  <w:noWrap w:val="0"/>
                  <w:vAlign w:val="center"/>
                </w:tcPr>
                <w:p w14:paraId="5755816D">
                  <w:pPr>
                    <w:pStyle w:val="6"/>
                    <w:ind w:firstLine="0"/>
                    <w:jc w:val="center"/>
                    <w:rPr>
                      <w:rFonts w:hint="default" w:eastAsia="宋体"/>
                      <w:color w:val="auto"/>
                      <w:sz w:val="21"/>
                      <w:szCs w:val="21"/>
                      <w:lang w:val="en-US" w:eastAsia="zh-CN"/>
                    </w:rPr>
                  </w:pPr>
                  <w:r>
                    <w:rPr>
                      <w:rFonts w:hint="eastAsia"/>
                      <w:color w:val="auto"/>
                      <w:sz w:val="21"/>
                      <w:szCs w:val="21"/>
                      <w:lang w:val="en-US" w:eastAsia="zh-CN"/>
                    </w:rPr>
                    <w:t>28</w:t>
                  </w:r>
                </w:p>
              </w:tc>
              <w:tc>
                <w:tcPr>
                  <w:tcW w:w="672" w:type="pct"/>
                  <w:noWrap w:val="0"/>
                  <w:vAlign w:val="center"/>
                </w:tcPr>
                <w:p w14:paraId="08F78657">
                  <w:pPr>
                    <w:pStyle w:val="6"/>
                    <w:ind w:firstLine="0"/>
                    <w:jc w:val="center"/>
                    <w:rPr>
                      <w:color w:val="auto"/>
                      <w:sz w:val="21"/>
                      <w:szCs w:val="21"/>
                    </w:rPr>
                  </w:pPr>
                  <w:r>
                    <w:rPr>
                      <w:color w:val="auto"/>
                      <w:sz w:val="21"/>
                      <w:szCs w:val="21"/>
                    </w:rPr>
                    <w:t>一般排放口</w:t>
                  </w:r>
                </w:p>
              </w:tc>
            </w:tr>
            <w:tr w14:paraId="6E3F4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1" w:type="pct"/>
                  <w:noWrap w:val="0"/>
                  <w:vAlign w:val="center"/>
                </w:tcPr>
                <w:p w14:paraId="1264EB14">
                  <w:pPr>
                    <w:pStyle w:val="6"/>
                    <w:ind w:left="-105" w:leftChars="-50" w:right="-105" w:rightChars="-50" w:firstLine="0"/>
                    <w:jc w:val="center"/>
                    <w:rPr>
                      <w:rFonts w:hint="eastAsia" w:eastAsia="宋体"/>
                      <w:color w:val="auto"/>
                      <w:sz w:val="21"/>
                      <w:szCs w:val="21"/>
                      <w:lang w:eastAsia="zh-CN"/>
                    </w:rPr>
                  </w:pPr>
                  <w:r>
                    <w:rPr>
                      <w:rFonts w:hint="eastAsia"/>
                      <w:color w:val="auto"/>
                      <w:sz w:val="21"/>
                      <w:szCs w:val="21"/>
                    </w:rPr>
                    <w:t>排气筒DA00</w:t>
                  </w:r>
                  <w:r>
                    <w:rPr>
                      <w:rFonts w:hint="eastAsia"/>
                      <w:color w:val="auto"/>
                      <w:sz w:val="21"/>
                      <w:szCs w:val="21"/>
                      <w:lang w:val="en-US" w:eastAsia="zh-CN"/>
                    </w:rPr>
                    <w:t>2</w:t>
                  </w:r>
                </w:p>
              </w:tc>
              <w:tc>
                <w:tcPr>
                  <w:tcW w:w="537" w:type="pct"/>
                  <w:vMerge w:val="continue"/>
                  <w:noWrap w:val="0"/>
                  <w:vAlign w:val="center"/>
                </w:tcPr>
                <w:p w14:paraId="4BACB9FC">
                  <w:pPr>
                    <w:pStyle w:val="6"/>
                    <w:ind w:firstLine="0"/>
                    <w:jc w:val="center"/>
                    <w:rPr>
                      <w:rFonts w:hint="eastAsia"/>
                      <w:color w:val="auto"/>
                      <w:sz w:val="21"/>
                      <w:szCs w:val="21"/>
                    </w:rPr>
                  </w:pPr>
                </w:p>
              </w:tc>
              <w:tc>
                <w:tcPr>
                  <w:tcW w:w="1061" w:type="pct"/>
                  <w:noWrap w:val="0"/>
                  <w:vAlign w:val="center"/>
                </w:tcPr>
                <w:p w14:paraId="301A9FEC">
                  <w:pPr>
                    <w:pStyle w:val="6"/>
                    <w:ind w:firstLine="0"/>
                    <w:jc w:val="center"/>
                    <w:rPr>
                      <w:rFonts w:hint="eastAsia"/>
                      <w:color w:val="auto"/>
                      <w:sz w:val="21"/>
                      <w:szCs w:val="21"/>
                    </w:rPr>
                  </w:pPr>
                  <w:r>
                    <w:rPr>
                      <w:rFonts w:hint="eastAsia"/>
                      <w:color w:val="auto"/>
                      <w:sz w:val="21"/>
                      <w:szCs w:val="21"/>
                    </w:rPr>
                    <w:t>108.90491322</w:t>
                  </w:r>
                </w:p>
                <w:p w14:paraId="376BB61F">
                  <w:pPr>
                    <w:pStyle w:val="6"/>
                    <w:ind w:firstLine="0"/>
                    <w:jc w:val="center"/>
                    <w:rPr>
                      <w:rFonts w:hint="eastAsia"/>
                      <w:color w:val="auto"/>
                      <w:sz w:val="21"/>
                      <w:szCs w:val="21"/>
                    </w:rPr>
                  </w:pPr>
                  <w:r>
                    <w:rPr>
                      <w:rFonts w:hint="eastAsia"/>
                      <w:color w:val="auto"/>
                      <w:sz w:val="21"/>
                      <w:szCs w:val="21"/>
                    </w:rPr>
                    <w:t>34.53185524</w:t>
                  </w:r>
                </w:p>
              </w:tc>
              <w:tc>
                <w:tcPr>
                  <w:tcW w:w="468" w:type="pct"/>
                  <w:noWrap w:val="0"/>
                  <w:vAlign w:val="center"/>
                </w:tcPr>
                <w:p w14:paraId="09348EAF">
                  <w:pPr>
                    <w:pStyle w:val="6"/>
                    <w:ind w:firstLine="0"/>
                    <w:jc w:val="center"/>
                    <w:rPr>
                      <w:rFonts w:hint="default" w:eastAsia="宋体"/>
                      <w:color w:val="auto"/>
                      <w:sz w:val="21"/>
                      <w:szCs w:val="21"/>
                      <w:lang w:val="en-US" w:eastAsia="zh-CN"/>
                    </w:rPr>
                  </w:pPr>
                  <w:r>
                    <w:rPr>
                      <w:rFonts w:hint="eastAsia"/>
                      <w:color w:val="auto"/>
                      <w:sz w:val="21"/>
                      <w:szCs w:val="21"/>
                      <w:lang w:val="en-US" w:eastAsia="zh-CN"/>
                    </w:rPr>
                    <w:t>15</w:t>
                  </w:r>
                </w:p>
              </w:tc>
              <w:tc>
                <w:tcPr>
                  <w:tcW w:w="549" w:type="pct"/>
                  <w:noWrap w:val="0"/>
                  <w:vAlign w:val="center"/>
                </w:tcPr>
                <w:p w14:paraId="1995EC39">
                  <w:pPr>
                    <w:pStyle w:val="6"/>
                    <w:ind w:firstLine="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4</w:t>
                  </w:r>
                </w:p>
              </w:tc>
              <w:tc>
                <w:tcPr>
                  <w:tcW w:w="564" w:type="pct"/>
                  <w:noWrap w:val="0"/>
                  <w:vAlign w:val="center"/>
                </w:tcPr>
                <w:p w14:paraId="5CCFC88D">
                  <w:pPr>
                    <w:pStyle w:val="6"/>
                    <w:ind w:firstLine="0"/>
                    <w:jc w:val="center"/>
                    <w:rPr>
                      <w:rFonts w:hint="default" w:eastAsia="宋体"/>
                      <w:color w:val="auto"/>
                      <w:sz w:val="21"/>
                      <w:szCs w:val="21"/>
                      <w:lang w:val="en-US" w:eastAsia="zh-CN"/>
                    </w:rPr>
                  </w:pPr>
                  <w:r>
                    <w:rPr>
                      <w:rFonts w:hint="eastAsia"/>
                      <w:color w:val="auto"/>
                      <w:sz w:val="21"/>
                      <w:szCs w:val="21"/>
                      <w:lang w:val="en-US" w:eastAsia="zh-CN"/>
                    </w:rPr>
                    <w:t>13.3</w:t>
                  </w:r>
                </w:p>
              </w:tc>
              <w:tc>
                <w:tcPr>
                  <w:tcW w:w="564" w:type="pct"/>
                  <w:noWrap w:val="0"/>
                  <w:vAlign w:val="center"/>
                </w:tcPr>
                <w:p w14:paraId="7E8CA10E">
                  <w:pPr>
                    <w:pStyle w:val="6"/>
                    <w:ind w:firstLine="0"/>
                    <w:jc w:val="center"/>
                    <w:rPr>
                      <w:rFonts w:hint="default" w:eastAsia="宋体"/>
                      <w:color w:val="auto"/>
                      <w:sz w:val="21"/>
                      <w:szCs w:val="21"/>
                      <w:lang w:val="en-US" w:eastAsia="zh-CN"/>
                    </w:rPr>
                  </w:pPr>
                  <w:r>
                    <w:rPr>
                      <w:rFonts w:hint="eastAsia"/>
                      <w:color w:val="auto"/>
                      <w:sz w:val="21"/>
                      <w:szCs w:val="21"/>
                      <w:lang w:val="en-US" w:eastAsia="zh-CN"/>
                    </w:rPr>
                    <w:t>28</w:t>
                  </w:r>
                </w:p>
              </w:tc>
              <w:tc>
                <w:tcPr>
                  <w:tcW w:w="672" w:type="pct"/>
                  <w:noWrap w:val="0"/>
                  <w:vAlign w:val="center"/>
                </w:tcPr>
                <w:p w14:paraId="2A94B93F">
                  <w:pPr>
                    <w:pStyle w:val="6"/>
                    <w:ind w:firstLine="0"/>
                    <w:jc w:val="center"/>
                    <w:rPr>
                      <w:color w:val="auto"/>
                      <w:sz w:val="21"/>
                      <w:szCs w:val="21"/>
                    </w:rPr>
                  </w:pPr>
                  <w:r>
                    <w:rPr>
                      <w:color w:val="auto"/>
                      <w:sz w:val="21"/>
                      <w:szCs w:val="21"/>
                    </w:rPr>
                    <w:t>一般排放口</w:t>
                  </w:r>
                </w:p>
              </w:tc>
            </w:tr>
            <w:tr w14:paraId="4D4BB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1" w:type="pct"/>
                  <w:noWrap w:val="0"/>
                  <w:vAlign w:val="center"/>
                </w:tcPr>
                <w:p w14:paraId="096825C3">
                  <w:pPr>
                    <w:pStyle w:val="6"/>
                    <w:ind w:left="-105" w:leftChars="-50" w:right="-105" w:rightChars="-50" w:firstLine="0"/>
                    <w:jc w:val="center"/>
                    <w:rPr>
                      <w:rFonts w:hint="eastAsia" w:eastAsia="宋体"/>
                      <w:color w:val="auto"/>
                      <w:sz w:val="21"/>
                      <w:szCs w:val="21"/>
                      <w:lang w:val="en-US" w:eastAsia="zh-CN"/>
                    </w:rPr>
                  </w:pPr>
                  <w:r>
                    <w:rPr>
                      <w:rFonts w:hint="eastAsia"/>
                      <w:color w:val="auto"/>
                      <w:sz w:val="21"/>
                      <w:szCs w:val="21"/>
                    </w:rPr>
                    <w:t>排气筒DA00</w:t>
                  </w:r>
                  <w:r>
                    <w:rPr>
                      <w:rFonts w:hint="eastAsia"/>
                      <w:color w:val="auto"/>
                      <w:sz w:val="21"/>
                      <w:szCs w:val="21"/>
                      <w:lang w:val="en-US" w:eastAsia="zh-CN"/>
                    </w:rPr>
                    <w:t>3</w:t>
                  </w:r>
                </w:p>
              </w:tc>
              <w:tc>
                <w:tcPr>
                  <w:tcW w:w="537" w:type="pct"/>
                  <w:noWrap w:val="0"/>
                  <w:vAlign w:val="center"/>
                </w:tcPr>
                <w:p w14:paraId="306FF361">
                  <w:pPr>
                    <w:pStyle w:val="6"/>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颗粒物</w:t>
                  </w:r>
                </w:p>
              </w:tc>
              <w:tc>
                <w:tcPr>
                  <w:tcW w:w="1061" w:type="pct"/>
                  <w:noWrap w:val="0"/>
                  <w:vAlign w:val="center"/>
                </w:tcPr>
                <w:p w14:paraId="69FD9DF3">
                  <w:pPr>
                    <w:pStyle w:val="6"/>
                    <w:ind w:firstLine="0"/>
                    <w:jc w:val="center"/>
                    <w:rPr>
                      <w:rFonts w:hint="eastAsia"/>
                      <w:color w:val="auto"/>
                      <w:sz w:val="21"/>
                      <w:szCs w:val="21"/>
                    </w:rPr>
                  </w:pPr>
                  <w:r>
                    <w:rPr>
                      <w:rFonts w:hint="eastAsia"/>
                      <w:color w:val="auto"/>
                      <w:sz w:val="21"/>
                      <w:szCs w:val="21"/>
                    </w:rPr>
                    <w:t>108.90501648</w:t>
                  </w:r>
                </w:p>
                <w:p w14:paraId="36F2B6C6">
                  <w:pPr>
                    <w:pStyle w:val="6"/>
                    <w:ind w:firstLine="0"/>
                    <w:jc w:val="center"/>
                    <w:rPr>
                      <w:rFonts w:hint="eastAsia"/>
                      <w:color w:val="auto"/>
                      <w:sz w:val="21"/>
                      <w:szCs w:val="21"/>
                    </w:rPr>
                  </w:pPr>
                  <w:r>
                    <w:rPr>
                      <w:rFonts w:hint="eastAsia"/>
                      <w:color w:val="auto"/>
                      <w:sz w:val="21"/>
                      <w:szCs w:val="21"/>
                    </w:rPr>
                    <w:t>34.53186519</w:t>
                  </w:r>
                </w:p>
              </w:tc>
              <w:tc>
                <w:tcPr>
                  <w:tcW w:w="468" w:type="pct"/>
                  <w:noWrap w:val="0"/>
                  <w:vAlign w:val="center"/>
                </w:tcPr>
                <w:p w14:paraId="2EDFB528">
                  <w:pPr>
                    <w:pStyle w:val="6"/>
                    <w:ind w:firstLine="0"/>
                    <w:jc w:val="center"/>
                    <w:rPr>
                      <w:rFonts w:hint="default" w:eastAsia="宋体"/>
                      <w:color w:val="auto"/>
                      <w:sz w:val="21"/>
                      <w:szCs w:val="21"/>
                      <w:lang w:val="en-US" w:eastAsia="zh-CN"/>
                    </w:rPr>
                  </w:pPr>
                  <w:r>
                    <w:rPr>
                      <w:rFonts w:hint="eastAsia"/>
                      <w:color w:val="auto"/>
                      <w:sz w:val="21"/>
                      <w:szCs w:val="21"/>
                      <w:lang w:val="en-US" w:eastAsia="zh-CN"/>
                    </w:rPr>
                    <w:t>17</w:t>
                  </w:r>
                </w:p>
              </w:tc>
              <w:tc>
                <w:tcPr>
                  <w:tcW w:w="549" w:type="pct"/>
                  <w:noWrap w:val="0"/>
                  <w:vAlign w:val="center"/>
                </w:tcPr>
                <w:p w14:paraId="5CD60989">
                  <w:pPr>
                    <w:pStyle w:val="6"/>
                    <w:ind w:firstLine="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8</w:t>
                  </w:r>
                </w:p>
              </w:tc>
              <w:tc>
                <w:tcPr>
                  <w:tcW w:w="564" w:type="pct"/>
                  <w:noWrap w:val="0"/>
                  <w:vAlign w:val="center"/>
                </w:tcPr>
                <w:p w14:paraId="5D8425CC">
                  <w:pPr>
                    <w:pStyle w:val="6"/>
                    <w:ind w:firstLine="0"/>
                    <w:jc w:val="center"/>
                    <w:rPr>
                      <w:rFonts w:hint="default" w:eastAsia="宋体"/>
                      <w:color w:val="auto"/>
                      <w:sz w:val="21"/>
                      <w:szCs w:val="21"/>
                      <w:lang w:val="en-US" w:eastAsia="zh-CN"/>
                    </w:rPr>
                  </w:pPr>
                  <w:r>
                    <w:rPr>
                      <w:rFonts w:hint="eastAsia"/>
                      <w:color w:val="auto"/>
                      <w:sz w:val="21"/>
                      <w:szCs w:val="21"/>
                      <w:lang w:val="en-US" w:eastAsia="zh-CN"/>
                    </w:rPr>
                    <w:t>15.7</w:t>
                  </w:r>
                </w:p>
              </w:tc>
              <w:tc>
                <w:tcPr>
                  <w:tcW w:w="564" w:type="pct"/>
                  <w:noWrap w:val="0"/>
                  <w:vAlign w:val="center"/>
                </w:tcPr>
                <w:p w14:paraId="0591A635">
                  <w:pPr>
                    <w:pStyle w:val="6"/>
                    <w:ind w:firstLine="0"/>
                    <w:jc w:val="center"/>
                    <w:rPr>
                      <w:rFonts w:hint="default" w:eastAsia="宋体"/>
                      <w:color w:val="auto"/>
                      <w:sz w:val="21"/>
                      <w:szCs w:val="21"/>
                      <w:lang w:val="en-US" w:eastAsia="zh-CN"/>
                    </w:rPr>
                  </w:pPr>
                  <w:r>
                    <w:rPr>
                      <w:rFonts w:hint="eastAsia"/>
                      <w:color w:val="auto"/>
                      <w:sz w:val="21"/>
                      <w:szCs w:val="21"/>
                      <w:lang w:val="en-US" w:eastAsia="zh-CN"/>
                    </w:rPr>
                    <w:t>25</w:t>
                  </w:r>
                </w:p>
              </w:tc>
              <w:tc>
                <w:tcPr>
                  <w:tcW w:w="672" w:type="pct"/>
                  <w:noWrap w:val="0"/>
                  <w:vAlign w:val="center"/>
                </w:tcPr>
                <w:p w14:paraId="334C0CDE">
                  <w:pPr>
                    <w:pStyle w:val="6"/>
                    <w:ind w:firstLine="0"/>
                    <w:jc w:val="center"/>
                    <w:rPr>
                      <w:color w:val="auto"/>
                      <w:sz w:val="21"/>
                      <w:szCs w:val="21"/>
                    </w:rPr>
                  </w:pPr>
                  <w:r>
                    <w:rPr>
                      <w:color w:val="auto"/>
                      <w:sz w:val="21"/>
                      <w:szCs w:val="21"/>
                    </w:rPr>
                    <w:t>一般排放口</w:t>
                  </w:r>
                </w:p>
              </w:tc>
            </w:tr>
          </w:tbl>
          <w:p w14:paraId="46366633">
            <w:pPr>
              <w:keepNext w:val="0"/>
              <w:keepLines w:val="0"/>
              <w:pageBreakBefore w:val="0"/>
              <w:widowControl w:val="0"/>
              <w:kinsoku/>
              <w:wordWrap/>
              <w:overflowPunct/>
              <w:topLinePunct w:val="0"/>
              <w:autoSpaceDE/>
              <w:autoSpaceDN/>
              <w:bidi w:val="0"/>
              <w:spacing w:before="120" w:beforeLines="50" w:line="360" w:lineRule="auto"/>
              <w:ind w:firstLine="480" w:firstLineChars="200"/>
              <w:textAlignment w:val="auto"/>
              <w:rPr>
                <w:color w:val="auto"/>
                <w:sz w:val="24"/>
              </w:rPr>
            </w:pPr>
            <w:r>
              <w:rPr>
                <w:rFonts w:hint="eastAsia"/>
                <w:color w:val="auto"/>
                <w:sz w:val="24"/>
              </w:rPr>
              <w:t>排气筒高度符合性分析：</w:t>
            </w:r>
          </w:p>
          <w:p w14:paraId="7C9A553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①挤出废气排气筒DA001、发泡废气排气筒DA002</w:t>
            </w:r>
          </w:p>
          <w:p w14:paraId="4460E98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根据《合成树脂工业污染物排放标准》（GB31572-2015）（含2024年修改清单）中排气筒高度要求：排气筒高度不低于15m（因安全考虑或有特殊工艺要求的，以及装置区污水池处理设施除外），本项目DA001、DA002排气筒高度为15m，设置合理。</w:t>
            </w:r>
          </w:p>
          <w:p w14:paraId="56D70B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②除锈废气排气筒DA003</w:t>
            </w:r>
          </w:p>
          <w:p w14:paraId="648D2F8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highlight w:val="none"/>
              </w:rPr>
            </w:pPr>
            <w:r>
              <w:rPr>
                <w:rFonts w:hint="eastAsia"/>
                <w:color w:val="auto"/>
                <w:sz w:val="24"/>
                <w:highlight w:val="none"/>
              </w:rPr>
              <w:t>根据《大气污染物综合排放标准》（GB16297-1996）中排气筒高度要求：</w:t>
            </w:r>
            <w:r>
              <w:rPr>
                <w:rFonts w:hint="eastAsia"/>
                <w:color w:val="auto"/>
                <w:sz w:val="24"/>
                <w:highlight w:val="none"/>
                <w:lang w:eastAsia="zh-CN"/>
              </w:rPr>
              <w:t>“</w:t>
            </w:r>
            <w:r>
              <w:rPr>
                <w:rFonts w:hint="eastAsia"/>
                <w:color w:val="auto"/>
                <w:sz w:val="24"/>
                <w:highlight w:val="none"/>
              </w:rPr>
              <w:t>新建污染源排气筒高度一般不应低于15m，还应高出周围200m半径范围内的建筑5m以上</w:t>
            </w:r>
            <w:r>
              <w:rPr>
                <w:rFonts w:hint="eastAsia"/>
                <w:color w:val="auto"/>
                <w:sz w:val="24"/>
                <w:highlight w:val="none"/>
                <w:lang w:eastAsia="zh-CN"/>
              </w:rPr>
              <w:t>，不能达到该要求的排气筒，应按其高度对应的表列排放速率标准值严格50%执行”的要求</w:t>
            </w:r>
            <w:r>
              <w:rPr>
                <w:rFonts w:hint="eastAsia"/>
                <w:color w:val="auto"/>
                <w:sz w:val="24"/>
                <w:highlight w:val="none"/>
              </w:rPr>
              <w:t>。</w:t>
            </w:r>
          </w:p>
          <w:p w14:paraId="238BF4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highlight w:val="none"/>
              </w:rPr>
              <w:t>本项目</w:t>
            </w:r>
            <w:r>
              <w:rPr>
                <w:rFonts w:hint="eastAsia"/>
                <w:color w:val="auto"/>
                <w:sz w:val="24"/>
                <w:highlight w:val="none"/>
                <w:lang w:val="en-US" w:eastAsia="zh-CN"/>
              </w:rPr>
              <w:t>周围200m范围内</w:t>
            </w:r>
            <w:r>
              <w:rPr>
                <w:rFonts w:hint="eastAsia"/>
                <w:color w:val="auto"/>
                <w:sz w:val="24"/>
                <w:highlight w:val="none"/>
              </w:rPr>
              <w:t>最高建筑为</w:t>
            </w:r>
            <w:r>
              <w:rPr>
                <w:rFonts w:hint="eastAsia"/>
                <w:color w:val="auto"/>
                <w:sz w:val="24"/>
                <w:highlight w:val="none"/>
                <w:lang w:val="en-US" w:eastAsia="zh-CN"/>
              </w:rPr>
              <w:t>东侧建筑物高38.4</w:t>
            </w:r>
            <w:r>
              <w:rPr>
                <w:rFonts w:hint="eastAsia"/>
                <w:color w:val="auto"/>
                <w:sz w:val="24"/>
                <w:highlight w:val="none"/>
              </w:rPr>
              <w:t>m，因此需设置</w:t>
            </w:r>
            <w:r>
              <w:rPr>
                <w:rFonts w:hint="eastAsia"/>
                <w:color w:val="auto"/>
                <w:sz w:val="24"/>
                <w:highlight w:val="none"/>
                <w:lang w:val="en-US" w:eastAsia="zh-CN"/>
              </w:rPr>
              <w:t>43.4m</w:t>
            </w:r>
            <w:r>
              <w:rPr>
                <w:rFonts w:hint="eastAsia"/>
                <w:color w:val="auto"/>
                <w:sz w:val="24"/>
                <w:highlight w:val="none"/>
              </w:rPr>
              <w:t>排气筒排放，本项目</w:t>
            </w:r>
            <w:r>
              <w:rPr>
                <w:rFonts w:hint="eastAsia"/>
                <w:color w:val="auto"/>
                <w:sz w:val="24"/>
                <w:highlight w:val="none"/>
                <w:lang w:val="en-US" w:eastAsia="zh-CN"/>
              </w:rPr>
              <w:t>厂房高度10.3m</w:t>
            </w:r>
            <w:r>
              <w:rPr>
                <w:rFonts w:hint="eastAsia"/>
                <w:color w:val="auto"/>
                <w:sz w:val="24"/>
                <w:highlight w:val="none"/>
                <w:lang w:eastAsia="zh-CN"/>
              </w:rPr>
              <w:t>，</w:t>
            </w:r>
            <w:r>
              <w:rPr>
                <w:rFonts w:hint="eastAsia"/>
                <w:color w:val="auto"/>
                <w:sz w:val="24"/>
                <w:highlight w:val="none"/>
              </w:rPr>
              <w:t>设置</w:t>
            </w:r>
            <w:r>
              <w:rPr>
                <w:rFonts w:hint="eastAsia"/>
                <w:color w:val="auto"/>
                <w:sz w:val="24"/>
                <w:highlight w:val="none"/>
                <w:lang w:val="en-US" w:eastAsia="zh-CN"/>
              </w:rPr>
              <w:t>43.4</w:t>
            </w:r>
            <w:r>
              <w:rPr>
                <w:rFonts w:hint="eastAsia"/>
                <w:color w:val="auto"/>
                <w:sz w:val="24"/>
                <w:highlight w:val="none"/>
              </w:rPr>
              <w:t>m排气筒</w:t>
            </w:r>
            <w:r>
              <w:rPr>
                <w:rFonts w:hint="eastAsia"/>
                <w:color w:val="auto"/>
                <w:sz w:val="24"/>
                <w:highlight w:val="none"/>
                <w:lang w:val="en-US" w:eastAsia="zh-CN"/>
              </w:rPr>
              <w:t>无依附建筑物，</w:t>
            </w:r>
            <w:r>
              <w:rPr>
                <w:rFonts w:hint="eastAsia"/>
                <w:color w:val="auto"/>
                <w:sz w:val="24"/>
                <w:highlight w:val="none"/>
              </w:rPr>
              <w:t>从安全角度考虑</w:t>
            </w:r>
            <w:r>
              <w:rPr>
                <w:rFonts w:hint="eastAsia"/>
                <w:color w:val="auto"/>
                <w:sz w:val="24"/>
                <w:highlight w:val="none"/>
                <w:lang w:val="en-US" w:eastAsia="zh-CN"/>
              </w:rPr>
              <w:t>存在</w:t>
            </w:r>
            <w:r>
              <w:rPr>
                <w:rFonts w:hint="eastAsia"/>
                <w:color w:val="auto"/>
                <w:sz w:val="24"/>
                <w:highlight w:val="none"/>
              </w:rPr>
              <w:t>风险</w:t>
            </w:r>
            <w:r>
              <w:rPr>
                <w:rFonts w:hint="eastAsia"/>
                <w:color w:val="auto"/>
                <w:sz w:val="24"/>
                <w:highlight w:val="none"/>
                <w:lang w:eastAsia="zh-CN"/>
              </w:rPr>
              <w:t>，</w:t>
            </w:r>
            <w:r>
              <w:rPr>
                <w:rFonts w:hint="eastAsia"/>
                <w:color w:val="auto"/>
                <w:sz w:val="24"/>
                <w:highlight w:val="none"/>
                <w:lang w:val="en-US" w:eastAsia="zh-CN"/>
              </w:rPr>
              <w:t>因此达不到标准要求的排气筒高度</w:t>
            </w:r>
            <w:r>
              <w:rPr>
                <w:rFonts w:hint="eastAsia"/>
                <w:color w:val="auto"/>
                <w:sz w:val="24"/>
                <w:highlight w:val="none"/>
                <w:lang w:eastAsia="zh-CN"/>
              </w:rPr>
              <w:t>；</w:t>
            </w:r>
            <w:r>
              <w:rPr>
                <w:rFonts w:hint="eastAsia"/>
                <w:color w:val="auto"/>
                <w:sz w:val="24"/>
                <w:highlight w:val="none"/>
                <w:lang w:val="en-US" w:eastAsia="zh-CN"/>
              </w:rPr>
              <w:t>且企业原项目已设置15m</w:t>
            </w:r>
            <w:r>
              <w:rPr>
                <w:rFonts w:hint="eastAsia"/>
                <w:color w:val="auto"/>
                <w:sz w:val="24"/>
                <w:highlight w:val="none"/>
              </w:rPr>
              <w:t>高排气筒</w:t>
            </w:r>
            <w:r>
              <w:rPr>
                <w:rFonts w:hint="eastAsia"/>
                <w:color w:val="auto"/>
                <w:sz w:val="24"/>
                <w:highlight w:val="none"/>
                <w:lang w:val="en-US" w:eastAsia="zh-CN"/>
              </w:rPr>
              <w:t>，根据</w:t>
            </w:r>
            <w:r>
              <w:rPr>
                <w:rFonts w:hint="eastAsia"/>
                <w:color w:val="auto"/>
                <w:sz w:val="24"/>
                <w:highlight w:val="none"/>
              </w:rPr>
              <w:t>《大气污染物综合排放标准》（GB16297-1996）</w:t>
            </w:r>
            <w:r>
              <w:rPr>
                <w:rFonts w:hint="eastAsia"/>
                <w:color w:val="auto"/>
                <w:sz w:val="24"/>
                <w:highlight w:val="none"/>
                <w:lang w:eastAsia="zh-CN"/>
              </w:rPr>
              <w:t>，</w:t>
            </w:r>
            <w:r>
              <w:rPr>
                <w:rFonts w:hint="eastAsia"/>
                <w:color w:val="auto"/>
                <w:sz w:val="24"/>
                <w:highlight w:val="none"/>
                <w:lang w:val="en-US" w:eastAsia="zh-CN"/>
              </w:rPr>
              <w:t>评价要求项目有组织颗粒物</w:t>
            </w:r>
            <w:r>
              <w:rPr>
                <w:rFonts w:hint="eastAsia"/>
                <w:color w:val="auto"/>
                <w:sz w:val="24"/>
                <w:highlight w:val="none"/>
              </w:rPr>
              <w:t>排放速率标准值严格50%执行。</w:t>
            </w:r>
          </w:p>
          <w:p w14:paraId="7855C4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4</w:t>
            </w:r>
            <w:r>
              <w:rPr>
                <w:rFonts w:hint="eastAsia"/>
                <w:color w:val="auto"/>
                <w:sz w:val="24"/>
              </w:rPr>
              <w:t>）污染防治措施可行性分析</w:t>
            </w:r>
          </w:p>
          <w:p w14:paraId="684C5476">
            <w:pPr>
              <w:pStyle w:val="78"/>
              <w:keepNext w:val="0"/>
              <w:keepLines w:val="0"/>
              <w:pageBreakBefore w:val="0"/>
              <w:widowControl w:val="0"/>
              <w:kinsoku/>
              <w:wordWrap w:val="0"/>
              <w:overflowPunct/>
              <w:topLinePunct w:val="0"/>
              <w:autoSpaceDE/>
              <w:autoSpaceDN/>
              <w:bidi w:val="0"/>
              <w:adjustRightInd/>
              <w:snapToGrid/>
              <w:spacing w:line="360" w:lineRule="auto"/>
              <w:ind w:firstLine="480"/>
              <w:jc w:val="left"/>
              <w:textAlignment w:val="auto"/>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《排污许可证申请与核发技术规范 橡胶和塑料制品工业》（HJ1122-2020）</w:t>
            </w:r>
            <w:r>
              <w:rPr>
                <w:rFonts w:hint="eastAsia" w:ascii="Times New Roman" w:hAnsi="Times New Roman" w:cs="Times New Roman"/>
                <w:color w:val="auto"/>
                <w:highlight w:val="none"/>
              </w:rPr>
              <w:t>：表 A.2 塑料制品工业排污单位废气污染防治可行技术参考表</w:t>
            </w:r>
            <w:r>
              <w:rPr>
                <w:rFonts w:hint="eastAsia" w:ascii="Times New Roman" w:hAnsi="Times New Roman" w:cs="Times New Roman"/>
                <w:color w:val="auto"/>
                <w:highlight w:val="none"/>
                <w:lang w:eastAsia="zh-CN"/>
              </w:rPr>
              <w:t>，塑料板、管、型材制造</w:t>
            </w:r>
            <w:r>
              <w:rPr>
                <w:rFonts w:hint="eastAsia" w:ascii="Times New Roman" w:hAnsi="Times New Roman" w:cs="Times New Roman"/>
                <w:color w:val="auto"/>
                <w:highlight w:val="none"/>
                <w:lang w:val="en-US" w:eastAsia="zh-CN"/>
              </w:rPr>
              <w:t>和泡沫塑料制造产生非甲烷总烃，可行技术有</w:t>
            </w:r>
            <w:r>
              <w:rPr>
                <w:rFonts w:hint="eastAsia" w:ascii="Times New Roman" w:hAnsi="Times New Roman" w:cs="Times New Roman"/>
                <w:color w:val="auto"/>
                <w:highlight w:val="none"/>
              </w:rPr>
              <w:t>“喷淋；吸附；吸附浓缩+热力燃烧/催化燃烧”</w:t>
            </w:r>
            <w:r>
              <w:rPr>
                <w:rFonts w:hint="eastAsia" w:ascii="Times New Roman" w:hAnsi="Times New Roman" w:cs="Times New Roman"/>
                <w:color w:val="auto"/>
                <w:highlight w:val="none"/>
                <w:lang w:eastAsia="zh-CN"/>
              </w:rPr>
              <w:t>，本项目</w:t>
            </w:r>
            <w:r>
              <w:rPr>
                <w:rFonts w:hint="eastAsia" w:ascii="Times New Roman" w:hAnsi="Times New Roman" w:cs="Times New Roman"/>
                <w:color w:val="auto"/>
                <w:highlight w:val="none"/>
                <w:lang w:val="en-US" w:eastAsia="zh-CN"/>
              </w:rPr>
              <w:t>挤出和发泡工序</w:t>
            </w:r>
            <w:r>
              <w:rPr>
                <w:rFonts w:hint="eastAsia" w:ascii="Times New Roman" w:hAnsi="Times New Roman" w:cs="Times New Roman"/>
                <w:color w:val="auto"/>
                <w:highlight w:val="none"/>
                <w:lang w:eastAsia="zh-CN"/>
              </w:rPr>
              <w:t>产生的有机废气采用“二级活性炭吸附”属于可行技术。</w:t>
            </w:r>
          </w:p>
          <w:p w14:paraId="5D97227B">
            <w:pPr>
              <w:pStyle w:val="78"/>
              <w:keepNext w:val="0"/>
              <w:keepLines w:val="0"/>
              <w:pageBreakBefore w:val="0"/>
              <w:widowControl w:val="0"/>
              <w:kinsoku/>
              <w:wordWrap w:val="0"/>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eastAsia="zh-CN"/>
              </w:rPr>
              <w:t>塑料板、管、型材制造</w:t>
            </w:r>
            <w:r>
              <w:rPr>
                <w:rFonts w:hint="eastAsia" w:ascii="Times New Roman" w:hAnsi="Times New Roman" w:cs="Times New Roman"/>
                <w:color w:val="auto"/>
                <w:highlight w:val="none"/>
                <w:lang w:val="en-US" w:eastAsia="zh-CN"/>
              </w:rPr>
              <w:t>和泡沫塑料制造产生的颗粒物，可行技术有“袋式除尘；滤筒/滤芯除尘”，本项目除锈工序产生的废气采用“布袋除尘器”属于可行技术。</w:t>
            </w:r>
          </w:p>
          <w:p w14:paraId="40CE0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5</w:t>
            </w:r>
            <w:r>
              <w:rPr>
                <w:rFonts w:hint="eastAsia"/>
                <w:color w:val="auto"/>
                <w:sz w:val="24"/>
              </w:rPr>
              <w:t>）废气达标排放分析</w:t>
            </w:r>
          </w:p>
          <w:p w14:paraId="7E2AF7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根据前文计算，项目有组织非甲烷总烃排放满足《合成树脂工业污染物排放标准》（GB31572-2015）（含2024年修改清单）表5限值要求；有组织颗粒物排放满足《大气污染物综合排放标准》（GB16297-1996）表2最高允许排放浓度和最高允许排放速率</w:t>
            </w:r>
            <w:r>
              <w:rPr>
                <w:rFonts w:hint="eastAsia"/>
                <w:color w:val="auto"/>
                <w:sz w:val="24"/>
                <w:highlight w:val="none"/>
                <w:lang w:val="en-US" w:eastAsia="zh-CN"/>
              </w:rPr>
              <w:t>的</w:t>
            </w:r>
            <w:r>
              <w:rPr>
                <w:rFonts w:hint="eastAsia"/>
                <w:color w:val="auto"/>
                <w:sz w:val="24"/>
                <w:lang w:val="en-US" w:eastAsia="zh-CN"/>
              </w:rPr>
              <w:t>要求</w:t>
            </w:r>
            <w:r>
              <w:rPr>
                <w:color w:val="auto"/>
                <w:sz w:val="24"/>
              </w:rPr>
              <w:t>。</w:t>
            </w:r>
          </w:p>
          <w:p w14:paraId="413DF0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项目采取上述措施后，各项废气污染物能够达标排放，对环境有一定影响，但是在环境可接受范围内。</w:t>
            </w:r>
          </w:p>
          <w:p w14:paraId="3689D93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6</w:t>
            </w:r>
            <w:r>
              <w:rPr>
                <w:rFonts w:hint="eastAsia"/>
                <w:color w:val="auto"/>
                <w:sz w:val="24"/>
              </w:rPr>
              <w:t>）监测要求</w:t>
            </w:r>
          </w:p>
          <w:p w14:paraId="0E87E4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color w:val="auto"/>
                <w:sz w:val="24"/>
              </w:rPr>
            </w:pPr>
            <w:r>
              <w:rPr>
                <w:rFonts w:hint="eastAsia"/>
                <w:color w:val="auto"/>
                <w:sz w:val="24"/>
              </w:rPr>
              <w:t>根据《排污单位自行监测技术指南 总则》（HJ819-2017）、《排污单位自行监测技术指南 橡胶和塑料制品》（HJ1207-2021），本项目废气自行监测要求见下表：</w:t>
            </w:r>
          </w:p>
          <w:p w14:paraId="1566431C">
            <w:pPr>
              <w:keepNext/>
              <w:keepLines w:val="0"/>
              <w:pageBreakBefore w:val="0"/>
              <w:widowControl w:val="0"/>
              <w:kinsoku/>
              <w:wordWrap/>
              <w:overflowPunct/>
              <w:topLinePunct w:val="0"/>
              <w:autoSpaceDE/>
              <w:autoSpaceDN/>
              <w:bidi w:val="0"/>
              <w:adjustRightInd w:val="0"/>
              <w:snapToGrid w:val="0"/>
              <w:jc w:val="center"/>
              <w:textAlignment w:val="auto"/>
              <w:rPr>
                <w:rFonts w:eastAsia="黑体"/>
                <w:color w:val="auto"/>
                <w:sz w:val="24"/>
                <w:szCs w:val="20"/>
              </w:rPr>
            </w:pPr>
            <w:r>
              <w:rPr>
                <w:rFonts w:hint="eastAsia"/>
                <w:b/>
                <w:color w:val="auto"/>
                <w:sz w:val="24"/>
              </w:rPr>
              <w:t>表4</w:t>
            </w:r>
            <w:r>
              <w:rPr>
                <w:rFonts w:hint="eastAsia"/>
                <w:b/>
                <w:color w:val="auto"/>
                <w:sz w:val="24"/>
                <w:lang w:val="en-US" w:eastAsia="zh-CN"/>
              </w:rPr>
              <w:t>-3</w:t>
            </w:r>
            <w:r>
              <w:rPr>
                <w:rFonts w:hint="eastAsia"/>
                <w:b/>
                <w:color w:val="auto"/>
                <w:sz w:val="24"/>
              </w:rPr>
              <w:t xml:space="preserve">  废气自行监测要求</w:t>
            </w:r>
          </w:p>
          <w:tbl>
            <w:tblPr>
              <w:tblStyle w:val="27"/>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661"/>
              <w:gridCol w:w="1333"/>
              <w:gridCol w:w="1140"/>
              <w:gridCol w:w="3188"/>
            </w:tblGrid>
            <w:tr w14:paraId="0C971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2" w:type="pct"/>
                  <w:gridSpan w:val="2"/>
                  <w:noWrap w:val="0"/>
                  <w:vAlign w:val="center"/>
                </w:tcPr>
                <w:p w14:paraId="0D5B2837">
                  <w:pPr>
                    <w:adjustRightInd w:val="0"/>
                    <w:snapToGrid w:val="0"/>
                    <w:jc w:val="center"/>
                    <w:rPr>
                      <w:rFonts w:hint="eastAsia" w:ascii="宋体" w:hAnsi="宋体" w:cs="宋体"/>
                      <w:b/>
                      <w:bCs/>
                      <w:color w:val="auto"/>
                      <w:kern w:val="21"/>
                      <w:szCs w:val="21"/>
                    </w:rPr>
                  </w:pPr>
                  <w:r>
                    <w:rPr>
                      <w:rFonts w:hint="eastAsia"/>
                      <w:b/>
                      <w:bCs/>
                      <w:color w:val="auto"/>
                      <w:szCs w:val="21"/>
                      <w:lang w:val="en-US" w:eastAsia="zh-CN"/>
                    </w:rPr>
                    <w:t>监测点位</w:t>
                  </w:r>
                </w:p>
              </w:tc>
              <w:tc>
                <w:tcPr>
                  <w:tcW w:w="830" w:type="pct"/>
                  <w:noWrap w:val="0"/>
                  <w:vAlign w:val="center"/>
                </w:tcPr>
                <w:p w14:paraId="530AE8DE">
                  <w:pPr>
                    <w:adjustRightInd w:val="0"/>
                    <w:snapToGrid w:val="0"/>
                    <w:jc w:val="center"/>
                    <w:rPr>
                      <w:rFonts w:ascii="宋体" w:hAnsi="宋体" w:cs="宋体"/>
                      <w:b/>
                      <w:bCs/>
                      <w:color w:val="auto"/>
                      <w:kern w:val="21"/>
                      <w:szCs w:val="21"/>
                    </w:rPr>
                  </w:pPr>
                  <w:r>
                    <w:rPr>
                      <w:rFonts w:hint="eastAsia" w:ascii="宋体" w:hAnsi="宋体" w:cs="宋体"/>
                      <w:b/>
                      <w:bCs/>
                      <w:color w:val="auto"/>
                      <w:kern w:val="21"/>
                      <w:szCs w:val="21"/>
                    </w:rPr>
                    <w:t>监测因子</w:t>
                  </w:r>
                </w:p>
              </w:tc>
              <w:tc>
                <w:tcPr>
                  <w:tcW w:w="710" w:type="pct"/>
                  <w:noWrap w:val="0"/>
                  <w:vAlign w:val="center"/>
                </w:tcPr>
                <w:p w14:paraId="765F7029">
                  <w:pPr>
                    <w:adjustRightInd w:val="0"/>
                    <w:snapToGrid w:val="0"/>
                    <w:jc w:val="center"/>
                    <w:rPr>
                      <w:b/>
                      <w:bCs/>
                      <w:color w:val="auto"/>
                      <w:szCs w:val="21"/>
                    </w:rPr>
                  </w:pPr>
                  <w:r>
                    <w:rPr>
                      <w:rFonts w:hint="eastAsia" w:ascii="宋体" w:hAnsi="宋体" w:cs="宋体"/>
                      <w:b/>
                      <w:bCs/>
                      <w:color w:val="auto"/>
                      <w:kern w:val="21"/>
                      <w:szCs w:val="21"/>
                    </w:rPr>
                    <w:t>监测频次</w:t>
                  </w:r>
                </w:p>
              </w:tc>
              <w:tc>
                <w:tcPr>
                  <w:tcW w:w="1986" w:type="pct"/>
                  <w:noWrap w:val="0"/>
                  <w:vAlign w:val="center"/>
                </w:tcPr>
                <w:p w14:paraId="29249A8B">
                  <w:pPr>
                    <w:adjustRightInd w:val="0"/>
                    <w:snapToGrid w:val="0"/>
                    <w:jc w:val="center"/>
                    <w:rPr>
                      <w:rFonts w:hint="eastAsia" w:ascii="宋体" w:hAnsi="宋体" w:eastAsia="宋体" w:cs="宋体"/>
                      <w:b/>
                      <w:bCs/>
                      <w:color w:val="auto"/>
                      <w:kern w:val="21"/>
                      <w:szCs w:val="21"/>
                      <w:lang w:val="en-US" w:eastAsia="zh-CN"/>
                    </w:rPr>
                  </w:pPr>
                  <w:r>
                    <w:rPr>
                      <w:rFonts w:hint="eastAsia" w:ascii="宋体" w:hAnsi="宋体" w:cs="宋体"/>
                      <w:b/>
                      <w:bCs/>
                      <w:color w:val="auto"/>
                      <w:kern w:val="21"/>
                      <w:szCs w:val="21"/>
                      <w:lang w:val="en-US" w:eastAsia="zh-CN"/>
                    </w:rPr>
                    <w:t>标准</w:t>
                  </w:r>
                </w:p>
              </w:tc>
            </w:tr>
            <w:tr w14:paraId="6CBFC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38" w:type="pct"/>
                  <w:vMerge w:val="restart"/>
                  <w:noWrap w:val="0"/>
                  <w:vAlign w:val="center"/>
                </w:tcPr>
                <w:p w14:paraId="2EDA9DC1">
                  <w:pPr>
                    <w:adjustRightInd w:val="0"/>
                    <w:snapToGrid w:val="0"/>
                    <w:jc w:val="center"/>
                    <w:rPr>
                      <w:color w:val="auto"/>
                      <w:szCs w:val="21"/>
                    </w:rPr>
                  </w:pPr>
                  <w:r>
                    <w:rPr>
                      <w:rFonts w:hint="eastAsia"/>
                      <w:color w:val="auto"/>
                      <w:szCs w:val="21"/>
                    </w:rPr>
                    <w:t>有组织</w:t>
                  </w:r>
                </w:p>
              </w:tc>
              <w:tc>
                <w:tcPr>
                  <w:tcW w:w="1034" w:type="pct"/>
                  <w:noWrap w:val="0"/>
                  <w:vAlign w:val="center"/>
                </w:tcPr>
                <w:p w14:paraId="25DBE7C2">
                  <w:pPr>
                    <w:adjustRightInd w:val="0"/>
                    <w:snapToGrid w:val="0"/>
                    <w:jc w:val="center"/>
                    <w:rPr>
                      <w:rFonts w:hint="default" w:eastAsia="宋体"/>
                      <w:color w:val="auto"/>
                      <w:szCs w:val="21"/>
                      <w:lang w:val="en-US" w:eastAsia="zh-CN"/>
                    </w:rPr>
                  </w:pPr>
                  <w:r>
                    <w:rPr>
                      <w:rFonts w:hint="eastAsia"/>
                      <w:color w:val="auto"/>
                      <w:szCs w:val="21"/>
                      <w:lang w:val="en-US" w:eastAsia="zh-CN"/>
                    </w:rPr>
                    <w:t>排气筒DA001、DA002</w:t>
                  </w:r>
                </w:p>
              </w:tc>
              <w:tc>
                <w:tcPr>
                  <w:tcW w:w="830" w:type="pct"/>
                  <w:noWrap w:val="0"/>
                  <w:vAlign w:val="center"/>
                </w:tcPr>
                <w:p w14:paraId="480CD6B1">
                  <w:pPr>
                    <w:adjustRightInd w:val="0"/>
                    <w:snapToGrid w:val="0"/>
                    <w:jc w:val="center"/>
                    <w:rPr>
                      <w:rFonts w:hint="default"/>
                      <w:color w:val="auto"/>
                      <w:kern w:val="2"/>
                      <w:sz w:val="21"/>
                      <w:szCs w:val="21"/>
                      <w:lang w:val="en-US" w:eastAsia="zh-CN" w:bidi="ar-SA"/>
                    </w:rPr>
                  </w:pPr>
                  <w:r>
                    <w:rPr>
                      <w:rFonts w:hint="eastAsia"/>
                      <w:color w:val="auto"/>
                      <w:szCs w:val="21"/>
                      <w:lang w:val="en-US" w:eastAsia="zh-CN"/>
                    </w:rPr>
                    <w:t>非甲烷总烃</w:t>
                  </w:r>
                </w:p>
              </w:tc>
              <w:tc>
                <w:tcPr>
                  <w:tcW w:w="710" w:type="pct"/>
                  <w:noWrap w:val="0"/>
                  <w:vAlign w:val="center"/>
                </w:tcPr>
                <w:p w14:paraId="34CFA3AA">
                  <w:pPr>
                    <w:adjustRightInd w:val="0"/>
                    <w:snapToGrid w:val="0"/>
                    <w:jc w:val="center"/>
                    <w:rPr>
                      <w:rFonts w:hint="eastAsia"/>
                      <w:color w:val="auto"/>
                      <w:kern w:val="2"/>
                      <w:sz w:val="21"/>
                      <w:szCs w:val="21"/>
                      <w:lang w:val="en-US" w:eastAsia="zh-CN" w:bidi="ar-SA"/>
                    </w:rPr>
                  </w:pPr>
                  <w:r>
                    <w:rPr>
                      <w:color w:val="auto"/>
                      <w:szCs w:val="21"/>
                    </w:rPr>
                    <w:t>1次/</w:t>
                  </w:r>
                  <w:r>
                    <w:rPr>
                      <w:rFonts w:hint="eastAsia"/>
                      <w:color w:val="auto"/>
                      <w:szCs w:val="21"/>
                      <w:lang w:val="en-US" w:eastAsia="zh-CN"/>
                    </w:rPr>
                    <w:t>半年</w:t>
                  </w:r>
                </w:p>
              </w:tc>
              <w:tc>
                <w:tcPr>
                  <w:tcW w:w="1986" w:type="pct"/>
                  <w:noWrap w:val="0"/>
                  <w:vAlign w:val="center"/>
                </w:tcPr>
                <w:p w14:paraId="7103CF69">
                  <w:pPr>
                    <w:adjustRightInd w:val="0"/>
                    <w:snapToGrid w:val="0"/>
                    <w:jc w:val="center"/>
                    <w:rPr>
                      <w:rFonts w:hint="default" w:eastAsia="宋体"/>
                      <w:color w:val="auto"/>
                      <w:kern w:val="2"/>
                      <w:sz w:val="21"/>
                      <w:szCs w:val="21"/>
                      <w:lang w:val="en-US" w:eastAsia="zh-CN" w:bidi="ar-SA"/>
                    </w:rPr>
                  </w:pPr>
                  <w:r>
                    <w:rPr>
                      <w:rFonts w:hint="eastAsia"/>
                      <w:color w:val="auto"/>
                      <w:szCs w:val="21"/>
                      <w:highlight w:val="none"/>
                    </w:rPr>
                    <w:t>《合成树脂工业污染物排放标准》（GB31572-2015）（含2024年修改清单）</w:t>
                  </w:r>
                  <w:r>
                    <w:rPr>
                      <w:rFonts w:hint="eastAsia"/>
                      <w:color w:val="auto"/>
                      <w:szCs w:val="21"/>
                      <w:highlight w:val="none"/>
                      <w:lang w:val="en-US" w:eastAsia="zh-CN"/>
                    </w:rPr>
                    <w:t>表5限值要求</w:t>
                  </w:r>
                </w:p>
              </w:tc>
            </w:tr>
            <w:tr w14:paraId="18D01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noWrap w:val="0"/>
                  <w:vAlign w:val="center"/>
                </w:tcPr>
                <w:p w14:paraId="2264E434">
                  <w:pPr>
                    <w:adjustRightInd w:val="0"/>
                    <w:snapToGrid w:val="0"/>
                    <w:jc w:val="center"/>
                    <w:rPr>
                      <w:rFonts w:hint="eastAsia"/>
                      <w:color w:val="auto"/>
                      <w:szCs w:val="21"/>
                    </w:rPr>
                  </w:pPr>
                </w:p>
              </w:tc>
              <w:tc>
                <w:tcPr>
                  <w:tcW w:w="1034" w:type="pct"/>
                  <w:noWrap w:val="0"/>
                  <w:vAlign w:val="center"/>
                </w:tcPr>
                <w:p w14:paraId="0CF84AD8">
                  <w:pPr>
                    <w:adjustRightInd w:val="0"/>
                    <w:snapToGrid w:val="0"/>
                    <w:jc w:val="center"/>
                    <w:rPr>
                      <w:rFonts w:hint="default"/>
                      <w:color w:val="auto"/>
                      <w:szCs w:val="21"/>
                      <w:lang w:val="en-US" w:eastAsia="zh-CN"/>
                    </w:rPr>
                  </w:pPr>
                  <w:r>
                    <w:rPr>
                      <w:rFonts w:hint="eastAsia"/>
                      <w:color w:val="auto"/>
                      <w:szCs w:val="21"/>
                      <w:lang w:val="en-US" w:eastAsia="zh-CN"/>
                    </w:rPr>
                    <w:t>排气筒DA003</w:t>
                  </w:r>
                </w:p>
              </w:tc>
              <w:tc>
                <w:tcPr>
                  <w:tcW w:w="830" w:type="pct"/>
                  <w:shd w:val="clear" w:color="auto" w:fill="auto"/>
                  <w:noWrap w:val="0"/>
                  <w:vAlign w:val="center"/>
                </w:tcPr>
                <w:p w14:paraId="02173EE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颗粒物</w:t>
                  </w:r>
                </w:p>
              </w:tc>
              <w:tc>
                <w:tcPr>
                  <w:tcW w:w="710" w:type="pct"/>
                  <w:shd w:val="clear" w:color="auto" w:fill="auto"/>
                  <w:noWrap w:val="0"/>
                  <w:vAlign w:val="center"/>
                </w:tcPr>
                <w:p w14:paraId="42580990">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1次/</w:t>
                  </w:r>
                  <w:r>
                    <w:rPr>
                      <w:rFonts w:hint="eastAsia"/>
                      <w:color w:val="auto"/>
                      <w:szCs w:val="21"/>
                      <w:lang w:val="en-US" w:eastAsia="zh-CN"/>
                    </w:rPr>
                    <w:t>半年</w:t>
                  </w:r>
                </w:p>
              </w:tc>
              <w:tc>
                <w:tcPr>
                  <w:tcW w:w="1986" w:type="pct"/>
                  <w:vMerge w:val="restart"/>
                  <w:noWrap w:val="0"/>
                  <w:vAlign w:val="center"/>
                </w:tcPr>
                <w:p w14:paraId="0127AC99">
                  <w:pPr>
                    <w:adjustRightInd w:val="0"/>
                    <w:snapToGrid w:val="0"/>
                    <w:jc w:val="center"/>
                    <w:rPr>
                      <w:rFonts w:hint="default" w:eastAsia="宋体"/>
                      <w:color w:val="auto"/>
                      <w:szCs w:val="21"/>
                      <w:lang w:val="en-US" w:eastAsia="zh-CN"/>
                    </w:rPr>
                  </w:pPr>
                  <w:r>
                    <w:rPr>
                      <w:rFonts w:hint="eastAsia"/>
                      <w:color w:val="auto"/>
                      <w:szCs w:val="21"/>
                    </w:rPr>
                    <w:t>《大气污染物综合排放标准》（GB16297-1996）</w:t>
                  </w:r>
                  <w:r>
                    <w:rPr>
                      <w:rFonts w:hint="eastAsia"/>
                      <w:color w:val="auto"/>
                      <w:szCs w:val="21"/>
                      <w:lang w:val="en-US" w:eastAsia="zh-CN"/>
                    </w:rPr>
                    <w:t>二级标准及无组织限值要求</w:t>
                  </w:r>
                </w:p>
              </w:tc>
            </w:tr>
            <w:tr w14:paraId="5B4F0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restart"/>
                  <w:noWrap w:val="0"/>
                  <w:vAlign w:val="center"/>
                </w:tcPr>
                <w:p w14:paraId="6422001B">
                  <w:pPr>
                    <w:adjustRightInd w:val="0"/>
                    <w:snapToGrid w:val="0"/>
                    <w:jc w:val="center"/>
                    <w:rPr>
                      <w:rFonts w:hint="eastAsia" w:eastAsia="宋体"/>
                      <w:color w:val="auto"/>
                      <w:szCs w:val="21"/>
                      <w:lang w:val="en-US" w:eastAsia="zh-CN"/>
                    </w:rPr>
                  </w:pPr>
                  <w:r>
                    <w:rPr>
                      <w:rFonts w:hint="eastAsia"/>
                      <w:color w:val="auto"/>
                      <w:szCs w:val="21"/>
                      <w:lang w:val="en-US" w:eastAsia="zh-CN"/>
                    </w:rPr>
                    <w:t>无组织</w:t>
                  </w:r>
                </w:p>
              </w:tc>
              <w:tc>
                <w:tcPr>
                  <w:tcW w:w="1034" w:type="pct"/>
                  <w:vMerge w:val="restart"/>
                  <w:noWrap w:val="0"/>
                  <w:vAlign w:val="center"/>
                </w:tcPr>
                <w:p w14:paraId="5039FFC8">
                  <w:pPr>
                    <w:adjustRightInd w:val="0"/>
                    <w:snapToGrid w:val="0"/>
                    <w:jc w:val="center"/>
                    <w:rPr>
                      <w:rFonts w:hint="default"/>
                      <w:color w:val="auto"/>
                      <w:szCs w:val="21"/>
                      <w:lang w:val="en-US" w:eastAsia="zh-CN"/>
                    </w:rPr>
                  </w:pPr>
                  <w:r>
                    <w:rPr>
                      <w:rFonts w:hint="eastAsia"/>
                      <w:color w:val="auto"/>
                      <w:szCs w:val="21"/>
                      <w:lang w:val="en-US" w:eastAsia="zh-CN"/>
                    </w:rPr>
                    <w:t>厂界</w:t>
                  </w:r>
                </w:p>
              </w:tc>
              <w:tc>
                <w:tcPr>
                  <w:tcW w:w="830" w:type="pct"/>
                  <w:noWrap w:val="0"/>
                  <w:vAlign w:val="center"/>
                </w:tcPr>
                <w:p w14:paraId="254FB8F5">
                  <w:pPr>
                    <w:adjustRightInd w:val="0"/>
                    <w:snapToGrid w:val="0"/>
                    <w:jc w:val="center"/>
                    <w:rPr>
                      <w:rFonts w:hint="eastAsia" w:eastAsia="宋体"/>
                      <w:color w:val="auto"/>
                      <w:szCs w:val="21"/>
                      <w:lang w:val="en-US" w:eastAsia="zh-CN"/>
                    </w:rPr>
                  </w:pPr>
                  <w:r>
                    <w:rPr>
                      <w:rFonts w:hint="eastAsia"/>
                      <w:color w:val="auto"/>
                      <w:szCs w:val="21"/>
                      <w:lang w:val="en-US" w:eastAsia="zh-CN"/>
                    </w:rPr>
                    <w:t>颗粒物</w:t>
                  </w:r>
                </w:p>
              </w:tc>
              <w:tc>
                <w:tcPr>
                  <w:tcW w:w="710" w:type="pct"/>
                  <w:noWrap w:val="0"/>
                  <w:vAlign w:val="center"/>
                </w:tcPr>
                <w:p w14:paraId="3D9BA797">
                  <w:pPr>
                    <w:adjustRightInd w:val="0"/>
                    <w:snapToGrid w:val="0"/>
                    <w:jc w:val="center"/>
                    <w:rPr>
                      <w:color w:val="auto"/>
                      <w:szCs w:val="21"/>
                    </w:rPr>
                  </w:pPr>
                  <w:r>
                    <w:rPr>
                      <w:color w:val="auto"/>
                      <w:szCs w:val="21"/>
                    </w:rPr>
                    <w:t>1次/年</w:t>
                  </w:r>
                </w:p>
              </w:tc>
              <w:tc>
                <w:tcPr>
                  <w:tcW w:w="1986" w:type="pct"/>
                  <w:vMerge w:val="continue"/>
                  <w:noWrap w:val="0"/>
                  <w:vAlign w:val="center"/>
                </w:tcPr>
                <w:p w14:paraId="40F5235E">
                  <w:pPr>
                    <w:adjustRightInd w:val="0"/>
                    <w:snapToGrid w:val="0"/>
                    <w:jc w:val="center"/>
                    <w:rPr>
                      <w:color w:val="auto"/>
                      <w:szCs w:val="21"/>
                    </w:rPr>
                  </w:pPr>
                </w:p>
              </w:tc>
            </w:tr>
            <w:tr w14:paraId="17E7C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38" w:type="pct"/>
                  <w:vMerge w:val="continue"/>
                  <w:noWrap w:val="0"/>
                  <w:vAlign w:val="center"/>
                </w:tcPr>
                <w:p w14:paraId="6059D4A0">
                  <w:pPr>
                    <w:adjustRightInd w:val="0"/>
                    <w:snapToGrid w:val="0"/>
                    <w:jc w:val="center"/>
                    <w:rPr>
                      <w:rFonts w:hint="eastAsia"/>
                      <w:color w:val="auto"/>
                      <w:szCs w:val="21"/>
                      <w:lang w:val="en-US" w:eastAsia="zh-CN"/>
                    </w:rPr>
                  </w:pPr>
                </w:p>
              </w:tc>
              <w:tc>
                <w:tcPr>
                  <w:tcW w:w="1034" w:type="pct"/>
                  <w:vMerge w:val="continue"/>
                  <w:noWrap w:val="0"/>
                  <w:vAlign w:val="center"/>
                </w:tcPr>
                <w:p w14:paraId="7116A3A1">
                  <w:pPr>
                    <w:adjustRightInd w:val="0"/>
                    <w:snapToGrid w:val="0"/>
                    <w:jc w:val="center"/>
                    <w:rPr>
                      <w:rFonts w:hint="eastAsia"/>
                      <w:color w:val="auto"/>
                      <w:szCs w:val="21"/>
                      <w:lang w:val="en-US" w:eastAsia="zh-CN"/>
                    </w:rPr>
                  </w:pPr>
                </w:p>
              </w:tc>
              <w:tc>
                <w:tcPr>
                  <w:tcW w:w="830" w:type="pct"/>
                  <w:noWrap w:val="0"/>
                  <w:vAlign w:val="center"/>
                </w:tcPr>
                <w:p w14:paraId="067E43E1">
                  <w:pPr>
                    <w:adjustRightInd w:val="0"/>
                    <w:snapToGrid w:val="0"/>
                    <w:jc w:val="center"/>
                    <w:rPr>
                      <w:rFonts w:hint="eastAsia" w:eastAsia="宋体"/>
                      <w:color w:val="auto"/>
                      <w:szCs w:val="21"/>
                      <w:lang w:val="en-US" w:eastAsia="zh-CN"/>
                    </w:rPr>
                  </w:pPr>
                  <w:r>
                    <w:rPr>
                      <w:rFonts w:hint="eastAsia"/>
                      <w:color w:val="auto"/>
                      <w:szCs w:val="21"/>
                      <w:lang w:val="en-US" w:eastAsia="zh-CN"/>
                    </w:rPr>
                    <w:t>非甲烷总烃</w:t>
                  </w:r>
                </w:p>
              </w:tc>
              <w:tc>
                <w:tcPr>
                  <w:tcW w:w="710" w:type="pct"/>
                  <w:noWrap w:val="0"/>
                  <w:vAlign w:val="center"/>
                </w:tcPr>
                <w:p w14:paraId="7B040144">
                  <w:pPr>
                    <w:adjustRightInd w:val="0"/>
                    <w:snapToGrid w:val="0"/>
                    <w:jc w:val="center"/>
                    <w:rPr>
                      <w:color w:val="auto"/>
                      <w:szCs w:val="21"/>
                    </w:rPr>
                  </w:pPr>
                  <w:r>
                    <w:rPr>
                      <w:color w:val="auto"/>
                      <w:szCs w:val="21"/>
                    </w:rPr>
                    <w:t>1次/年</w:t>
                  </w:r>
                </w:p>
              </w:tc>
              <w:tc>
                <w:tcPr>
                  <w:tcW w:w="1986" w:type="pct"/>
                  <w:noWrap w:val="0"/>
                  <w:vAlign w:val="center"/>
                </w:tcPr>
                <w:p w14:paraId="349603B6">
                  <w:pPr>
                    <w:adjustRightInd w:val="0"/>
                    <w:snapToGrid w:val="0"/>
                    <w:jc w:val="center"/>
                    <w:rPr>
                      <w:rFonts w:hint="default" w:eastAsia="宋体"/>
                      <w:color w:val="auto"/>
                      <w:szCs w:val="21"/>
                      <w:lang w:val="en-US" w:eastAsia="zh-CN"/>
                    </w:rPr>
                  </w:pPr>
                  <w:r>
                    <w:rPr>
                      <w:rFonts w:hint="eastAsia"/>
                      <w:color w:val="auto"/>
                      <w:szCs w:val="21"/>
                      <w:highlight w:val="none"/>
                    </w:rPr>
                    <w:t>《合成树脂工业污染物排放标准》（GB31572-2015）（含2024年修改清单）</w:t>
                  </w:r>
                  <w:r>
                    <w:rPr>
                      <w:rFonts w:hint="eastAsia"/>
                      <w:color w:val="auto"/>
                      <w:szCs w:val="21"/>
                      <w:highlight w:val="none"/>
                      <w:lang w:val="en-US" w:eastAsia="zh-CN"/>
                    </w:rPr>
                    <w:t>表9限值要求</w:t>
                  </w:r>
                </w:p>
              </w:tc>
            </w:tr>
            <w:tr w14:paraId="42AB4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38" w:type="pct"/>
                  <w:vMerge w:val="continue"/>
                  <w:noWrap w:val="0"/>
                  <w:vAlign w:val="center"/>
                </w:tcPr>
                <w:p w14:paraId="46353BEC">
                  <w:pPr>
                    <w:adjustRightInd w:val="0"/>
                    <w:snapToGrid w:val="0"/>
                    <w:jc w:val="center"/>
                    <w:rPr>
                      <w:rFonts w:hint="eastAsia"/>
                      <w:color w:val="auto"/>
                      <w:szCs w:val="21"/>
                      <w:lang w:val="en-US" w:eastAsia="zh-CN"/>
                    </w:rPr>
                  </w:pPr>
                </w:p>
              </w:tc>
              <w:tc>
                <w:tcPr>
                  <w:tcW w:w="1034" w:type="pct"/>
                  <w:noWrap w:val="0"/>
                  <w:vAlign w:val="center"/>
                </w:tcPr>
                <w:p w14:paraId="48DC9760">
                  <w:pPr>
                    <w:adjustRightInd w:val="0"/>
                    <w:snapToGrid w:val="0"/>
                    <w:jc w:val="center"/>
                    <w:rPr>
                      <w:rFonts w:hint="default"/>
                      <w:color w:val="auto"/>
                      <w:szCs w:val="21"/>
                      <w:lang w:val="en-US" w:eastAsia="zh-CN"/>
                    </w:rPr>
                  </w:pPr>
                  <w:r>
                    <w:rPr>
                      <w:rFonts w:hint="eastAsia"/>
                      <w:color w:val="auto"/>
                      <w:szCs w:val="21"/>
                      <w:lang w:val="en-US" w:eastAsia="zh-CN"/>
                    </w:rPr>
                    <w:t>厂区内</w:t>
                  </w:r>
                </w:p>
              </w:tc>
              <w:tc>
                <w:tcPr>
                  <w:tcW w:w="830" w:type="pct"/>
                  <w:noWrap w:val="0"/>
                  <w:vAlign w:val="center"/>
                </w:tcPr>
                <w:p w14:paraId="142D3019">
                  <w:pPr>
                    <w:adjustRightInd w:val="0"/>
                    <w:snapToGrid w:val="0"/>
                    <w:jc w:val="center"/>
                    <w:rPr>
                      <w:rFonts w:hint="eastAsia"/>
                      <w:color w:val="auto"/>
                      <w:szCs w:val="21"/>
                    </w:rPr>
                  </w:pPr>
                  <w:r>
                    <w:rPr>
                      <w:rFonts w:hint="eastAsia"/>
                      <w:color w:val="auto"/>
                      <w:szCs w:val="21"/>
                      <w:lang w:val="en-US" w:eastAsia="zh-CN"/>
                    </w:rPr>
                    <w:t>非甲烷总烃</w:t>
                  </w:r>
                </w:p>
              </w:tc>
              <w:tc>
                <w:tcPr>
                  <w:tcW w:w="710" w:type="pct"/>
                  <w:noWrap w:val="0"/>
                  <w:vAlign w:val="center"/>
                </w:tcPr>
                <w:p w14:paraId="0C7AE757">
                  <w:pPr>
                    <w:adjustRightInd w:val="0"/>
                    <w:snapToGrid w:val="0"/>
                    <w:jc w:val="center"/>
                    <w:rPr>
                      <w:color w:val="auto"/>
                      <w:szCs w:val="21"/>
                    </w:rPr>
                  </w:pPr>
                  <w:r>
                    <w:rPr>
                      <w:color w:val="auto"/>
                      <w:szCs w:val="21"/>
                    </w:rPr>
                    <w:t>1次/年</w:t>
                  </w:r>
                </w:p>
              </w:tc>
              <w:tc>
                <w:tcPr>
                  <w:tcW w:w="1986" w:type="pct"/>
                  <w:noWrap w:val="0"/>
                  <w:vAlign w:val="center"/>
                </w:tcPr>
                <w:p w14:paraId="586D8123">
                  <w:pPr>
                    <w:adjustRightInd w:val="0"/>
                    <w:snapToGrid w:val="0"/>
                    <w:jc w:val="center"/>
                    <w:rPr>
                      <w:rFonts w:hint="default" w:eastAsia="宋体"/>
                      <w:color w:val="auto"/>
                      <w:szCs w:val="21"/>
                      <w:lang w:val="en-US" w:eastAsia="zh-CN"/>
                    </w:rPr>
                  </w:pPr>
                  <w:r>
                    <w:rPr>
                      <w:color w:val="auto"/>
                      <w:szCs w:val="21"/>
                      <w:highlight w:val="none"/>
                    </w:rPr>
                    <w:t>《挥发性有机物无组织排放控制标准》（GB37822-2019）</w:t>
                  </w:r>
                  <w:r>
                    <w:rPr>
                      <w:rFonts w:hint="eastAsia"/>
                      <w:color w:val="auto"/>
                      <w:szCs w:val="21"/>
                      <w:highlight w:val="none"/>
                      <w:lang w:val="en-US" w:eastAsia="zh-CN"/>
                    </w:rPr>
                    <w:t>表A.1厂区内无组织特别排放限值</w:t>
                  </w:r>
                </w:p>
              </w:tc>
            </w:tr>
          </w:tbl>
          <w:p w14:paraId="0C0D669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rPr>
            </w:pPr>
            <w:r>
              <w:rPr>
                <w:rFonts w:hint="eastAsia"/>
                <w:color w:val="auto"/>
                <w:sz w:val="24"/>
              </w:rPr>
              <w:t>（</w:t>
            </w:r>
            <w:r>
              <w:rPr>
                <w:rFonts w:hint="eastAsia"/>
                <w:color w:val="auto"/>
                <w:sz w:val="24"/>
                <w:lang w:val="en-US" w:eastAsia="zh-CN"/>
              </w:rPr>
              <w:t>7</w:t>
            </w:r>
            <w:r>
              <w:rPr>
                <w:rFonts w:hint="eastAsia"/>
                <w:color w:val="auto"/>
                <w:sz w:val="24"/>
              </w:rPr>
              <w:t>）非正常排放</w:t>
            </w:r>
            <w:r>
              <w:rPr>
                <w:color w:val="auto"/>
                <w:sz w:val="24"/>
              </w:rPr>
              <w:t>情况</w:t>
            </w:r>
          </w:p>
          <w:p w14:paraId="6B009CF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rPr>
              <w:t>非正常排放是指生产过程中设备检修、工艺设备运转异常等非正常工况下的污染物排放，以及污染物排放控制措施达不到应有效率等情况下的排放。</w:t>
            </w:r>
          </w:p>
          <w:p w14:paraId="2EF5E0E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rPr>
              <w:t>项目废气非正常工况情况主要为：</w:t>
            </w:r>
            <w:r>
              <w:rPr>
                <w:rFonts w:hint="eastAsia" w:ascii="Times New Roman" w:hAnsi="Times New Roman" w:cs="Times New Roman"/>
                <w:color w:val="auto"/>
                <w:sz w:val="24"/>
              </w:rPr>
              <w:t>“</w:t>
            </w:r>
            <w:r>
              <w:rPr>
                <w:rFonts w:hint="eastAsia" w:cs="Times New Roman"/>
                <w:color w:val="auto"/>
                <w:sz w:val="24"/>
                <w:lang w:eastAsia="zh-CN"/>
              </w:rPr>
              <w:t>二级活性炭</w:t>
            </w:r>
            <w:r>
              <w:rPr>
                <w:rFonts w:hint="eastAsia" w:ascii="Times New Roman" w:hAnsi="Times New Roman" w:cs="Times New Roman"/>
                <w:color w:val="auto"/>
                <w:sz w:val="24"/>
              </w:rPr>
              <w:t>吸附”吸附接近饱和时，按照处理效率为0的状态估算废气通过排气筒排放等情况</w:t>
            </w:r>
            <w:r>
              <w:rPr>
                <w:rFonts w:hint="eastAsia" w:ascii="Times New Roman" w:hAnsi="Times New Roman" w:cs="Times New Roman"/>
                <w:color w:val="auto"/>
                <w:sz w:val="24"/>
                <w:lang w:eastAsia="zh-CN"/>
              </w:rPr>
              <w:t>；</w:t>
            </w:r>
            <w:r>
              <w:rPr>
                <w:rFonts w:hint="eastAsia" w:cs="Times New Roman"/>
                <w:color w:val="auto"/>
                <w:sz w:val="24"/>
                <w:lang w:val="en-US" w:eastAsia="zh-CN"/>
              </w:rPr>
              <w:t>布袋除尘器</w:t>
            </w:r>
            <w:r>
              <w:rPr>
                <w:rFonts w:hint="eastAsia" w:ascii="Times New Roman" w:hAnsi="Times New Roman" w:cs="Times New Roman"/>
                <w:color w:val="auto"/>
                <w:sz w:val="24"/>
                <w:lang w:eastAsia="zh-CN"/>
              </w:rPr>
              <w:t>处理效率</w:t>
            </w:r>
            <w:r>
              <w:rPr>
                <w:rFonts w:hint="eastAsia" w:cs="Times New Roman"/>
                <w:color w:val="auto"/>
                <w:sz w:val="24"/>
                <w:lang w:val="en-US" w:eastAsia="zh-CN"/>
              </w:rPr>
              <w:t>降低至</w:t>
            </w:r>
            <w:r>
              <w:rPr>
                <w:rFonts w:hint="eastAsia" w:ascii="Times New Roman" w:hAnsi="Times New Roman" w:cs="Times New Roman"/>
                <w:color w:val="auto"/>
                <w:sz w:val="24"/>
                <w:lang w:eastAsia="zh-CN"/>
              </w:rPr>
              <w:t>10</w:t>
            </w:r>
            <w:r>
              <w:rPr>
                <w:rFonts w:hint="eastAsia" w:cs="Times New Roman"/>
                <w:color w:val="auto"/>
                <w:sz w:val="24"/>
                <w:lang w:val="en-US" w:eastAsia="zh-CN"/>
              </w:rPr>
              <w:t>%左右等情况</w:t>
            </w:r>
            <w:r>
              <w:rPr>
                <w:rFonts w:hint="eastAsia" w:cs="Times New Roman"/>
                <w:color w:val="auto"/>
                <w:sz w:val="24"/>
                <w:lang w:eastAsia="zh-CN"/>
              </w:rPr>
              <w:t>；</w:t>
            </w:r>
            <w:r>
              <w:rPr>
                <w:rFonts w:ascii="Times New Roman" w:hAnsi="Times New Roman" w:cs="Times New Roman"/>
                <w:color w:val="auto"/>
                <w:sz w:val="24"/>
              </w:rPr>
              <w:t>废气非正常工况源强情况见下表。</w:t>
            </w:r>
          </w:p>
          <w:p w14:paraId="6BB5A6EB">
            <w:pPr>
              <w:pStyle w:val="65"/>
              <w:spacing w:line="240" w:lineRule="auto"/>
              <w:ind w:firstLine="0" w:firstLineChars="0"/>
              <w:jc w:val="center"/>
              <w:rPr>
                <w:rFonts w:ascii="Times New Roman" w:hAnsi="Times New Roman" w:cs="Times New Roman"/>
                <w:b/>
                <w:bCs/>
                <w:color w:val="auto"/>
                <w:kern w:val="21"/>
                <w:szCs w:val="24"/>
              </w:rPr>
            </w:pPr>
            <w:r>
              <w:rPr>
                <w:rFonts w:ascii="Times New Roman" w:hAnsi="Times New Roman" w:cs="Times New Roman"/>
                <w:b/>
                <w:bCs/>
                <w:color w:val="auto"/>
                <w:kern w:val="21"/>
                <w:szCs w:val="24"/>
              </w:rPr>
              <w:t>表</w:t>
            </w:r>
            <w:r>
              <w:rPr>
                <w:rFonts w:hint="eastAsia" w:ascii="Times New Roman" w:hAnsi="Times New Roman" w:cs="Times New Roman"/>
                <w:b/>
                <w:bCs/>
                <w:color w:val="auto"/>
                <w:kern w:val="21"/>
                <w:szCs w:val="24"/>
                <w:lang w:val="en-US" w:eastAsia="zh-CN"/>
              </w:rPr>
              <w:t>4-</w:t>
            </w:r>
            <w:r>
              <w:rPr>
                <w:rFonts w:hint="eastAsia" w:hAnsi="Times New Roman" w:cs="Times New Roman"/>
                <w:b/>
                <w:bCs/>
                <w:color w:val="auto"/>
                <w:kern w:val="21"/>
                <w:szCs w:val="24"/>
                <w:lang w:val="en-US" w:eastAsia="zh-CN"/>
              </w:rPr>
              <w:t>4</w:t>
            </w:r>
            <w:r>
              <w:rPr>
                <w:rFonts w:ascii="Times New Roman" w:hAnsi="Times New Roman" w:cs="Times New Roman"/>
                <w:b/>
                <w:bCs/>
                <w:color w:val="auto"/>
                <w:kern w:val="21"/>
                <w:szCs w:val="24"/>
              </w:rPr>
              <w:t xml:space="preserve">  污染源非正常排放量核算表</w:t>
            </w:r>
          </w:p>
          <w:tbl>
            <w:tblPr>
              <w:tblStyle w:val="27"/>
              <w:tblW w:w="50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8"/>
              <w:gridCol w:w="1079"/>
              <w:gridCol w:w="703"/>
              <w:gridCol w:w="753"/>
              <w:gridCol w:w="1006"/>
              <w:gridCol w:w="772"/>
              <w:gridCol w:w="699"/>
              <w:gridCol w:w="908"/>
              <w:gridCol w:w="1374"/>
            </w:tblGrid>
            <w:tr w14:paraId="77035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1943EAFF">
                  <w:pPr>
                    <w:jc w:val="center"/>
                    <w:rPr>
                      <w:rFonts w:ascii="Times New Roman" w:hAnsi="Times New Roman" w:cs="Times New Roman"/>
                      <w:b/>
                      <w:bCs/>
                      <w:color w:val="auto"/>
                      <w:szCs w:val="21"/>
                    </w:rPr>
                  </w:pPr>
                  <w:r>
                    <w:rPr>
                      <w:rFonts w:ascii="Times New Roman" w:hAnsi="Times New Roman" w:cs="Times New Roman"/>
                      <w:b/>
                      <w:bCs/>
                      <w:color w:val="auto"/>
                      <w:szCs w:val="21"/>
                    </w:rPr>
                    <w:t>污染源</w:t>
                  </w:r>
                </w:p>
              </w:tc>
              <w:tc>
                <w:tcPr>
                  <w:tcW w:w="672" w:type="pct"/>
                  <w:noWrap w:val="0"/>
                  <w:vAlign w:val="center"/>
                </w:tcPr>
                <w:p w14:paraId="1F4EB6C3">
                  <w:pPr>
                    <w:jc w:val="center"/>
                    <w:rPr>
                      <w:rFonts w:ascii="Times New Roman" w:hAnsi="Times New Roman" w:cs="Times New Roman"/>
                      <w:b/>
                      <w:bCs/>
                      <w:color w:val="auto"/>
                      <w:szCs w:val="21"/>
                    </w:rPr>
                  </w:pPr>
                  <w:r>
                    <w:rPr>
                      <w:rFonts w:ascii="Times New Roman" w:hAnsi="Times New Roman" w:cs="Times New Roman"/>
                      <w:b/>
                      <w:bCs/>
                      <w:color w:val="auto"/>
                      <w:szCs w:val="21"/>
                    </w:rPr>
                    <w:t>非正常</w:t>
                  </w:r>
                </w:p>
                <w:p w14:paraId="05498DB2">
                  <w:pPr>
                    <w:jc w:val="center"/>
                    <w:rPr>
                      <w:rFonts w:ascii="Times New Roman" w:hAnsi="Times New Roman" w:cs="Times New Roman"/>
                      <w:b/>
                      <w:bCs/>
                      <w:color w:val="auto"/>
                      <w:szCs w:val="21"/>
                    </w:rPr>
                  </w:pPr>
                  <w:r>
                    <w:rPr>
                      <w:rFonts w:ascii="Times New Roman" w:hAnsi="Times New Roman" w:cs="Times New Roman"/>
                      <w:b/>
                      <w:bCs/>
                      <w:color w:val="auto"/>
                      <w:szCs w:val="21"/>
                    </w:rPr>
                    <w:t>排放原因</w:t>
                  </w:r>
                </w:p>
              </w:tc>
              <w:tc>
                <w:tcPr>
                  <w:tcW w:w="438" w:type="pct"/>
                  <w:noWrap w:val="0"/>
                  <w:vAlign w:val="center"/>
                </w:tcPr>
                <w:p w14:paraId="11F8918B">
                  <w:pPr>
                    <w:jc w:val="center"/>
                    <w:rPr>
                      <w:rFonts w:ascii="Times New Roman" w:hAnsi="Times New Roman" w:cs="Times New Roman"/>
                      <w:b/>
                      <w:bCs/>
                      <w:color w:val="auto"/>
                      <w:szCs w:val="21"/>
                    </w:rPr>
                  </w:pPr>
                  <w:r>
                    <w:rPr>
                      <w:rFonts w:ascii="Times New Roman" w:hAnsi="Times New Roman" w:cs="Times New Roman"/>
                      <w:b/>
                      <w:bCs/>
                      <w:color w:val="auto"/>
                      <w:szCs w:val="21"/>
                    </w:rPr>
                    <w:t>对应车间</w:t>
                  </w:r>
                </w:p>
              </w:tc>
              <w:tc>
                <w:tcPr>
                  <w:tcW w:w="469" w:type="pct"/>
                  <w:noWrap w:val="0"/>
                  <w:vAlign w:val="center"/>
                </w:tcPr>
                <w:p w14:paraId="71074E46">
                  <w:pPr>
                    <w:jc w:val="center"/>
                    <w:rPr>
                      <w:rFonts w:ascii="Times New Roman" w:hAnsi="Times New Roman" w:cs="Times New Roman"/>
                      <w:b/>
                      <w:bCs/>
                      <w:color w:val="auto"/>
                      <w:szCs w:val="21"/>
                    </w:rPr>
                  </w:pPr>
                  <w:r>
                    <w:rPr>
                      <w:rFonts w:ascii="Times New Roman" w:hAnsi="Times New Roman" w:cs="Times New Roman"/>
                      <w:b/>
                      <w:bCs/>
                      <w:color w:val="auto"/>
                      <w:szCs w:val="21"/>
                    </w:rPr>
                    <w:t>污染物</w:t>
                  </w:r>
                </w:p>
              </w:tc>
              <w:tc>
                <w:tcPr>
                  <w:tcW w:w="626" w:type="pct"/>
                  <w:noWrap w:val="0"/>
                  <w:vAlign w:val="center"/>
                </w:tcPr>
                <w:p w14:paraId="3D6A3E9F">
                  <w:pPr>
                    <w:jc w:val="center"/>
                    <w:rPr>
                      <w:rFonts w:ascii="Times New Roman" w:hAnsi="Times New Roman" w:cs="Times New Roman"/>
                      <w:b/>
                      <w:bCs/>
                      <w:color w:val="auto"/>
                      <w:szCs w:val="21"/>
                    </w:rPr>
                  </w:pPr>
                  <w:r>
                    <w:rPr>
                      <w:rFonts w:ascii="Times New Roman" w:hAnsi="Times New Roman" w:cs="Times New Roman"/>
                      <w:b/>
                      <w:bCs/>
                      <w:color w:val="auto"/>
                      <w:szCs w:val="21"/>
                    </w:rPr>
                    <w:t>非正常排放速率/（kg/h）</w:t>
                  </w:r>
                </w:p>
              </w:tc>
              <w:tc>
                <w:tcPr>
                  <w:tcW w:w="481" w:type="pct"/>
                  <w:noWrap w:val="0"/>
                  <w:vAlign w:val="center"/>
                </w:tcPr>
                <w:p w14:paraId="1A292F6A">
                  <w:pPr>
                    <w:jc w:val="center"/>
                    <w:rPr>
                      <w:rFonts w:ascii="Times New Roman" w:hAnsi="Times New Roman" w:cs="Times New Roman"/>
                      <w:b/>
                      <w:bCs/>
                      <w:color w:val="auto"/>
                      <w:szCs w:val="21"/>
                    </w:rPr>
                  </w:pPr>
                  <w:r>
                    <w:rPr>
                      <w:rFonts w:ascii="Times New Roman" w:hAnsi="Times New Roman" w:cs="Times New Roman"/>
                      <w:b/>
                      <w:bCs/>
                      <w:color w:val="auto"/>
                      <w:szCs w:val="21"/>
                    </w:rPr>
                    <w:t>单次持续时间/h</w:t>
                  </w:r>
                </w:p>
              </w:tc>
              <w:tc>
                <w:tcPr>
                  <w:tcW w:w="435" w:type="pct"/>
                  <w:noWrap w:val="0"/>
                  <w:vAlign w:val="center"/>
                </w:tcPr>
                <w:p w14:paraId="01D7E7FE">
                  <w:pPr>
                    <w:jc w:val="center"/>
                    <w:rPr>
                      <w:rFonts w:ascii="Times New Roman" w:hAnsi="Times New Roman" w:cs="Times New Roman"/>
                      <w:b/>
                      <w:bCs/>
                      <w:color w:val="auto"/>
                      <w:szCs w:val="21"/>
                    </w:rPr>
                  </w:pPr>
                  <w:r>
                    <w:rPr>
                      <w:rFonts w:ascii="Times New Roman" w:hAnsi="Times New Roman" w:cs="Times New Roman"/>
                      <w:b/>
                      <w:bCs/>
                      <w:color w:val="auto"/>
                      <w:szCs w:val="21"/>
                    </w:rPr>
                    <w:t>年发生频次/次</w:t>
                  </w:r>
                </w:p>
              </w:tc>
              <w:tc>
                <w:tcPr>
                  <w:tcW w:w="565" w:type="pct"/>
                  <w:noWrap w:val="0"/>
                  <w:vAlign w:val="center"/>
                </w:tcPr>
                <w:p w14:paraId="3F133E3E">
                  <w:pPr>
                    <w:jc w:val="center"/>
                    <w:rPr>
                      <w:rFonts w:ascii="Times New Roman" w:hAnsi="Times New Roman" w:cs="Times New Roman"/>
                      <w:b/>
                      <w:bCs/>
                      <w:color w:val="auto"/>
                      <w:szCs w:val="21"/>
                    </w:rPr>
                  </w:pPr>
                  <w:r>
                    <w:rPr>
                      <w:rFonts w:ascii="Times New Roman" w:hAnsi="Times New Roman" w:cs="Times New Roman"/>
                      <w:b/>
                      <w:bCs/>
                      <w:color w:val="auto"/>
                      <w:szCs w:val="21"/>
                    </w:rPr>
                    <w:t>排放量/（kg/a）</w:t>
                  </w:r>
                </w:p>
              </w:tc>
              <w:tc>
                <w:tcPr>
                  <w:tcW w:w="856" w:type="pct"/>
                  <w:noWrap w:val="0"/>
                  <w:vAlign w:val="center"/>
                </w:tcPr>
                <w:p w14:paraId="33772E38">
                  <w:pPr>
                    <w:jc w:val="center"/>
                    <w:rPr>
                      <w:rFonts w:ascii="Times New Roman" w:hAnsi="Times New Roman" w:cs="Times New Roman"/>
                      <w:b/>
                      <w:bCs/>
                      <w:color w:val="auto"/>
                      <w:szCs w:val="21"/>
                    </w:rPr>
                  </w:pPr>
                  <w:r>
                    <w:rPr>
                      <w:rFonts w:ascii="Times New Roman" w:hAnsi="Times New Roman" w:cs="Times New Roman"/>
                      <w:b/>
                      <w:bCs/>
                      <w:color w:val="auto"/>
                      <w:szCs w:val="21"/>
                    </w:rPr>
                    <w:t>应对措施</w:t>
                  </w:r>
                </w:p>
              </w:tc>
            </w:tr>
            <w:tr w14:paraId="5D092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2605A36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DA001</w:t>
                  </w:r>
                </w:p>
              </w:tc>
              <w:tc>
                <w:tcPr>
                  <w:tcW w:w="672" w:type="pct"/>
                  <w:noWrap w:val="0"/>
                  <w:vAlign w:val="center"/>
                </w:tcPr>
                <w:p w14:paraId="1436B466">
                  <w:pPr>
                    <w:jc w:val="center"/>
                    <w:rPr>
                      <w:rFonts w:hint="default" w:ascii="Times New Roman" w:hAnsi="Times New Roman" w:cs="Times New Roman"/>
                      <w:color w:val="auto"/>
                      <w:szCs w:val="21"/>
                      <w:lang w:val="en-US"/>
                    </w:rPr>
                  </w:pPr>
                  <w:r>
                    <w:rPr>
                      <w:rFonts w:hint="eastAsia" w:cs="Times New Roman"/>
                      <w:color w:val="auto"/>
                      <w:szCs w:val="21"/>
                      <w:lang w:eastAsia="zh-CN"/>
                    </w:rPr>
                    <w:t>二级活性炭</w:t>
                  </w:r>
                  <w:r>
                    <w:rPr>
                      <w:rFonts w:ascii="Times New Roman" w:hAnsi="Times New Roman" w:cs="Times New Roman"/>
                      <w:color w:val="auto"/>
                      <w:szCs w:val="21"/>
                    </w:rPr>
                    <w:t>吸附</w:t>
                  </w:r>
                  <w:r>
                    <w:rPr>
                      <w:rFonts w:hint="eastAsia" w:ascii="Times New Roman" w:hAnsi="Times New Roman" w:cs="Times New Roman"/>
                      <w:color w:val="auto"/>
                      <w:szCs w:val="21"/>
                      <w:lang w:val="en-US" w:eastAsia="zh-CN"/>
                    </w:rPr>
                    <w:t>装置</w:t>
                  </w:r>
                  <w:r>
                    <w:rPr>
                      <w:rFonts w:ascii="Times New Roman" w:hAnsi="Times New Roman" w:cs="Times New Roman"/>
                      <w:color w:val="auto"/>
                      <w:szCs w:val="21"/>
                    </w:rPr>
                    <w:t>废气处理</w:t>
                  </w:r>
                  <w:r>
                    <w:rPr>
                      <w:rFonts w:hint="eastAsia" w:ascii="Times New Roman" w:hAnsi="Times New Roman" w:cs="Times New Roman"/>
                      <w:color w:val="auto"/>
                      <w:szCs w:val="21"/>
                    </w:rPr>
                    <w:t>效率为0</w:t>
                  </w:r>
                </w:p>
              </w:tc>
              <w:tc>
                <w:tcPr>
                  <w:tcW w:w="438" w:type="pct"/>
                  <w:noWrap w:val="0"/>
                  <w:vAlign w:val="center"/>
                </w:tcPr>
                <w:p w14:paraId="781B4EFE">
                  <w:pPr>
                    <w:pStyle w:val="10"/>
                    <w:adjustRightInd w:val="0"/>
                    <w:snapToGrid w:val="0"/>
                    <w:spacing w:after="0"/>
                    <w:ind w:left="0" w:lef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挤出</w:t>
                  </w:r>
                </w:p>
              </w:tc>
              <w:tc>
                <w:tcPr>
                  <w:tcW w:w="469" w:type="pct"/>
                  <w:noWrap w:val="0"/>
                  <w:vAlign w:val="center"/>
                </w:tcPr>
                <w:p w14:paraId="455FDD59">
                  <w:pPr>
                    <w:pStyle w:val="10"/>
                    <w:adjustRightInd w:val="0"/>
                    <w:snapToGrid w:val="0"/>
                    <w:spacing w:after="0"/>
                    <w:ind w:left="0" w:leftChars="0"/>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626" w:type="pct"/>
                  <w:shd w:val="clear" w:color="auto" w:fill="auto"/>
                  <w:noWrap w:val="0"/>
                  <w:vAlign w:val="center"/>
                </w:tcPr>
                <w:p w14:paraId="666797D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31</w:t>
                  </w:r>
                </w:p>
              </w:tc>
              <w:tc>
                <w:tcPr>
                  <w:tcW w:w="481" w:type="pct"/>
                  <w:noWrap w:val="0"/>
                  <w:vAlign w:val="center"/>
                </w:tcPr>
                <w:p w14:paraId="0F1CD587">
                  <w:pPr>
                    <w:jc w:val="center"/>
                    <w:rPr>
                      <w:rFonts w:ascii="Times New Roman" w:hAnsi="Times New Roman" w:cs="Times New Roman"/>
                      <w:color w:val="auto"/>
                      <w:szCs w:val="21"/>
                    </w:rPr>
                  </w:pPr>
                  <w:r>
                    <w:rPr>
                      <w:rFonts w:ascii="Times New Roman" w:hAnsi="Times New Roman" w:cs="Times New Roman"/>
                      <w:color w:val="auto"/>
                      <w:szCs w:val="21"/>
                    </w:rPr>
                    <w:t>0.5</w:t>
                  </w:r>
                </w:p>
              </w:tc>
              <w:tc>
                <w:tcPr>
                  <w:tcW w:w="435" w:type="pct"/>
                  <w:noWrap w:val="0"/>
                  <w:vAlign w:val="center"/>
                </w:tcPr>
                <w:p w14:paraId="18F31828">
                  <w:pPr>
                    <w:jc w:val="center"/>
                    <w:rPr>
                      <w:rFonts w:ascii="Times New Roman" w:hAnsi="Times New Roman" w:cs="Times New Roman"/>
                      <w:color w:val="auto"/>
                      <w:szCs w:val="21"/>
                    </w:rPr>
                  </w:pPr>
                  <w:r>
                    <w:rPr>
                      <w:rFonts w:ascii="Times New Roman" w:hAnsi="Times New Roman" w:cs="Times New Roman"/>
                      <w:color w:val="auto"/>
                      <w:szCs w:val="21"/>
                    </w:rPr>
                    <w:t>2</w:t>
                  </w:r>
                </w:p>
              </w:tc>
              <w:tc>
                <w:tcPr>
                  <w:tcW w:w="565" w:type="pct"/>
                  <w:shd w:val="clear" w:color="auto" w:fill="auto"/>
                  <w:noWrap w:val="0"/>
                  <w:vAlign w:val="center"/>
                </w:tcPr>
                <w:p w14:paraId="45E7F29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31</w:t>
                  </w:r>
                </w:p>
              </w:tc>
              <w:tc>
                <w:tcPr>
                  <w:tcW w:w="856" w:type="pct"/>
                  <w:vMerge w:val="restart"/>
                  <w:noWrap w:val="0"/>
                  <w:vAlign w:val="center"/>
                </w:tcPr>
                <w:p w14:paraId="0BEB47E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立即停止生产，关闭排放阀，即时检修</w:t>
                  </w:r>
                </w:p>
              </w:tc>
            </w:tr>
            <w:tr w14:paraId="152E6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349BBA9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DA002</w:t>
                  </w:r>
                </w:p>
              </w:tc>
              <w:tc>
                <w:tcPr>
                  <w:tcW w:w="672" w:type="pct"/>
                  <w:noWrap w:val="0"/>
                  <w:vAlign w:val="center"/>
                </w:tcPr>
                <w:p w14:paraId="3CD318FB">
                  <w:pPr>
                    <w:jc w:val="center"/>
                    <w:rPr>
                      <w:rFonts w:ascii="Times New Roman" w:hAnsi="Times New Roman" w:eastAsia="宋体" w:cs="Times New Roman"/>
                      <w:color w:val="auto"/>
                      <w:szCs w:val="21"/>
                    </w:rPr>
                  </w:pPr>
                  <w:r>
                    <w:rPr>
                      <w:rFonts w:hint="eastAsia" w:cs="Times New Roman"/>
                      <w:color w:val="auto"/>
                      <w:szCs w:val="21"/>
                      <w:lang w:eastAsia="zh-CN"/>
                    </w:rPr>
                    <w:t>二级活性炭</w:t>
                  </w:r>
                  <w:r>
                    <w:rPr>
                      <w:rFonts w:ascii="Times New Roman" w:hAnsi="Times New Roman" w:cs="Times New Roman"/>
                      <w:color w:val="auto"/>
                      <w:szCs w:val="21"/>
                    </w:rPr>
                    <w:t>吸附</w:t>
                  </w:r>
                  <w:r>
                    <w:rPr>
                      <w:rFonts w:hint="eastAsia" w:ascii="Times New Roman" w:hAnsi="Times New Roman" w:cs="Times New Roman"/>
                      <w:color w:val="auto"/>
                      <w:szCs w:val="21"/>
                      <w:lang w:val="en-US" w:eastAsia="zh-CN"/>
                    </w:rPr>
                    <w:t>装置</w:t>
                  </w:r>
                  <w:r>
                    <w:rPr>
                      <w:rFonts w:ascii="Times New Roman" w:hAnsi="Times New Roman" w:cs="Times New Roman"/>
                      <w:color w:val="auto"/>
                      <w:szCs w:val="21"/>
                    </w:rPr>
                    <w:t>废气处理</w:t>
                  </w:r>
                  <w:r>
                    <w:rPr>
                      <w:rFonts w:hint="eastAsia" w:ascii="Times New Roman" w:hAnsi="Times New Roman" w:cs="Times New Roman"/>
                      <w:color w:val="auto"/>
                      <w:szCs w:val="21"/>
                    </w:rPr>
                    <w:t>效率为0</w:t>
                  </w:r>
                </w:p>
              </w:tc>
              <w:tc>
                <w:tcPr>
                  <w:tcW w:w="438" w:type="pct"/>
                  <w:noWrap w:val="0"/>
                  <w:vAlign w:val="center"/>
                </w:tcPr>
                <w:p w14:paraId="6F4F6CB0">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发泡</w:t>
                  </w:r>
                </w:p>
              </w:tc>
              <w:tc>
                <w:tcPr>
                  <w:tcW w:w="469" w:type="pct"/>
                  <w:noWrap w:val="0"/>
                  <w:vAlign w:val="center"/>
                </w:tcPr>
                <w:p w14:paraId="6D063C05">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 w:val="21"/>
                      <w:szCs w:val="21"/>
                    </w:rPr>
                    <w:t>非甲烷总烃</w:t>
                  </w:r>
                </w:p>
              </w:tc>
              <w:tc>
                <w:tcPr>
                  <w:tcW w:w="626" w:type="pct"/>
                  <w:shd w:val="clear" w:color="auto" w:fill="auto"/>
                  <w:noWrap w:val="0"/>
                  <w:vAlign w:val="center"/>
                </w:tcPr>
                <w:p w14:paraId="70113B1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34</w:t>
                  </w:r>
                </w:p>
              </w:tc>
              <w:tc>
                <w:tcPr>
                  <w:tcW w:w="481" w:type="pct"/>
                  <w:noWrap w:val="0"/>
                  <w:vAlign w:val="center"/>
                </w:tcPr>
                <w:p w14:paraId="680181D3">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w:t>
                  </w:r>
                </w:p>
              </w:tc>
              <w:tc>
                <w:tcPr>
                  <w:tcW w:w="435" w:type="pct"/>
                  <w:noWrap w:val="0"/>
                  <w:vAlign w:val="center"/>
                </w:tcPr>
                <w:p w14:paraId="31B075D2">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565" w:type="pct"/>
                  <w:shd w:val="clear" w:color="auto" w:fill="auto"/>
                  <w:noWrap w:val="0"/>
                  <w:vAlign w:val="center"/>
                </w:tcPr>
                <w:p w14:paraId="3435324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34</w:t>
                  </w:r>
                </w:p>
              </w:tc>
              <w:tc>
                <w:tcPr>
                  <w:tcW w:w="856" w:type="pct"/>
                  <w:vMerge w:val="continue"/>
                  <w:noWrap w:val="0"/>
                  <w:vAlign w:val="top"/>
                </w:tcPr>
                <w:p w14:paraId="148B3940">
                  <w:pPr>
                    <w:adjustRightInd w:val="0"/>
                    <w:snapToGrid w:val="0"/>
                    <w:jc w:val="center"/>
                    <w:rPr>
                      <w:rFonts w:ascii="Times New Roman" w:hAnsi="Times New Roman" w:cs="Times New Roman"/>
                      <w:color w:val="auto"/>
                      <w:szCs w:val="21"/>
                    </w:rPr>
                  </w:pPr>
                </w:p>
              </w:tc>
            </w:tr>
            <w:tr w14:paraId="10F34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7EEC9740">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DA003</w:t>
                  </w:r>
                </w:p>
              </w:tc>
              <w:tc>
                <w:tcPr>
                  <w:tcW w:w="672" w:type="pct"/>
                  <w:noWrap w:val="0"/>
                  <w:vAlign w:val="center"/>
                </w:tcPr>
                <w:p w14:paraId="2DBD29D9">
                  <w:pPr>
                    <w:jc w:val="center"/>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SA"/>
                    </w:rPr>
                    <w:t>布袋除尘器处理效率降低至10%</w:t>
                  </w:r>
                </w:p>
              </w:tc>
              <w:tc>
                <w:tcPr>
                  <w:tcW w:w="438" w:type="pct"/>
                  <w:noWrap w:val="0"/>
                  <w:vAlign w:val="center"/>
                </w:tcPr>
                <w:p w14:paraId="655D0E5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除锈</w:t>
                  </w:r>
                </w:p>
              </w:tc>
              <w:tc>
                <w:tcPr>
                  <w:tcW w:w="469" w:type="pct"/>
                  <w:shd w:val="clear" w:color="auto" w:fill="auto"/>
                  <w:noWrap w:val="0"/>
                  <w:vAlign w:val="center"/>
                </w:tcPr>
                <w:p w14:paraId="2E0190E2">
                  <w:pPr>
                    <w:pStyle w:val="10"/>
                    <w:adjustRightInd w:val="0"/>
                    <w:snapToGrid w:val="0"/>
                    <w:spacing w:after="0"/>
                    <w:ind w:left="0" w:left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颗粒物</w:t>
                  </w:r>
                </w:p>
              </w:tc>
              <w:tc>
                <w:tcPr>
                  <w:tcW w:w="626" w:type="pct"/>
                  <w:shd w:val="clear" w:color="auto" w:fill="auto"/>
                  <w:noWrap w:val="0"/>
                  <w:vAlign w:val="center"/>
                </w:tcPr>
                <w:p w14:paraId="34A0855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2.34</w:t>
                  </w:r>
                </w:p>
              </w:tc>
              <w:tc>
                <w:tcPr>
                  <w:tcW w:w="481" w:type="pct"/>
                  <w:shd w:val="clear" w:color="auto" w:fill="auto"/>
                  <w:noWrap w:val="0"/>
                  <w:vAlign w:val="center"/>
                </w:tcPr>
                <w:p w14:paraId="0DE05411">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0.5</w:t>
                  </w:r>
                </w:p>
              </w:tc>
              <w:tc>
                <w:tcPr>
                  <w:tcW w:w="435" w:type="pct"/>
                  <w:shd w:val="clear" w:color="auto" w:fill="auto"/>
                  <w:noWrap w:val="0"/>
                  <w:vAlign w:val="center"/>
                </w:tcPr>
                <w:p w14:paraId="5D54052C">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2</w:t>
                  </w:r>
                </w:p>
              </w:tc>
              <w:tc>
                <w:tcPr>
                  <w:tcW w:w="565" w:type="pct"/>
                  <w:shd w:val="clear" w:color="auto" w:fill="auto"/>
                  <w:noWrap w:val="0"/>
                  <w:vAlign w:val="center"/>
                </w:tcPr>
                <w:p w14:paraId="7D44F1B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2.34</w:t>
                  </w:r>
                </w:p>
              </w:tc>
              <w:tc>
                <w:tcPr>
                  <w:tcW w:w="856" w:type="pct"/>
                  <w:noWrap w:val="0"/>
                  <w:vAlign w:val="center"/>
                </w:tcPr>
                <w:p w14:paraId="49EDB82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立即停止生产，关闭排放阀，即时检修</w:t>
                  </w:r>
                </w:p>
              </w:tc>
            </w:tr>
          </w:tbl>
          <w:p w14:paraId="3DC9F77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s="Times New Roman"/>
                <w:color w:val="auto"/>
                <w:sz w:val="24"/>
                <w:szCs w:val="32"/>
              </w:rPr>
            </w:pPr>
            <w:r>
              <w:rPr>
                <w:rFonts w:ascii="Times New Roman" w:hAnsi="Times New Roman" w:eastAsia="宋体" w:cs="Times New Roman"/>
                <w:color w:val="auto"/>
                <w:sz w:val="24"/>
                <w:szCs w:val="32"/>
              </w:rPr>
              <w:t>为防止非正常工况排放，企业必须加强废气处理设施的管理，定期检修，确保废气处理设施正常运行，在废气处理设施停止运行或出现故障时，产生废气的各工序也必须立即停产。为杜绝废气非正常排放，应采取以下措施确保废气达标排放：</w:t>
            </w:r>
          </w:p>
          <w:p w14:paraId="528048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①安排</w:t>
            </w:r>
            <w:r>
              <w:rPr>
                <w:rFonts w:hint="eastAsia" w:ascii="Times New Roman" w:hAnsi="Times New Roman" w:eastAsia="宋体" w:cs="Times New Roman"/>
                <w:color w:val="auto"/>
                <w:sz w:val="24"/>
                <w:lang w:val="en-US" w:eastAsia="zh-CN"/>
              </w:rPr>
              <w:t>人员</w:t>
            </w:r>
            <w:r>
              <w:rPr>
                <w:rFonts w:hint="eastAsia" w:ascii="Times New Roman" w:hAnsi="Times New Roman" w:eastAsia="宋体" w:cs="Times New Roman"/>
                <w:color w:val="auto"/>
                <w:sz w:val="24"/>
              </w:rPr>
              <w:t>负责环保设备的日常维护和管理，及时发现隐患，确保废气处理设施正常运行；</w:t>
            </w:r>
          </w:p>
          <w:p w14:paraId="5AB50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②</w:t>
            </w:r>
            <w:r>
              <w:rPr>
                <w:rFonts w:hint="eastAsia" w:ascii="Times New Roman" w:hAnsi="Times New Roman" w:eastAsia="宋体" w:cs="Times New Roman"/>
                <w:color w:val="auto"/>
                <w:sz w:val="24"/>
                <w:lang w:eastAsia="zh-CN"/>
              </w:rPr>
              <w:t>定期</w:t>
            </w:r>
            <w:r>
              <w:rPr>
                <w:rFonts w:hint="eastAsia" w:ascii="Times New Roman" w:hAnsi="Times New Roman" w:eastAsia="宋体" w:cs="Times New Roman"/>
                <w:color w:val="auto"/>
                <w:sz w:val="24"/>
              </w:rPr>
              <w:t>更换活性炭；</w:t>
            </w:r>
            <w:r>
              <w:rPr>
                <w:rFonts w:hint="eastAsia" w:cs="Times New Roman"/>
                <w:color w:val="auto"/>
                <w:sz w:val="24"/>
                <w:lang w:val="en-US" w:eastAsia="zh-CN"/>
              </w:rPr>
              <w:t>定期对布袋进行清理；</w:t>
            </w:r>
          </w:p>
          <w:p w14:paraId="7A8AB3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③委托具有专业资质的环境检测机构对各污染物进行定期监测。</w:t>
            </w:r>
          </w:p>
          <w:p w14:paraId="7B88DB1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rPr>
            </w:pPr>
            <w:r>
              <w:rPr>
                <w:rFonts w:hint="eastAsia"/>
                <w:b/>
                <w:bCs/>
                <w:color w:val="auto"/>
                <w:sz w:val="24"/>
              </w:rPr>
              <w:t>2、废水</w:t>
            </w:r>
          </w:p>
          <w:p w14:paraId="59E7774C">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szCs w:val="24"/>
              </w:rPr>
              <w:t>（1）废水产排情况</w:t>
            </w:r>
          </w:p>
          <w:p w14:paraId="2A5EA6CB">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szCs w:val="24"/>
              </w:rPr>
              <w:t>根据前文分析，本项目产生的废水为生活污水</w:t>
            </w:r>
            <w:r>
              <w:rPr>
                <w:rFonts w:hint="eastAsia"/>
                <w:color w:val="auto"/>
                <w:szCs w:val="24"/>
                <w:lang w:val="en-US" w:eastAsia="zh-CN"/>
              </w:rPr>
              <w:t>和</w:t>
            </w:r>
            <w:r>
              <w:rPr>
                <w:rFonts w:hint="eastAsia"/>
                <w:color w:val="auto"/>
                <w:kern w:val="0"/>
                <w:lang w:val="en-US" w:eastAsia="zh-CN"/>
              </w:rPr>
              <w:t>真空定径装置水箱排污废水</w:t>
            </w:r>
            <w:r>
              <w:rPr>
                <w:rFonts w:hint="eastAsia"/>
                <w:color w:val="auto"/>
                <w:szCs w:val="24"/>
              </w:rPr>
              <w:t>。</w:t>
            </w:r>
          </w:p>
          <w:p w14:paraId="2004D622">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项目</w:t>
            </w:r>
            <w:r>
              <w:rPr>
                <w:rFonts w:hint="eastAsia"/>
                <w:color w:val="auto"/>
                <w:szCs w:val="24"/>
              </w:rPr>
              <w:t>真空定径装置水箱定期排水，经收集后用于厂房洒水降尘；</w:t>
            </w:r>
            <w:r>
              <w:rPr>
                <w:rFonts w:hint="eastAsia"/>
                <w:color w:val="auto"/>
              </w:rPr>
              <w:t>生活污水产生量为</w:t>
            </w:r>
            <w:r>
              <w:rPr>
                <w:rFonts w:hint="eastAsia"/>
                <w:color w:val="auto"/>
                <w:lang w:val="en-US" w:eastAsia="zh-CN"/>
              </w:rPr>
              <w:t>1.0</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300</w:t>
            </w:r>
            <w:r>
              <w:rPr>
                <w:rFonts w:hint="eastAsia"/>
                <w:color w:val="auto"/>
              </w:rPr>
              <w:t>m</w:t>
            </w:r>
            <w:r>
              <w:rPr>
                <w:rFonts w:hint="eastAsia"/>
                <w:color w:val="auto"/>
                <w:vertAlign w:val="superscript"/>
              </w:rPr>
              <w:t>3</w:t>
            </w:r>
            <w:r>
              <w:rPr>
                <w:rFonts w:hint="eastAsia"/>
                <w:color w:val="auto"/>
              </w:rPr>
              <w:t>/a，主要污染物为COD、BOD</w:t>
            </w:r>
            <w:r>
              <w:rPr>
                <w:rFonts w:hint="eastAsia"/>
                <w:color w:val="auto"/>
                <w:vertAlign w:val="subscript"/>
              </w:rPr>
              <w:t>5</w:t>
            </w:r>
            <w:r>
              <w:rPr>
                <w:rFonts w:hint="eastAsia"/>
                <w:color w:val="auto"/>
              </w:rPr>
              <w:t>、SS、氨氮、TN、TP等，</w:t>
            </w:r>
            <w:r>
              <w:rPr>
                <w:rFonts w:hint="eastAsia" w:hAnsi="Times New Roman" w:cs="Times New Roman"/>
                <w:color w:val="auto"/>
              </w:rPr>
              <w:t>依托租赁产业园</w:t>
            </w:r>
            <w:r>
              <w:rPr>
                <w:rFonts w:hAnsi="Times New Roman" w:cs="Times New Roman"/>
                <w:color w:val="auto"/>
              </w:rPr>
              <w:t>化粪池</w:t>
            </w:r>
            <w:r>
              <w:rPr>
                <w:rFonts w:hint="eastAsia" w:hAnsi="Times New Roman" w:cs="Times New Roman"/>
                <w:color w:val="auto"/>
              </w:rPr>
              <w:t>处理后经市政污水管网排入泾河新城第二污水处理厂处理</w:t>
            </w:r>
            <w:r>
              <w:rPr>
                <w:rFonts w:hint="eastAsia"/>
                <w:color w:val="auto"/>
              </w:rPr>
              <w:t>。</w:t>
            </w:r>
          </w:p>
          <w:p w14:paraId="4B8128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sz w:val="24"/>
                <w:szCs w:val="32"/>
                <w:lang w:val="en-US" w:eastAsia="zh-CN"/>
              </w:rPr>
              <w:t>类比现有工程，</w:t>
            </w:r>
            <w:r>
              <w:rPr>
                <w:rFonts w:hint="eastAsia"/>
                <w:color w:val="auto"/>
                <w:sz w:val="24"/>
                <w:szCs w:val="32"/>
              </w:rPr>
              <w:t>本项目</w:t>
            </w:r>
            <w:r>
              <w:rPr>
                <w:rFonts w:hint="eastAsia"/>
                <w:color w:val="auto"/>
                <w:sz w:val="24"/>
                <w:szCs w:val="32"/>
                <w:lang w:val="en-US" w:eastAsia="zh-CN"/>
              </w:rPr>
              <w:t>生活污水产生及排放</w:t>
            </w:r>
            <w:r>
              <w:rPr>
                <w:rFonts w:hint="eastAsia"/>
                <w:color w:val="auto"/>
                <w:sz w:val="24"/>
                <w:szCs w:val="32"/>
              </w:rPr>
              <w:t>情况见下表：</w:t>
            </w:r>
          </w:p>
          <w:p w14:paraId="53FC8B4E">
            <w:pPr>
              <w:pStyle w:val="65"/>
              <w:spacing w:line="240" w:lineRule="auto"/>
              <w:ind w:firstLine="0" w:firstLineChars="0"/>
              <w:jc w:val="center"/>
              <w:rPr>
                <w:rFonts w:hAnsi="Times New Roman" w:cs="Times New Roman"/>
                <w:b/>
                <w:bCs/>
                <w:color w:val="auto"/>
                <w:kern w:val="21"/>
                <w:szCs w:val="24"/>
              </w:rPr>
            </w:pPr>
            <w:r>
              <w:rPr>
                <w:rFonts w:hint="eastAsia" w:hAnsi="Times New Roman" w:cs="Times New Roman"/>
                <w:b/>
                <w:bCs/>
                <w:color w:val="auto"/>
                <w:kern w:val="21"/>
                <w:szCs w:val="24"/>
              </w:rPr>
              <w:t>表4-</w:t>
            </w:r>
            <w:r>
              <w:rPr>
                <w:rFonts w:hint="eastAsia" w:hAnsi="Times New Roman" w:cs="Times New Roman"/>
                <w:b/>
                <w:bCs/>
                <w:color w:val="auto"/>
                <w:kern w:val="21"/>
                <w:szCs w:val="24"/>
                <w:lang w:val="en-US" w:eastAsia="zh-CN"/>
              </w:rPr>
              <w:t>5</w:t>
            </w:r>
            <w:r>
              <w:rPr>
                <w:rFonts w:hint="eastAsia" w:hAnsi="Times New Roman" w:cs="Times New Roman"/>
                <w:b/>
                <w:bCs/>
                <w:color w:val="auto"/>
                <w:kern w:val="21"/>
                <w:szCs w:val="24"/>
              </w:rPr>
              <w:t xml:space="preserve">  项目生活废水污染物产生</w:t>
            </w:r>
            <w:r>
              <w:rPr>
                <w:rFonts w:hint="eastAsia" w:hAnsi="Times New Roman" w:cs="Times New Roman"/>
                <w:b/>
                <w:bCs/>
                <w:color w:val="auto"/>
                <w:kern w:val="21"/>
                <w:szCs w:val="24"/>
                <w:lang w:val="en-US" w:eastAsia="zh-CN"/>
              </w:rPr>
              <w:t>及排放</w:t>
            </w:r>
            <w:r>
              <w:rPr>
                <w:rFonts w:hint="eastAsia" w:hAnsi="Times New Roman" w:cs="Times New Roman"/>
                <w:b/>
                <w:bCs/>
                <w:color w:val="auto"/>
                <w:kern w:val="21"/>
                <w:szCs w:val="24"/>
              </w:rPr>
              <w:t>情况一览表</w:t>
            </w:r>
          </w:p>
          <w:tbl>
            <w:tblPr>
              <w:tblStyle w:val="27"/>
              <w:tblW w:w="802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3"/>
              <w:gridCol w:w="1587"/>
              <w:gridCol w:w="1360"/>
              <w:gridCol w:w="874"/>
              <w:gridCol w:w="877"/>
              <w:gridCol w:w="840"/>
              <w:gridCol w:w="837"/>
              <w:gridCol w:w="837"/>
            </w:tblGrid>
            <w:tr w14:paraId="0CA2A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5" w:type="pct"/>
                  <w:gridSpan w:val="2"/>
                  <w:noWrap w:val="0"/>
                  <w:vAlign w:val="center"/>
                </w:tcPr>
                <w:p w14:paraId="24C03E99">
                  <w:pPr>
                    <w:jc w:val="center"/>
                    <w:rPr>
                      <w:b/>
                      <w:bCs/>
                      <w:color w:val="auto"/>
                      <w:szCs w:val="21"/>
                      <w:highlight w:val="none"/>
                    </w:rPr>
                  </w:pPr>
                  <w:r>
                    <w:rPr>
                      <w:b/>
                      <w:bCs/>
                      <w:color w:val="auto"/>
                      <w:szCs w:val="21"/>
                      <w:highlight w:val="none"/>
                    </w:rPr>
                    <w:t>项目</w:t>
                  </w:r>
                </w:p>
              </w:tc>
              <w:tc>
                <w:tcPr>
                  <w:tcW w:w="847" w:type="pct"/>
                  <w:noWrap w:val="0"/>
                  <w:vAlign w:val="center"/>
                </w:tcPr>
                <w:p w14:paraId="6D3CD243">
                  <w:pPr>
                    <w:jc w:val="center"/>
                    <w:rPr>
                      <w:b/>
                      <w:bCs/>
                      <w:color w:val="auto"/>
                      <w:szCs w:val="21"/>
                      <w:highlight w:val="none"/>
                    </w:rPr>
                  </w:pPr>
                  <w:r>
                    <w:rPr>
                      <w:b/>
                      <w:bCs/>
                      <w:color w:val="auto"/>
                      <w:szCs w:val="21"/>
                      <w:highlight w:val="none"/>
                    </w:rPr>
                    <w:t>COD</w:t>
                  </w:r>
                </w:p>
              </w:tc>
              <w:tc>
                <w:tcPr>
                  <w:tcW w:w="544" w:type="pct"/>
                  <w:noWrap w:val="0"/>
                  <w:vAlign w:val="center"/>
                </w:tcPr>
                <w:p w14:paraId="5A378C63">
                  <w:pPr>
                    <w:jc w:val="center"/>
                    <w:rPr>
                      <w:b/>
                      <w:bCs/>
                      <w:color w:val="auto"/>
                      <w:szCs w:val="21"/>
                      <w:highlight w:val="none"/>
                    </w:rPr>
                  </w:pPr>
                  <w:r>
                    <w:rPr>
                      <w:b/>
                      <w:bCs/>
                      <w:color w:val="auto"/>
                      <w:szCs w:val="21"/>
                      <w:highlight w:val="none"/>
                    </w:rPr>
                    <w:t>BOD</w:t>
                  </w:r>
                  <w:r>
                    <w:rPr>
                      <w:b/>
                      <w:bCs/>
                      <w:color w:val="auto"/>
                      <w:szCs w:val="21"/>
                      <w:highlight w:val="none"/>
                      <w:vertAlign w:val="subscript"/>
                    </w:rPr>
                    <w:t>5</w:t>
                  </w:r>
                </w:p>
              </w:tc>
              <w:tc>
                <w:tcPr>
                  <w:tcW w:w="546" w:type="pct"/>
                  <w:noWrap w:val="0"/>
                  <w:vAlign w:val="center"/>
                </w:tcPr>
                <w:p w14:paraId="079CEEBA">
                  <w:pPr>
                    <w:jc w:val="center"/>
                    <w:rPr>
                      <w:b/>
                      <w:bCs/>
                      <w:color w:val="auto"/>
                      <w:szCs w:val="21"/>
                      <w:highlight w:val="none"/>
                    </w:rPr>
                  </w:pPr>
                  <w:r>
                    <w:rPr>
                      <w:b/>
                      <w:bCs/>
                      <w:color w:val="auto"/>
                      <w:szCs w:val="21"/>
                      <w:highlight w:val="none"/>
                    </w:rPr>
                    <w:t>SS</w:t>
                  </w:r>
                </w:p>
              </w:tc>
              <w:tc>
                <w:tcPr>
                  <w:tcW w:w="523" w:type="pct"/>
                  <w:noWrap w:val="0"/>
                  <w:vAlign w:val="center"/>
                </w:tcPr>
                <w:p w14:paraId="67DB6F20">
                  <w:pPr>
                    <w:jc w:val="center"/>
                    <w:rPr>
                      <w:b/>
                      <w:bCs/>
                      <w:color w:val="auto"/>
                      <w:szCs w:val="21"/>
                      <w:highlight w:val="none"/>
                    </w:rPr>
                  </w:pPr>
                  <w:r>
                    <w:rPr>
                      <w:b/>
                      <w:bCs/>
                      <w:color w:val="auto"/>
                      <w:szCs w:val="21"/>
                      <w:highlight w:val="none"/>
                    </w:rPr>
                    <w:t>氨氮</w:t>
                  </w:r>
                </w:p>
              </w:tc>
              <w:tc>
                <w:tcPr>
                  <w:tcW w:w="521" w:type="pct"/>
                  <w:noWrap w:val="0"/>
                  <w:vAlign w:val="center"/>
                </w:tcPr>
                <w:p w14:paraId="476F1603">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TN</w:t>
                  </w:r>
                </w:p>
              </w:tc>
              <w:tc>
                <w:tcPr>
                  <w:tcW w:w="521" w:type="pct"/>
                  <w:noWrap w:val="0"/>
                  <w:vAlign w:val="center"/>
                </w:tcPr>
                <w:p w14:paraId="73CB75B6">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TP</w:t>
                  </w:r>
                </w:p>
              </w:tc>
            </w:tr>
            <w:tr w14:paraId="4FFA1B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06" w:type="pct"/>
                  <w:vMerge w:val="restart"/>
                  <w:noWrap w:val="0"/>
                  <w:vAlign w:val="center"/>
                </w:tcPr>
                <w:p w14:paraId="754066C2">
                  <w:pPr>
                    <w:jc w:val="center"/>
                    <w:rPr>
                      <w:color w:val="auto"/>
                      <w:szCs w:val="21"/>
                      <w:highlight w:val="none"/>
                    </w:rPr>
                  </w:pPr>
                  <w:r>
                    <w:rPr>
                      <w:color w:val="auto"/>
                      <w:szCs w:val="21"/>
                      <w:highlight w:val="none"/>
                    </w:rPr>
                    <w:t>产生情况</w:t>
                  </w:r>
                </w:p>
              </w:tc>
              <w:tc>
                <w:tcPr>
                  <w:tcW w:w="988" w:type="pct"/>
                  <w:noWrap w:val="0"/>
                  <w:vAlign w:val="center"/>
                </w:tcPr>
                <w:p w14:paraId="4F2E3BDD">
                  <w:pPr>
                    <w:jc w:val="center"/>
                    <w:rPr>
                      <w:color w:val="auto"/>
                      <w:szCs w:val="21"/>
                      <w:highlight w:val="none"/>
                    </w:rPr>
                  </w:pPr>
                  <w:r>
                    <w:rPr>
                      <w:color w:val="auto"/>
                      <w:szCs w:val="21"/>
                      <w:highlight w:val="none"/>
                    </w:rPr>
                    <w:t>产生浓度（mg/L）</w:t>
                  </w:r>
                </w:p>
              </w:tc>
              <w:tc>
                <w:tcPr>
                  <w:tcW w:w="847" w:type="pct"/>
                  <w:noWrap w:val="0"/>
                  <w:vAlign w:val="center"/>
                </w:tcPr>
                <w:p w14:paraId="138DA921">
                  <w:pPr>
                    <w:jc w:val="center"/>
                    <w:rPr>
                      <w:color w:val="auto"/>
                      <w:szCs w:val="21"/>
                      <w:highlight w:val="none"/>
                    </w:rPr>
                  </w:pPr>
                  <w:r>
                    <w:rPr>
                      <w:rFonts w:hint="eastAsia"/>
                      <w:color w:val="auto"/>
                      <w:szCs w:val="21"/>
                      <w:highlight w:val="none"/>
                    </w:rPr>
                    <w:t>350</w:t>
                  </w:r>
                </w:p>
              </w:tc>
              <w:tc>
                <w:tcPr>
                  <w:tcW w:w="544" w:type="pct"/>
                  <w:noWrap w:val="0"/>
                  <w:vAlign w:val="center"/>
                </w:tcPr>
                <w:p w14:paraId="116356C2">
                  <w:pPr>
                    <w:jc w:val="center"/>
                    <w:rPr>
                      <w:color w:val="auto"/>
                      <w:szCs w:val="21"/>
                      <w:highlight w:val="none"/>
                    </w:rPr>
                  </w:pPr>
                  <w:r>
                    <w:rPr>
                      <w:color w:val="auto"/>
                      <w:szCs w:val="21"/>
                      <w:highlight w:val="none"/>
                    </w:rPr>
                    <w:t>2</w:t>
                  </w:r>
                  <w:r>
                    <w:rPr>
                      <w:rFonts w:hint="eastAsia"/>
                      <w:color w:val="auto"/>
                      <w:szCs w:val="21"/>
                      <w:highlight w:val="none"/>
                    </w:rPr>
                    <w:t>2</w:t>
                  </w:r>
                  <w:r>
                    <w:rPr>
                      <w:color w:val="auto"/>
                      <w:szCs w:val="21"/>
                      <w:highlight w:val="none"/>
                    </w:rPr>
                    <w:t>0</w:t>
                  </w:r>
                </w:p>
              </w:tc>
              <w:tc>
                <w:tcPr>
                  <w:tcW w:w="546" w:type="pct"/>
                  <w:noWrap w:val="0"/>
                  <w:vAlign w:val="center"/>
                </w:tcPr>
                <w:p w14:paraId="0109569A">
                  <w:pPr>
                    <w:jc w:val="center"/>
                    <w:rPr>
                      <w:color w:val="auto"/>
                      <w:szCs w:val="21"/>
                      <w:highlight w:val="none"/>
                    </w:rPr>
                  </w:pPr>
                  <w:r>
                    <w:rPr>
                      <w:color w:val="auto"/>
                      <w:szCs w:val="21"/>
                      <w:highlight w:val="none"/>
                    </w:rPr>
                    <w:t>300</w:t>
                  </w:r>
                </w:p>
              </w:tc>
              <w:tc>
                <w:tcPr>
                  <w:tcW w:w="523" w:type="pct"/>
                  <w:noWrap w:val="0"/>
                  <w:vAlign w:val="center"/>
                </w:tcPr>
                <w:p w14:paraId="0B3184E6">
                  <w:pPr>
                    <w:jc w:val="center"/>
                    <w:rPr>
                      <w:color w:val="auto"/>
                      <w:szCs w:val="21"/>
                      <w:highlight w:val="none"/>
                    </w:rPr>
                  </w:pPr>
                  <w:r>
                    <w:rPr>
                      <w:rFonts w:hint="eastAsia"/>
                      <w:color w:val="auto"/>
                      <w:szCs w:val="21"/>
                      <w:highlight w:val="none"/>
                    </w:rPr>
                    <w:t>36</w:t>
                  </w:r>
                </w:p>
              </w:tc>
              <w:tc>
                <w:tcPr>
                  <w:tcW w:w="521" w:type="pct"/>
                  <w:noWrap w:val="0"/>
                  <w:vAlign w:val="center"/>
                </w:tcPr>
                <w:p w14:paraId="34F5982C">
                  <w:pPr>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521" w:type="pct"/>
                  <w:noWrap w:val="0"/>
                  <w:vAlign w:val="center"/>
                </w:tcPr>
                <w:p w14:paraId="019CF357">
                  <w:pPr>
                    <w:jc w:val="center"/>
                    <w:rPr>
                      <w:rFonts w:hint="eastAsia" w:eastAsia="宋体"/>
                      <w:color w:val="auto"/>
                      <w:szCs w:val="21"/>
                      <w:highlight w:val="none"/>
                      <w:lang w:val="en-US" w:eastAsia="zh-CN"/>
                    </w:rPr>
                  </w:pPr>
                  <w:r>
                    <w:rPr>
                      <w:rFonts w:hint="eastAsia"/>
                      <w:color w:val="auto"/>
                      <w:szCs w:val="21"/>
                      <w:highlight w:val="none"/>
                      <w:lang w:val="en-US" w:eastAsia="zh-CN"/>
                    </w:rPr>
                    <w:t>5</w:t>
                  </w:r>
                </w:p>
              </w:tc>
            </w:tr>
            <w:tr w14:paraId="264754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06" w:type="pct"/>
                  <w:vMerge w:val="continue"/>
                  <w:noWrap w:val="0"/>
                  <w:vAlign w:val="center"/>
                </w:tcPr>
                <w:p w14:paraId="1E9B7E19">
                  <w:pPr>
                    <w:jc w:val="center"/>
                    <w:rPr>
                      <w:color w:val="auto"/>
                      <w:szCs w:val="21"/>
                      <w:highlight w:val="none"/>
                    </w:rPr>
                  </w:pPr>
                </w:p>
              </w:tc>
              <w:tc>
                <w:tcPr>
                  <w:tcW w:w="988" w:type="pct"/>
                  <w:noWrap w:val="0"/>
                  <w:vAlign w:val="center"/>
                </w:tcPr>
                <w:p w14:paraId="3FF9B4DE">
                  <w:pPr>
                    <w:jc w:val="center"/>
                    <w:rPr>
                      <w:color w:val="auto"/>
                      <w:szCs w:val="21"/>
                      <w:highlight w:val="none"/>
                    </w:rPr>
                  </w:pPr>
                  <w:r>
                    <w:rPr>
                      <w:color w:val="auto"/>
                      <w:szCs w:val="21"/>
                      <w:highlight w:val="none"/>
                    </w:rPr>
                    <w:t>产生量（t/a）</w:t>
                  </w:r>
                </w:p>
              </w:tc>
              <w:tc>
                <w:tcPr>
                  <w:tcW w:w="847" w:type="pct"/>
                  <w:noWrap w:val="0"/>
                  <w:vAlign w:val="center"/>
                </w:tcPr>
                <w:p w14:paraId="357442FD">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0.105</w:t>
                  </w:r>
                </w:p>
              </w:tc>
              <w:tc>
                <w:tcPr>
                  <w:tcW w:w="544" w:type="pct"/>
                  <w:noWrap w:val="0"/>
                  <w:vAlign w:val="center"/>
                </w:tcPr>
                <w:p w14:paraId="2680F190">
                  <w:pPr>
                    <w:widowControl/>
                    <w:jc w:val="center"/>
                    <w:textAlignment w:val="center"/>
                    <w:rPr>
                      <w:rFonts w:hint="default"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066</w:t>
                  </w:r>
                </w:p>
              </w:tc>
              <w:tc>
                <w:tcPr>
                  <w:tcW w:w="546" w:type="pct"/>
                  <w:noWrap w:val="0"/>
                  <w:vAlign w:val="center"/>
                </w:tcPr>
                <w:p w14:paraId="547BFE44">
                  <w:pPr>
                    <w:widowControl/>
                    <w:jc w:val="center"/>
                    <w:textAlignment w:val="center"/>
                    <w:rPr>
                      <w:rFonts w:hint="default"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.09</w:t>
                  </w:r>
                </w:p>
              </w:tc>
              <w:tc>
                <w:tcPr>
                  <w:tcW w:w="523" w:type="pct"/>
                  <w:noWrap w:val="0"/>
                  <w:vAlign w:val="center"/>
                </w:tcPr>
                <w:p w14:paraId="00B412A5">
                  <w:pPr>
                    <w:widowControl/>
                    <w:jc w:val="center"/>
                    <w:textAlignment w:val="center"/>
                    <w:rPr>
                      <w:rFonts w:hint="default" w:eastAsia="宋体"/>
                      <w:color w:val="auto"/>
                      <w:szCs w:val="21"/>
                      <w:highlight w:val="none"/>
                      <w:lang w:val="en-US" w:eastAsia="zh-CN"/>
                    </w:rPr>
                  </w:pPr>
                  <w:r>
                    <w:rPr>
                      <w:color w:val="auto"/>
                      <w:kern w:val="0"/>
                      <w:szCs w:val="21"/>
                      <w:highlight w:val="none"/>
                      <w:lang w:bidi="ar"/>
                    </w:rPr>
                    <w:t>0.0</w:t>
                  </w:r>
                  <w:r>
                    <w:rPr>
                      <w:rFonts w:hint="eastAsia"/>
                      <w:color w:val="auto"/>
                      <w:kern w:val="0"/>
                      <w:szCs w:val="21"/>
                      <w:highlight w:val="none"/>
                      <w:lang w:val="en-US" w:eastAsia="zh-CN" w:bidi="ar"/>
                    </w:rPr>
                    <w:t>108</w:t>
                  </w:r>
                </w:p>
              </w:tc>
              <w:tc>
                <w:tcPr>
                  <w:tcW w:w="521" w:type="pct"/>
                  <w:noWrap w:val="0"/>
                  <w:vAlign w:val="center"/>
                </w:tcPr>
                <w:p w14:paraId="14F6B9D5">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0.015</w:t>
                  </w:r>
                </w:p>
              </w:tc>
              <w:tc>
                <w:tcPr>
                  <w:tcW w:w="521" w:type="pct"/>
                  <w:noWrap w:val="0"/>
                  <w:vAlign w:val="center"/>
                </w:tcPr>
                <w:p w14:paraId="0AF98741">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0.0015</w:t>
                  </w:r>
                </w:p>
              </w:tc>
            </w:tr>
            <w:tr w14:paraId="5EE786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5" w:type="pct"/>
                  <w:gridSpan w:val="2"/>
                  <w:noWrap w:val="0"/>
                  <w:vAlign w:val="center"/>
                </w:tcPr>
                <w:p w14:paraId="64C17FBA">
                  <w:pPr>
                    <w:jc w:val="center"/>
                    <w:rPr>
                      <w:color w:val="auto"/>
                      <w:szCs w:val="21"/>
                      <w:highlight w:val="none"/>
                    </w:rPr>
                  </w:pPr>
                  <w:r>
                    <w:rPr>
                      <w:rFonts w:hint="eastAsia"/>
                      <w:color w:val="auto"/>
                      <w:szCs w:val="21"/>
                      <w:highlight w:val="none"/>
                    </w:rPr>
                    <w:t>处理设施</w:t>
                  </w:r>
                </w:p>
              </w:tc>
              <w:tc>
                <w:tcPr>
                  <w:tcW w:w="3504" w:type="pct"/>
                  <w:gridSpan w:val="6"/>
                  <w:noWrap w:val="0"/>
                  <w:vAlign w:val="center"/>
                </w:tcPr>
                <w:p w14:paraId="57EAD55B">
                  <w:pPr>
                    <w:jc w:val="center"/>
                    <w:rPr>
                      <w:rFonts w:hint="eastAsia"/>
                      <w:color w:val="auto"/>
                      <w:szCs w:val="21"/>
                      <w:highlight w:val="none"/>
                    </w:rPr>
                  </w:pPr>
                  <w:r>
                    <w:rPr>
                      <w:rFonts w:hint="eastAsia"/>
                      <w:color w:val="auto"/>
                      <w:szCs w:val="21"/>
                      <w:highlight w:val="none"/>
                    </w:rPr>
                    <w:t>化粪池</w:t>
                  </w:r>
                </w:p>
              </w:tc>
            </w:tr>
            <w:tr w14:paraId="7AE8BC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5" w:type="pct"/>
                  <w:gridSpan w:val="2"/>
                  <w:noWrap w:val="0"/>
                  <w:vAlign w:val="center"/>
                </w:tcPr>
                <w:p w14:paraId="4C382B27">
                  <w:pPr>
                    <w:jc w:val="center"/>
                    <w:rPr>
                      <w:color w:val="auto"/>
                      <w:szCs w:val="21"/>
                      <w:highlight w:val="none"/>
                    </w:rPr>
                  </w:pPr>
                  <w:r>
                    <w:rPr>
                      <w:rFonts w:hint="eastAsia"/>
                      <w:color w:val="auto"/>
                      <w:szCs w:val="21"/>
                      <w:highlight w:val="none"/>
                    </w:rPr>
                    <w:t>是否为可行技术</w:t>
                  </w:r>
                </w:p>
              </w:tc>
              <w:tc>
                <w:tcPr>
                  <w:tcW w:w="3504" w:type="pct"/>
                  <w:gridSpan w:val="6"/>
                  <w:noWrap w:val="0"/>
                  <w:vAlign w:val="center"/>
                </w:tcPr>
                <w:p w14:paraId="19BDB822">
                  <w:pPr>
                    <w:jc w:val="center"/>
                    <w:rPr>
                      <w:rFonts w:hint="eastAsia"/>
                      <w:color w:val="auto"/>
                      <w:szCs w:val="21"/>
                      <w:highlight w:val="none"/>
                    </w:rPr>
                  </w:pPr>
                  <w:r>
                    <w:rPr>
                      <w:rFonts w:hint="eastAsia"/>
                      <w:color w:val="auto"/>
                      <w:szCs w:val="21"/>
                      <w:highlight w:val="none"/>
                    </w:rPr>
                    <w:t>是</w:t>
                  </w:r>
                </w:p>
              </w:tc>
            </w:tr>
            <w:tr w14:paraId="61E3B6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5" w:type="pct"/>
                  <w:gridSpan w:val="2"/>
                  <w:noWrap w:val="0"/>
                  <w:vAlign w:val="center"/>
                </w:tcPr>
                <w:p w14:paraId="058AF46E">
                  <w:pPr>
                    <w:jc w:val="center"/>
                    <w:rPr>
                      <w:color w:val="auto"/>
                      <w:szCs w:val="21"/>
                      <w:highlight w:val="none"/>
                    </w:rPr>
                  </w:pPr>
                  <w:r>
                    <w:rPr>
                      <w:color w:val="auto"/>
                      <w:szCs w:val="21"/>
                      <w:highlight w:val="none"/>
                    </w:rPr>
                    <w:t>处理效率</w:t>
                  </w:r>
                  <w:r>
                    <w:rPr>
                      <w:rFonts w:hint="eastAsia"/>
                      <w:color w:val="auto"/>
                      <w:szCs w:val="21"/>
                      <w:highlight w:val="none"/>
                    </w:rPr>
                    <w:t>（%）</w:t>
                  </w:r>
                </w:p>
              </w:tc>
              <w:tc>
                <w:tcPr>
                  <w:tcW w:w="847" w:type="pct"/>
                  <w:noWrap w:val="0"/>
                  <w:vAlign w:val="center"/>
                </w:tcPr>
                <w:p w14:paraId="5946EB69">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15</w:t>
                  </w:r>
                </w:p>
              </w:tc>
              <w:tc>
                <w:tcPr>
                  <w:tcW w:w="544" w:type="pct"/>
                  <w:noWrap w:val="0"/>
                  <w:vAlign w:val="center"/>
                </w:tcPr>
                <w:p w14:paraId="688E69E5">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eastAsia" w:ascii="Times New Roman" w:hAnsi="Times New Roman" w:eastAsia="宋体" w:cs="Times New Roman"/>
                      <w:color w:val="auto"/>
                      <w:kern w:val="0"/>
                      <w:szCs w:val="21"/>
                      <w:highlight w:val="none"/>
                      <w:lang w:val="en-US" w:eastAsia="zh-CN" w:bidi="ar"/>
                    </w:rPr>
                    <w:t>9</w:t>
                  </w:r>
                </w:p>
              </w:tc>
              <w:tc>
                <w:tcPr>
                  <w:tcW w:w="546" w:type="pct"/>
                  <w:noWrap w:val="0"/>
                  <w:vAlign w:val="center"/>
                </w:tcPr>
                <w:p w14:paraId="50DC470F">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20</w:t>
                  </w:r>
                </w:p>
              </w:tc>
              <w:tc>
                <w:tcPr>
                  <w:tcW w:w="523" w:type="pct"/>
                  <w:noWrap w:val="0"/>
                  <w:vAlign w:val="center"/>
                </w:tcPr>
                <w:p w14:paraId="59F26449">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eastAsia" w:ascii="Times New Roman" w:hAnsi="Times New Roman" w:eastAsia="宋体" w:cs="Times New Roman"/>
                      <w:color w:val="auto"/>
                      <w:kern w:val="0"/>
                      <w:szCs w:val="21"/>
                      <w:highlight w:val="none"/>
                      <w:lang w:val="en-US" w:eastAsia="zh-CN" w:bidi="ar"/>
                    </w:rPr>
                    <w:t>3</w:t>
                  </w:r>
                </w:p>
              </w:tc>
              <w:tc>
                <w:tcPr>
                  <w:tcW w:w="521" w:type="pct"/>
                  <w:noWrap w:val="0"/>
                  <w:vAlign w:val="center"/>
                </w:tcPr>
                <w:p w14:paraId="1FC1AB3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10</w:t>
                  </w:r>
                </w:p>
              </w:tc>
              <w:tc>
                <w:tcPr>
                  <w:tcW w:w="521" w:type="pct"/>
                  <w:noWrap w:val="0"/>
                  <w:vAlign w:val="center"/>
                </w:tcPr>
                <w:p w14:paraId="1564C86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5</w:t>
                  </w:r>
                </w:p>
              </w:tc>
            </w:tr>
            <w:tr w14:paraId="34FA0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06" w:type="pct"/>
                  <w:vMerge w:val="restart"/>
                  <w:noWrap w:val="0"/>
                  <w:vAlign w:val="center"/>
                </w:tcPr>
                <w:p w14:paraId="260833FD">
                  <w:pPr>
                    <w:jc w:val="center"/>
                    <w:rPr>
                      <w:color w:val="auto"/>
                      <w:szCs w:val="21"/>
                      <w:highlight w:val="none"/>
                    </w:rPr>
                  </w:pPr>
                  <w:r>
                    <w:rPr>
                      <w:color w:val="auto"/>
                      <w:szCs w:val="21"/>
                      <w:highlight w:val="none"/>
                    </w:rPr>
                    <w:t>排放情况</w:t>
                  </w:r>
                </w:p>
              </w:tc>
              <w:tc>
                <w:tcPr>
                  <w:tcW w:w="988" w:type="pct"/>
                  <w:noWrap w:val="0"/>
                  <w:vAlign w:val="center"/>
                </w:tcPr>
                <w:p w14:paraId="20F569C6">
                  <w:pPr>
                    <w:jc w:val="center"/>
                    <w:rPr>
                      <w:color w:val="auto"/>
                      <w:szCs w:val="21"/>
                      <w:highlight w:val="none"/>
                    </w:rPr>
                  </w:pPr>
                  <w:r>
                    <w:rPr>
                      <w:color w:val="auto"/>
                      <w:szCs w:val="21"/>
                      <w:highlight w:val="none"/>
                    </w:rPr>
                    <w:t>排放浓度（mg/L）</w:t>
                  </w:r>
                </w:p>
              </w:tc>
              <w:tc>
                <w:tcPr>
                  <w:tcW w:w="847" w:type="pct"/>
                  <w:noWrap w:val="0"/>
                  <w:vAlign w:val="center"/>
                </w:tcPr>
                <w:p w14:paraId="27D9414C">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val="en-US" w:eastAsia="zh-CN" w:bidi="ar"/>
                    </w:rPr>
                    <w:t>98</w:t>
                  </w:r>
                </w:p>
              </w:tc>
              <w:tc>
                <w:tcPr>
                  <w:tcW w:w="544" w:type="pct"/>
                  <w:noWrap w:val="0"/>
                  <w:vAlign w:val="center"/>
                </w:tcPr>
                <w:p w14:paraId="75353275">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200</w:t>
                  </w:r>
                </w:p>
              </w:tc>
              <w:tc>
                <w:tcPr>
                  <w:tcW w:w="546" w:type="pct"/>
                  <w:noWrap w:val="0"/>
                  <w:vAlign w:val="center"/>
                </w:tcPr>
                <w:p w14:paraId="29EBD50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240</w:t>
                  </w:r>
                </w:p>
              </w:tc>
              <w:tc>
                <w:tcPr>
                  <w:tcW w:w="523" w:type="pct"/>
                  <w:noWrap w:val="0"/>
                  <w:vAlign w:val="center"/>
                </w:tcPr>
                <w:p w14:paraId="06534AC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ascii="Times New Roman" w:hAnsi="Times New Roman" w:eastAsia="宋体" w:cs="Times New Roman"/>
                      <w:color w:val="auto"/>
                      <w:kern w:val="0"/>
                      <w:szCs w:val="21"/>
                      <w:highlight w:val="none"/>
                      <w:lang w:bidi="ar"/>
                    </w:rPr>
                    <w:t>3</w:t>
                  </w:r>
                  <w:r>
                    <w:rPr>
                      <w:rFonts w:hint="eastAsia" w:ascii="Times New Roman" w:hAnsi="Times New Roman" w:eastAsia="宋体" w:cs="Times New Roman"/>
                      <w:color w:val="auto"/>
                      <w:kern w:val="0"/>
                      <w:szCs w:val="21"/>
                      <w:highlight w:val="none"/>
                      <w:lang w:val="en-US" w:eastAsia="zh-CN" w:bidi="ar"/>
                    </w:rPr>
                    <w:t>5</w:t>
                  </w:r>
                </w:p>
              </w:tc>
              <w:tc>
                <w:tcPr>
                  <w:tcW w:w="521" w:type="pct"/>
                  <w:noWrap w:val="0"/>
                  <w:vAlign w:val="center"/>
                </w:tcPr>
                <w:p w14:paraId="20D5F0C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45</w:t>
                  </w:r>
                </w:p>
              </w:tc>
              <w:tc>
                <w:tcPr>
                  <w:tcW w:w="521" w:type="pct"/>
                  <w:noWrap w:val="0"/>
                  <w:vAlign w:val="center"/>
                </w:tcPr>
                <w:p w14:paraId="113D9973">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5</w:t>
                  </w:r>
                </w:p>
              </w:tc>
            </w:tr>
            <w:tr w14:paraId="011E3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06" w:type="pct"/>
                  <w:vMerge w:val="continue"/>
                  <w:noWrap w:val="0"/>
                  <w:vAlign w:val="center"/>
                </w:tcPr>
                <w:p w14:paraId="5832400C">
                  <w:pPr>
                    <w:jc w:val="center"/>
                    <w:rPr>
                      <w:color w:val="auto"/>
                      <w:szCs w:val="21"/>
                      <w:highlight w:val="none"/>
                    </w:rPr>
                  </w:pPr>
                </w:p>
              </w:tc>
              <w:tc>
                <w:tcPr>
                  <w:tcW w:w="988" w:type="pct"/>
                  <w:noWrap w:val="0"/>
                  <w:vAlign w:val="center"/>
                </w:tcPr>
                <w:p w14:paraId="1912CA08">
                  <w:pPr>
                    <w:jc w:val="center"/>
                    <w:rPr>
                      <w:color w:val="auto"/>
                      <w:szCs w:val="21"/>
                      <w:highlight w:val="none"/>
                    </w:rPr>
                  </w:pPr>
                  <w:r>
                    <w:rPr>
                      <w:color w:val="auto"/>
                      <w:szCs w:val="21"/>
                      <w:highlight w:val="none"/>
                    </w:rPr>
                    <w:t>排放量（t/a）</w:t>
                  </w:r>
                </w:p>
              </w:tc>
              <w:tc>
                <w:tcPr>
                  <w:tcW w:w="847" w:type="pct"/>
                  <w:noWrap w:val="0"/>
                  <w:vAlign w:val="center"/>
                </w:tcPr>
                <w:p w14:paraId="60727829">
                  <w:pPr>
                    <w:widowControl/>
                    <w:jc w:val="center"/>
                    <w:textAlignment w:val="center"/>
                    <w:rPr>
                      <w:rFonts w:hint="default" w:eastAsia="宋体"/>
                      <w:color w:val="auto"/>
                      <w:szCs w:val="21"/>
                      <w:highlight w:val="none"/>
                      <w:lang w:val="en-US" w:eastAsia="zh-CN"/>
                    </w:rPr>
                  </w:pPr>
                  <w:r>
                    <w:rPr>
                      <w:rFonts w:hint="eastAsia" w:eastAsia="宋体"/>
                      <w:color w:val="auto"/>
                      <w:kern w:val="0"/>
                      <w:szCs w:val="21"/>
                      <w:highlight w:val="none"/>
                      <w:lang w:eastAsia="zh-CN" w:bidi="ar"/>
                    </w:rPr>
                    <w:t>0.0</w:t>
                  </w:r>
                  <w:r>
                    <w:rPr>
                      <w:rFonts w:hint="eastAsia"/>
                      <w:color w:val="auto"/>
                      <w:kern w:val="0"/>
                      <w:szCs w:val="21"/>
                      <w:highlight w:val="none"/>
                      <w:lang w:val="en-US" w:eastAsia="zh-CN" w:bidi="ar"/>
                    </w:rPr>
                    <w:t>89</w:t>
                  </w:r>
                </w:p>
              </w:tc>
              <w:tc>
                <w:tcPr>
                  <w:tcW w:w="544" w:type="pct"/>
                  <w:noWrap w:val="0"/>
                  <w:vAlign w:val="center"/>
                </w:tcPr>
                <w:p w14:paraId="01D777D3">
                  <w:pPr>
                    <w:widowControl/>
                    <w:jc w:val="center"/>
                    <w:textAlignment w:val="center"/>
                    <w:rPr>
                      <w:rFonts w:hint="default" w:eastAsia="宋体"/>
                      <w:color w:val="auto"/>
                      <w:szCs w:val="21"/>
                      <w:highlight w:val="none"/>
                      <w:lang w:val="en-US" w:eastAsia="zh-CN"/>
                    </w:rPr>
                  </w:pPr>
                  <w:r>
                    <w:rPr>
                      <w:rFonts w:hint="eastAsia" w:eastAsia="宋体"/>
                      <w:color w:val="auto"/>
                      <w:kern w:val="0"/>
                      <w:szCs w:val="21"/>
                      <w:highlight w:val="none"/>
                      <w:lang w:eastAsia="zh-CN" w:bidi="ar"/>
                    </w:rPr>
                    <w:t>0.0</w:t>
                  </w:r>
                  <w:r>
                    <w:rPr>
                      <w:rFonts w:hint="eastAsia"/>
                      <w:color w:val="auto"/>
                      <w:kern w:val="0"/>
                      <w:szCs w:val="21"/>
                      <w:highlight w:val="none"/>
                      <w:lang w:val="en-US" w:eastAsia="zh-CN" w:bidi="ar"/>
                    </w:rPr>
                    <w:t>6</w:t>
                  </w:r>
                </w:p>
              </w:tc>
              <w:tc>
                <w:tcPr>
                  <w:tcW w:w="546" w:type="pct"/>
                  <w:noWrap w:val="0"/>
                  <w:vAlign w:val="center"/>
                </w:tcPr>
                <w:p w14:paraId="3125F00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eastAsia="zh-CN" w:bidi="ar"/>
                    </w:rPr>
                    <w:t>0.0</w:t>
                  </w:r>
                  <w:r>
                    <w:rPr>
                      <w:rFonts w:hint="eastAsia" w:cs="Times New Roman"/>
                      <w:color w:val="auto"/>
                      <w:kern w:val="0"/>
                      <w:szCs w:val="21"/>
                      <w:highlight w:val="none"/>
                      <w:lang w:val="en-US" w:eastAsia="zh-CN" w:bidi="ar"/>
                    </w:rPr>
                    <w:t>72</w:t>
                  </w:r>
                </w:p>
              </w:tc>
              <w:tc>
                <w:tcPr>
                  <w:tcW w:w="523" w:type="pct"/>
                  <w:noWrap w:val="0"/>
                  <w:vAlign w:val="center"/>
                </w:tcPr>
                <w:p w14:paraId="2BAA8CA5">
                  <w:pPr>
                    <w:widowControl/>
                    <w:jc w:val="center"/>
                    <w:textAlignment w:val="center"/>
                    <w:rPr>
                      <w:rFonts w:hint="default" w:eastAsia="宋体"/>
                      <w:color w:val="auto"/>
                      <w:kern w:val="2"/>
                      <w:sz w:val="21"/>
                      <w:szCs w:val="21"/>
                      <w:highlight w:val="none"/>
                      <w:lang w:val="en-US" w:eastAsia="zh-CN" w:bidi="ar-SA"/>
                    </w:rPr>
                  </w:pPr>
                  <w:r>
                    <w:rPr>
                      <w:color w:val="auto"/>
                      <w:kern w:val="0"/>
                      <w:szCs w:val="21"/>
                      <w:highlight w:val="none"/>
                      <w:lang w:bidi="ar"/>
                    </w:rPr>
                    <w:t>0.0</w:t>
                  </w:r>
                  <w:r>
                    <w:rPr>
                      <w:rFonts w:hint="eastAsia"/>
                      <w:color w:val="auto"/>
                      <w:kern w:val="0"/>
                      <w:szCs w:val="21"/>
                      <w:highlight w:val="none"/>
                      <w:lang w:val="en-US" w:eastAsia="zh-CN" w:bidi="ar"/>
                    </w:rPr>
                    <w:t>105</w:t>
                  </w:r>
                </w:p>
              </w:tc>
              <w:tc>
                <w:tcPr>
                  <w:tcW w:w="521" w:type="pct"/>
                  <w:noWrap w:val="0"/>
                  <w:vAlign w:val="center"/>
                </w:tcPr>
                <w:p w14:paraId="4C357BC6">
                  <w:pPr>
                    <w:widowControl/>
                    <w:jc w:val="center"/>
                    <w:textAlignment w:val="center"/>
                    <w:rPr>
                      <w:rFonts w:hint="default" w:eastAsia="宋体"/>
                      <w:color w:val="auto"/>
                      <w:kern w:val="0"/>
                      <w:sz w:val="21"/>
                      <w:szCs w:val="21"/>
                      <w:highlight w:val="none"/>
                      <w:lang w:val="en-US" w:eastAsia="zh-CN" w:bidi="ar"/>
                    </w:rPr>
                  </w:pPr>
                  <w:r>
                    <w:rPr>
                      <w:rFonts w:hint="eastAsia"/>
                      <w:color w:val="auto"/>
                      <w:kern w:val="0"/>
                      <w:szCs w:val="21"/>
                      <w:highlight w:val="none"/>
                      <w:lang w:val="en-US" w:eastAsia="zh-CN" w:bidi="ar"/>
                    </w:rPr>
                    <w:t>0.0135</w:t>
                  </w:r>
                </w:p>
              </w:tc>
              <w:tc>
                <w:tcPr>
                  <w:tcW w:w="521" w:type="pct"/>
                  <w:noWrap w:val="0"/>
                  <w:vAlign w:val="center"/>
                </w:tcPr>
                <w:p w14:paraId="3430A9C5">
                  <w:pPr>
                    <w:widowControl/>
                    <w:jc w:val="center"/>
                    <w:textAlignment w:val="center"/>
                    <w:rPr>
                      <w:rFonts w:hint="default" w:eastAsia="宋体"/>
                      <w:color w:val="auto"/>
                      <w:kern w:val="0"/>
                      <w:sz w:val="21"/>
                      <w:szCs w:val="21"/>
                      <w:highlight w:val="none"/>
                      <w:lang w:val="en-US" w:eastAsia="zh-CN" w:bidi="ar"/>
                    </w:rPr>
                  </w:pPr>
                  <w:r>
                    <w:rPr>
                      <w:rFonts w:hint="eastAsia"/>
                      <w:color w:val="auto"/>
                      <w:kern w:val="0"/>
                      <w:szCs w:val="21"/>
                      <w:highlight w:val="none"/>
                      <w:lang w:val="en-US" w:eastAsia="zh-CN" w:bidi="ar"/>
                    </w:rPr>
                    <w:t>0.0015</w:t>
                  </w:r>
                </w:p>
              </w:tc>
            </w:tr>
            <w:tr w14:paraId="183D0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06" w:type="pct"/>
                  <w:vMerge w:val="continue"/>
                  <w:noWrap w:val="0"/>
                  <w:vAlign w:val="center"/>
                </w:tcPr>
                <w:p w14:paraId="353C5D95">
                  <w:pPr>
                    <w:jc w:val="center"/>
                    <w:rPr>
                      <w:color w:val="auto"/>
                      <w:szCs w:val="21"/>
                      <w:highlight w:val="none"/>
                    </w:rPr>
                  </w:pPr>
                </w:p>
              </w:tc>
              <w:tc>
                <w:tcPr>
                  <w:tcW w:w="988" w:type="pct"/>
                  <w:noWrap w:val="0"/>
                  <w:vAlign w:val="center"/>
                </w:tcPr>
                <w:p w14:paraId="2F3B7CA1">
                  <w:pPr>
                    <w:jc w:val="center"/>
                    <w:rPr>
                      <w:color w:val="auto"/>
                      <w:szCs w:val="21"/>
                      <w:highlight w:val="none"/>
                    </w:rPr>
                  </w:pPr>
                  <w:r>
                    <w:rPr>
                      <w:rFonts w:hint="eastAsia"/>
                      <w:color w:val="auto"/>
                      <w:szCs w:val="21"/>
                      <w:highlight w:val="none"/>
                    </w:rPr>
                    <w:t>排放方式</w:t>
                  </w:r>
                </w:p>
              </w:tc>
              <w:tc>
                <w:tcPr>
                  <w:tcW w:w="3504" w:type="pct"/>
                  <w:gridSpan w:val="6"/>
                  <w:noWrap w:val="0"/>
                  <w:vAlign w:val="center"/>
                </w:tcPr>
                <w:p w14:paraId="021B3F28">
                  <w:pPr>
                    <w:jc w:val="center"/>
                    <w:rPr>
                      <w:rFonts w:hint="eastAsia"/>
                      <w:color w:val="auto"/>
                      <w:szCs w:val="21"/>
                      <w:highlight w:val="none"/>
                    </w:rPr>
                  </w:pPr>
                  <w:r>
                    <w:rPr>
                      <w:rFonts w:hint="eastAsia"/>
                      <w:color w:val="auto"/>
                      <w:szCs w:val="21"/>
                      <w:highlight w:val="none"/>
                    </w:rPr>
                    <w:t>间接排放</w:t>
                  </w:r>
                </w:p>
              </w:tc>
            </w:tr>
            <w:tr w14:paraId="1A08C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5" w:type="pct"/>
                  <w:gridSpan w:val="2"/>
                  <w:noWrap w:val="0"/>
                  <w:vAlign w:val="center"/>
                </w:tcPr>
                <w:p w14:paraId="646F88AA">
                  <w:pPr>
                    <w:jc w:val="center"/>
                    <w:rPr>
                      <w:rFonts w:hint="eastAsia"/>
                      <w:color w:val="auto"/>
                      <w:szCs w:val="21"/>
                      <w:highlight w:val="none"/>
                    </w:rPr>
                  </w:pPr>
                  <w:r>
                    <w:rPr>
                      <w:rFonts w:hint="eastAsia"/>
                      <w:color w:val="auto"/>
                      <w:szCs w:val="21"/>
                      <w:highlight w:val="none"/>
                    </w:rPr>
                    <w:t>标准限值</w:t>
                  </w:r>
                  <w:r>
                    <w:rPr>
                      <w:color w:val="auto"/>
                      <w:szCs w:val="21"/>
                      <w:highlight w:val="none"/>
                    </w:rPr>
                    <w:t>（mg/L）</w:t>
                  </w:r>
                </w:p>
              </w:tc>
              <w:tc>
                <w:tcPr>
                  <w:tcW w:w="847" w:type="pct"/>
                  <w:shd w:val="clear" w:color="auto" w:fill="auto"/>
                  <w:noWrap w:val="0"/>
                  <w:vAlign w:val="center"/>
                </w:tcPr>
                <w:p w14:paraId="0C4FBC50">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500</w:t>
                  </w:r>
                </w:p>
              </w:tc>
              <w:tc>
                <w:tcPr>
                  <w:tcW w:w="544" w:type="pct"/>
                  <w:shd w:val="clear" w:color="auto" w:fill="auto"/>
                  <w:noWrap w:val="0"/>
                  <w:vAlign w:val="center"/>
                </w:tcPr>
                <w:p w14:paraId="3CA64EFC">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300</w:t>
                  </w:r>
                </w:p>
              </w:tc>
              <w:tc>
                <w:tcPr>
                  <w:tcW w:w="546" w:type="pct"/>
                  <w:shd w:val="clear" w:color="auto" w:fill="auto"/>
                  <w:noWrap w:val="0"/>
                  <w:vAlign w:val="center"/>
                </w:tcPr>
                <w:p w14:paraId="5E75AACA">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400</w:t>
                  </w:r>
                </w:p>
              </w:tc>
              <w:tc>
                <w:tcPr>
                  <w:tcW w:w="523" w:type="pct"/>
                  <w:shd w:val="clear" w:color="auto" w:fill="auto"/>
                  <w:noWrap w:val="0"/>
                  <w:vAlign w:val="center"/>
                </w:tcPr>
                <w:p w14:paraId="269CBF05">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45</w:t>
                  </w:r>
                </w:p>
              </w:tc>
              <w:tc>
                <w:tcPr>
                  <w:tcW w:w="521" w:type="pct"/>
                  <w:shd w:val="clear" w:color="auto" w:fill="auto"/>
                  <w:noWrap w:val="0"/>
                  <w:vAlign w:val="center"/>
                </w:tcPr>
                <w:p w14:paraId="4EA34416">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70</w:t>
                  </w:r>
                </w:p>
              </w:tc>
              <w:tc>
                <w:tcPr>
                  <w:tcW w:w="521" w:type="pct"/>
                  <w:shd w:val="clear" w:color="auto" w:fill="auto"/>
                  <w:noWrap w:val="0"/>
                  <w:vAlign w:val="center"/>
                </w:tcPr>
                <w:p w14:paraId="7B452D4F">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8</w:t>
                  </w:r>
                </w:p>
              </w:tc>
            </w:tr>
            <w:tr w14:paraId="1C6744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5" w:type="pct"/>
                  <w:gridSpan w:val="2"/>
                  <w:noWrap w:val="0"/>
                  <w:vAlign w:val="center"/>
                </w:tcPr>
                <w:p w14:paraId="02B7BA91">
                  <w:pPr>
                    <w:jc w:val="center"/>
                    <w:rPr>
                      <w:rFonts w:hint="eastAsia"/>
                      <w:color w:val="auto"/>
                      <w:szCs w:val="21"/>
                      <w:highlight w:val="none"/>
                    </w:rPr>
                  </w:pPr>
                  <w:r>
                    <w:rPr>
                      <w:color w:val="auto"/>
                      <w:szCs w:val="21"/>
                      <w:highlight w:val="none"/>
                    </w:rPr>
                    <w:t>达标情况</w:t>
                  </w:r>
                </w:p>
              </w:tc>
              <w:tc>
                <w:tcPr>
                  <w:tcW w:w="847" w:type="pct"/>
                  <w:shd w:val="clear" w:color="auto" w:fill="auto"/>
                  <w:noWrap w:val="0"/>
                  <w:vAlign w:val="center"/>
                </w:tcPr>
                <w:p w14:paraId="427FF380">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544" w:type="pct"/>
                  <w:shd w:val="clear" w:color="auto" w:fill="auto"/>
                  <w:noWrap w:val="0"/>
                  <w:vAlign w:val="center"/>
                </w:tcPr>
                <w:p w14:paraId="4BF18707">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546" w:type="pct"/>
                  <w:shd w:val="clear" w:color="auto" w:fill="auto"/>
                  <w:noWrap w:val="0"/>
                  <w:vAlign w:val="center"/>
                </w:tcPr>
                <w:p w14:paraId="02F3E95C">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523" w:type="pct"/>
                  <w:shd w:val="clear" w:color="auto" w:fill="auto"/>
                  <w:noWrap w:val="0"/>
                  <w:vAlign w:val="center"/>
                </w:tcPr>
                <w:p w14:paraId="7C57D7A3">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521" w:type="pct"/>
                  <w:shd w:val="clear" w:color="auto" w:fill="auto"/>
                  <w:noWrap w:val="0"/>
                  <w:vAlign w:val="center"/>
                </w:tcPr>
                <w:p w14:paraId="469EA3F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达标</w:t>
                  </w:r>
                </w:p>
              </w:tc>
              <w:tc>
                <w:tcPr>
                  <w:tcW w:w="521" w:type="pct"/>
                  <w:shd w:val="clear" w:color="auto" w:fill="auto"/>
                  <w:noWrap w:val="0"/>
                  <w:vAlign w:val="center"/>
                </w:tcPr>
                <w:p w14:paraId="676635E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达标</w:t>
                  </w:r>
                </w:p>
              </w:tc>
            </w:tr>
            <w:tr w14:paraId="4C65F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495" w:type="pct"/>
                  <w:gridSpan w:val="2"/>
                  <w:noWrap w:val="0"/>
                  <w:vAlign w:val="center"/>
                </w:tcPr>
                <w:p w14:paraId="13C5E063">
                  <w:pPr>
                    <w:jc w:val="center"/>
                    <w:rPr>
                      <w:rFonts w:hint="eastAsia"/>
                      <w:color w:val="auto"/>
                      <w:szCs w:val="21"/>
                      <w:highlight w:val="none"/>
                    </w:rPr>
                  </w:pPr>
                  <w:r>
                    <w:rPr>
                      <w:rFonts w:hint="eastAsia"/>
                      <w:color w:val="auto"/>
                      <w:szCs w:val="21"/>
                      <w:highlight w:val="none"/>
                      <w:lang w:val="en-US" w:eastAsia="zh-CN"/>
                    </w:rPr>
                    <w:t>排放标准</w:t>
                  </w:r>
                </w:p>
              </w:tc>
              <w:tc>
                <w:tcPr>
                  <w:tcW w:w="3504" w:type="pct"/>
                  <w:gridSpan w:val="6"/>
                  <w:noWrap w:val="0"/>
                  <w:vAlign w:val="center"/>
                </w:tcPr>
                <w:p w14:paraId="057ECBC1">
                  <w:pPr>
                    <w:jc w:val="center"/>
                    <w:rPr>
                      <w:rFonts w:hint="eastAsia"/>
                      <w:color w:val="auto"/>
                      <w:szCs w:val="21"/>
                      <w:highlight w:val="none"/>
                    </w:rPr>
                  </w:pPr>
                  <w:r>
                    <w:rPr>
                      <w:color w:val="auto"/>
                      <w:sz w:val="21"/>
                      <w:szCs w:val="21"/>
                    </w:rPr>
                    <w:t>《污水综合排放标准》（GB8978-1996）三级标准及《污水排入城镇下水道水质标准》（GB/T 31962-2015）B级标准</w:t>
                  </w:r>
                </w:p>
              </w:tc>
            </w:tr>
          </w:tbl>
          <w:p w14:paraId="5EACFB56">
            <w:pPr>
              <w:pStyle w:val="6"/>
              <w:keepNext w:val="0"/>
              <w:keepLines w:val="0"/>
              <w:pageBreakBefore w:val="0"/>
              <w:widowControl w:val="0"/>
              <w:kinsoku/>
              <w:wordWrap/>
              <w:overflowPunct/>
              <w:topLinePunct w:val="0"/>
              <w:autoSpaceDE/>
              <w:autoSpaceDN/>
              <w:bidi w:val="0"/>
              <w:adjustRightInd/>
              <w:spacing w:before="120" w:beforeLines="50" w:line="360" w:lineRule="auto"/>
              <w:ind w:firstLine="480" w:firstLineChars="200"/>
              <w:textAlignment w:val="auto"/>
              <w:rPr>
                <w:rFonts w:hint="eastAsia"/>
                <w:color w:val="auto"/>
                <w:szCs w:val="24"/>
              </w:rPr>
            </w:pPr>
            <w:r>
              <w:rPr>
                <w:rFonts w:hint="eastAsia"/>
                <w:color w:val="auto"/>
                <w:szCs w:val="24"/>
              </w:rPr>
              <w:t>（</w:t>
            </w:r>
            <w:r>
              <w:rPr>
                <w:rFonts w:hint="eastAsia"/>
                <w:color w:val="auto"/>
                <w:szCs w:val="24"/>
                <w:lang w:val="en-US" w:eastAsia="zh-CN"/>
              </w:rPr>
              <w:t>2</w:t>
            </w:r>
            <w:r>
              <w:rPr>
                <w:rFonts w:hint="eastAsia"/>
                <w:color w:val="auto"/>
                <w:szCs w:val="24"/>
                <w:lang w:eastAsia="zh-CN"/>
              </w:rPr>
              <w:t>）</w:t>
            </w:r>
            <w:r>
              <w:rPr>
                <w:rFonts w:hint="eastAsia"/>
                <w:color w:val="auto"/>
                <w:szCs w:val="24"/>
                <w:lang w:val="en-US" w:eastAsia="zh-CN"/>
              </w:rPr>
              <w:t>化粪池依托</w:t>
            </w:r>
            <w:r>
              <w:rPr>
                <w:rFonts w:hint="eastAsia"/>
                <w:color w:val="auto"/>
                <w:szCs w:val="24"/>
              </w:rPr>
              <w:t>可行性分析</w:t>
            </w:r>
          </w:p>
          <w:p w14:paraId="009DD9F3">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t>根据《排污许可证申请与核发技术规范 总则》（HJ942—2018），生活污水治理可行技术为“隔油池、化粪池、调节池、厌氧-好氧、兼性-好氧、好氧生物处理”。本项目不设置食堂，生活污水中无动植物油产生，无须设置隔油池，项目采用化粪池处理生活污水，属于可行技术。</w:t>
            </w:r>
          </w:p>
          <w:p w14:paraId="30F7AB56">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lang w:val="en-US" w:eastAsia="zh-CN"/>
              </w:rPr>
              <w:t>本项目</w:t>
            </w:r>
            <w:r>
              <w:rPr>
                <w:rFonts w:hint="eastAsia"/>
                <w:color w:val="auto"/>
              </w:rPr>
              <w:t>生活污水依托</w:t>
            </w:r>
            <w:r>
              <w:rPr>
                <w:rFonts w:hint="eastAsia"/>
                <w:color w:val="auto"/>
                <w:lang w:val="en-US" w:eastAsia="zh-CN"/>
              </w:rPr>
              <w:t>租赁厂区</w:t>
            </w:r>
            <w:r>
              <w:rPr>
                <w:color w:val="auto"/>
              </w:rPr>
              <w:t>化粪池</w:t>
            </w:r>
            <w:r>
              <w:rPr>
                <w:rFonts w:hint="eastAsia"/>
                <w:color w:val="auto"/>
              </w:rPr>
              <w:t>（化粪池位于</w:t>
            </w:r>
            <w:r>
              <w:rPr>
                <w:rFonts w:hint="eastAsia"/>
                <w:color w:val="auto"/>
                <w:lang w:val="en-US" w:eastAsia="zh-CN"/>
              </w:rPr>
              <w:t>租赁厂房北侧</w:t>
            </w:r>
            <w:r>
              <w:rPr>
                <w:rFonts w:hint="eastAsia"/>
                <w:color w:val="auto"/>
              </w:rPr>
              <w:t>）处理</w:t>
            </w:r>
            <w:r>
              <w:rPr>
                <w:color w:val="auto"/>
              </w:rPr>
              <w:t>，</w:t>
            </w:r>
            <w:r>
              <w:rPr>
                <w:rFonts w:hint="eastAsia"/>
                <w:color w:val="auto"/>
              </w:rPr>
              <w:t>化粪池目前余量约</w:t>
            </w:r>
            <w:r>
              <w:rPr>
                <w:rFonts w:hint="eastAsia"/>
                <w:color w:val="auto"/>
                <w:lang w:val="en-US" w:eastAsia="zh-CN"/>
              </w:rPr>
              <w:t>1</w:t>
            </w:r>
            <w:r>
              <w:rPr>
                <w:rFonts w:hint="eastAsia"/>
                <w:color w:val="auto"/>
              </w:rPr>
              <w:t>0m</w:t>
            </w:r>
            <w:r>
              <w:rPr>
                <w:rFonts w:hint="eastAsia"/>
                <w:color w:val="auto"/>
                <w:vertAlign w:val="superscript"/>
              </w:rPr>
              <w:t>3</w:t>
            </w:r>
            <w:r>
              <w:rPr>
                <w:rFonts w:hint="eastAsia"/>
                <w:color w:val="auto"/>
              </w:rPr>
              <w:t>/d，</w:t>
            </w:r>
            <w:r>
              <w:rPr>
                <w:color w:val="auto"/>
              </w:rPr>
              <w:t>本项目</w:t>
            </w:r>
            <w:r>
              <w:rPr>
                <w:rFonts w:hint="eastAsia"/>
                <w:color w:val="auto"/>
                <w:lang w:val="en-US" w:eastAsia="zh-CN"/>
              </w:rPr>
              <w:t>总</w:t>
            </w:r>
            <w:r>
              <w:rPr>
                <w:color w:val="auto"/>
              </w:rPr>
              <w:t>污水产生量为</w:t>
            </w:r>
            <w:r>
              <w:rPr>
                <w:rFonts w:hint="eastAsia"/>
                <w:color w:val="auto"/>
                <w:lang w:val="en-US" w:eastAsia="zh-CN"/>
              </w:rPr>
              <w:t>1.0</w:t>
            </w:r>
            <w:r>
              <w:rPr>
                <w:color w:val="auto"/>
              </w:rPr>
              <w:t>m</w:t>
            </w:r>
            <w:r>
              <w:rPr>
                <w:color w:val="auto"/>
                <w:vertAlign w:val="superscript"/>
              </w:rPr>
              <w:t>3</w:t>
            </w:r>
            <w:r>
              <w:rPr>
                <w:color w:val="auto"/>
              </w:rPr>
              <w:t>/d，</w:t>
            </w:r>
            <w:r>
              <w:rPr>
                <w:rFonts w:hint="eastAsia"/>
                <w:color w:val="auto"/>
                <w:szCs w:val="24"/>
              </w:rPr>
              <w:t>化粪池有足够的容量接纳本项目废水，因此本项目依托</w:t>
            </w:r>
            <w:r>
              <w:rPr>
                <w:rFonts w:hint="eastAsia"/>
                <w:color w:val="auto"/>
                <w:szCs w:val="24"/>
                <w:lang w:val="en-US" w:eastAsia="zh-CN"/>
              </w:rPr>
              <w:t>租赁厂区</w:t>
            </w:r>
            <w:r>
              <w:rPr>
                <w:rFonts w:hint="eastAsia"/>
                <w:color w:val="auto"/>
                <w:szCs w:val="24"/>
              </w:rPr>
              <w:t>化粪池可行。</w:t>
            </w:r>
          </w:p>
          <w:p w14:paraId="73F60C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污水处理厂依托可行性分析</w:t>
            </w:r>
          </w:p>
          <w:p w14:paraId="3808C3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sz w:val="24"/>
                <w:lang w:val="en-US" w:eastAsia="zh-CN"/>
              </w:rPr>
              <w:t>泾河新城第二污水处理厂位于正阳大道以东，火车南站规划路以南的相交地区。服务范围具体包括：泾河以北，规划东边界以西，茶马大道以东及规划北边界以南围合的范围，现状大部分为泾河新城永乐镇和崇文镇所在区域。总服务面积约34k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。污水处理厂采用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粗格栅及提升泵房+细格栅+沉砂池+MBBR复合工艺+超效沉淀池+次氯酸钠消毒</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工艺</w:t>
            </w:r>
            <w:r>
              <w:rPr>
                <w:rFonts w:hint="eastAsia" w:ascii="Times New Roman" w:hAnsi="Times New Roman" w:eastAsia="宋体" w:cs="Times New Roman"/>
                <w:color w:val="auto"/>
                <w:sz w:val="24"/>
                <w:lang w:val="en-US" w:eastAsia="zh-CN"/>
              </w:rPr>
              <w:t>处理后</w:t>
            </w:r>
            <w:r>
              <w:rPr>
                <w:rFonts w:hint="default" w:ascii="Times New Roman" w:hAnsi="Times New Roman" w:eastAsia="宋体" w:cs="Times New Roman"/>
                <w:color w:val="auto"/>
                <w:sz w:val="24"/>
                <w:lang w:val="en-US" w:eastAsia="zh-CN"/>
              </w:rPr>
              <w:t>，水质达到</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陕西省黄河流域污水综合排放标准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DB61/224-2018</w:t>
            </w:r>
            <w:r>
              <w:rPr>
                <w:rFonts w:hint="eastAsia" w:ascii="Times New Roman" w:hAnsi="Times New Roman" w:eastAsia="宋体" w:cs="Times New Roman"/>
                <w:color w:val="auto"/>
                <w:sz w:val="24"/>
                <w:lang w:val="en-US" w:eastAsia="zh-CN"/>
              </w:rPr>
              <w:t>）》A标准</w:t>
            </w:r>
            <w:r>
              <w:rPr>
                <w:rFonts w:hint="default"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本项目位于泾河新城第二污水处理厂的收水范围内，目前市政污水管网已铺设到位，项目污水经化粪池处理后水质满足排放标准要求，且项目污水排放量占污水处理厂设计处理水量份额较小，废水水质简单，废水可生化降解性较好，故依托泾河新城第二污水处理厂处理可行。</w:t>
            </w:r>
          </w:p>
          <w:p w14:paraId="32A11601">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Cs w:val="24"/>
              </w:rPr>
            </w:pPr>
            <w:r>
              <w:rPr>
                <w:rFonts w:hint="eastAsia"/>
                <w:color w:val="auto"/>
                <w:szCs w:val="24"/>
              </w:rPr>
              <w:t>（</w:t>
            </w:r>
            <w:r>
              <w:rPr>
                <w:rFonts w:hint="eastAsia"/>
                <w:color w:val="auto"/>
                <w:szCs w:val="24"/>
                <w:lang w:val="en-US" w:eastAsia="zh-CN"/>
              </w:rPr>
              <w:t>4</w:t>
            </w:r>
            <w:r>
              <w:rPr>
                <w:rFonts w:hint="eastAsia"/>
                <w:color w:val="auto"/>
                <w:szCs w:val="24"/>
              </w:rPr>
              <w:t>）自行监测要求</w:t>
            </w:r>
          </w:p>
          <w:p w14:paraId="013697DF">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根据</w:t>
            </w:r>
            <w:r>
              <w:rPr>
                <w:rFonts w:hint="eastAsia" w:ascii="Times New Roman" w:hAnsi="Times New Roman" w:eastAsia="宋体" w:cs="Times New Roman"/>
                <w:color w:val="auto"/>
              </w:rPr>
              <w:t>《排污单位自行监测技术指南 总则》（HJ</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819-2017）</w:t>
            </w:r>
            <w:r>
              <w:rPr>
                <w:rFonts w:hint="eastAsia" w:ascii="Times New Roman" w:hAnsi="Times New Roman" w:eastAsia="宋体" w:cs="Times New Roman"/>
                <w:color w:val="auto"/>
                <w:lang w:eastAsia="zh-CN"/>
              </w:rPr>
              <w:t>及</w:t>
            </w:r>
            <w:r>
              <w:rPr>
                <w:rFonts w:hint="eastAsia" w:ascii="Times New Roman" w:hAnsi="Times New Roman" w:eastAsia="宋体" w:cs="Times New Roman"/>
                <w:color w:val="auto"/>
              </w:rPr>
              <w:t xml:space="preserve">《排污单位自行监测技术指南 </w:t>
            </w:r>
            <w:r>
              <w:rPr>
                <w:rFonts w:hint="eastAsia" w:cs="Times New Roman"/>
                <w:color w:val="auto"/>
                <w:lang w:val="en-US" w:eastAsia="zh-CN"/>
              </w:rPr>
              <w:t>橡胶和塑料制品</w:t>
            </w:r>
            <w:r>
              <w:rPr>
                <w:rFonts w:hint="eastAsia" w:ascii="Times New Roman" w:hAnsi="Times New Roman" w:eastAsia="宋体" w:cs="Times New Roman"/>
                <w:color w:val="auto"/>
              </w:rPr>
              <w:t>》（HJ</w:t>
            </w:r>
            <w:r>
              <w:rPr>
                <w:rFonts w:hint="eastAsia" w:ascii="Times New Roman" w:hAnsi="Times New Roman" w:eastAsia="宋体" w:cs="Times New Roman"/>
                <w:color w:val="auto"/>
                <w:lang w:val="en-US" w:eastAsia="zh-CN"/>
              </w:rPr>
              <w:t xml:space="preserve"> 1</w:t>
            </w:r>
            <w:r>
              <w:rPr>
                <w:rFonts w:hint="eastAsia" w:cs="Times New Roman"/>
                <w:color w:val="auto"/>
                <w:lang w:val="en-US" w:eastAsia="zh-CN"/>
              </w:rPr>
              <w:t>207</w:t>
            </w: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w:t>
            </w:r>
            <w:r>
              <w:rPr>
                <w:rFonts w:hint="eastAsia"/>
                <w:color w:val="auto"/>
                <w:lang w:val="en-US" w:eastAsia="zh-CN"/>
              </w:rPr>
              <w:t>本项目无需对生活污水进行监测。</w:t>
            </w:r>
          </w:p>
          <w:p w14:paraId="238A6039">
            <w:pPr>
              <w:pStyle w:val="46"/>
              <w:rPr>
                <w:rFonts w:hint="eastAsia"/>
                <w:color w:val="auto"/>
                <w:sz w:val="21"/>
                <w:szCs w:val="21"/>
              </w:rPr>
            </w:pPr>
          </w:p>
          <w:p w14:paraId="6E74CB51">
            <w:pPr>
              <w:pStyle w:val="46"/>
              <w:rPr>
                <w:rFonts w:hint="eastAsia"/>
                <w:color w:val="auto"/>
                <w:sz w:val="21"/>
                <w:szCs w:val="21"/>
              </w:rPr>
            </w:pPr>
          </w:p>
          <w:p w14:paraId="0A480752">
            <w:pPr>
              <w:pStyle w:val="46"/>
              <w:rPr>
                <w:rFonts w:hint="eastAsia"/>
                <w:color w:val="auto"/>
                <w:sz w:val="21"/>
                <w:szCs w:val="21"/>
              </w:rPr>
            </w:pPr>
          </w:p>
          <w:p w14:paraId="55896687">
            <w:pPr>
              <w:pStyle w:val="46"/>
              <w:rPr>
                <w:rFonts w:hint="eastAsia"/>
                <w:color w:val="auto"/>
                <w:sz w:val="21"/>
                <w:szCs w:val="21"/>
              </w:rPr>
            </w:pPr>
          </w:p>
          <w:p w14:paraId="697AD324">
            <w:pPr>
              <w:pStyle w:val="46"/>
              <w:rPr>
                <w:rFonts w:hint="eastAsia"/>
                <w:color w:val="auto"/>
                <w:sz w:val="21"/>
                <w:szCs w:val="21"/>
              </w:rPr>
            </w:pPr>
          </w:p>
          <w:p w14:paraId="4B3DE935">
            <w:pPr>
              <w:pStyle w:val="6"/>
              <w:spacing w:line="360" w:lineRule="auto"/>
              <w:ind w:firstLine="0"/>
              <w:rPr>
                <w:rFonts w:hint="eastAsia"/>
                <w:color w:val="auto"/>
                <w:szCs w:val="24"/>
              </w:rPr>
            </w:pPr>
          </w:p>
        </w:tc>
      </w:tr>
    </w:tbl>
    <w:p w14:paraId="7EFEA911">
      <w:pPr>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50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167"/>
      </w:tblGrid>
      <w:tr w14:paraId="7DA5F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5" w:hRule="atLeast"/>
          <w:jc w:val="center"/>
        </w:trPr>
        <w:tc>
          <w:tcPr>
            <w:tcW w:w="746" w:type="dxa"/>
            <w:noWrap w:val="0"/>
            <w:tcMar>
              <w:left w:w="28" w:type="dxa"/>
              <w:right w:w="28" w:type="dxa"/>
            </w:tcMar>
            <w:vAlign w:val="center"/>
          </w:tcPr>
          <w:p w14:paraId="79D0B645">
            <w:pPr>
              <w:pStyle w:val="24"/>
              <w:adjustRightInd w:val="0"/>
              <w:snapToGrid w:val="0"/>
              <w:spacing w:before="0" w:beforeAutospacing="0" w:after="0" w:afterAutospacing="0"/>
              <w:jc w:val="center"/>
              <w:rPr>
                <w:rFonts w:ascii="Times New Roman" w:hAnsi="Times New Roman"/>
                <w:color w:val="auto"/>
                <w:kern w:val="2"/>
                <w:szCs w:val="24"/>
              </w:rPr>
            </w:pPr>
            <w:r>
              <w:rPr>
                <w:rFonts w:hint="eastAsia" w:cs="宋体"/>
                <w:bCs/>
                <w:color w:val="auto"/>
              </w:rPr>
              <w:t>运营期环境影响和保护措施</w:t>
            </w:r>
          </w:p>
        </w:tc>
        <w:tc>
          <w:tcPr>
            <w:tcW w:w="8162" w:type="dxa"/>
            <w:noWrap w:val="0"/>
            <w:vAlign w:val="center"/>
          </w:tcPr>
          <w:p w14:paraId="048D4157">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Cs w:val="24"/>
              </w:rPr>
            </w:pPr>
            <w:r>
              <w:rPr>
                <w:rFonts w:hint="eastAsia"/>
                <w:b/>
                <w:bCs/>
                <w:color w:val="auto"/>
                <w:szCs w:val="24"/>
              </w:rPr>
              <w:t>3、噪声</w:t>
            </w:r>
          </w:p>
          <w:p w14:paraId="631E3C3F">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Cs w:val="24"/>
              </w:rPr>
            </w:pPr>
            <w:r>
              <w:rPr>
                <w:rFonts w:hint="eastAsia"/>
                <w:color w:val="auto"/>
                <w:szCs w:val="24"/>
              </w:rPr>
              <w:t>（1）噪声源</w:t>
            </w:r>
          </w:p>
          <w:p w14:paraId="252CE598">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Cs w:val="24"/>
                <w:lang w:val="en-US" w:eastAsia="zh-CN"/>
              </w:rPr>
            </w:pPr>
            <w:r>
              <w:rPr>
                <w:rFonts w:hint="eastAsia"/>
                <w:color w:val="auto"/>
                <w:szCs w:val="24"/>
                <w:lang w:val="en-US" w:eastAsia="zh-CN"/>
              </w:rPr>
              <w:t>本项目噪声源主要为生产设备及环保设备，各声源声级值详见下表。</w:t>
            </w:r>
          </w:p>
          <w:p w14:paraId="370296EC">
            <w:pPr>
              <w:tabs>
                <w:tab w:val="left" w:pos="3870"/>
              </w:tabs>
              <w:jc w:val="center"/>
              <w:rPr>
                <w:rFonts w:hint="eastAsia"/>
                <w:b/>
                <w:color w:val="auto"/>
                <w:sz w:val="24"/>
              </w:rPr>
            </w:pPr>
            <w:r>
              <w:rPr>
                <w:b/>
                <w:color w:val="auto"/>
                <w:sz w:val="24"/>
              </w:rPr>
              <w:t>表</w:t>
            </w:r>
            <w:r>
              <w:rPr>
                <w:rFonts w:hint="eastAsia"/>
                <w:b/>
                <w:color w:val="auto"/>
                <w:sz w:val="24"/>
              </w:rPr>
              <w:t>4</w:t>
            </w:r>
            <w:r>
              <w:rPr>
                <w:rFonts w:hint="eastAsia"/>
                <w:b/>
                <w:color w:val="auto"/>
                <w:sz w:val="24"/>
                <w:lang w:val="en-US" w:eastAsia="zh-CN"/>
              </w:rPr>
              <w:t>-6</w:t>
            </w:r>
            <w:r>
              <w:rPr>
                <w:b/>
                <w:color w:val="auto"/>
                <w:sz w:val="24"/>
              </w:rPr>
              <w:t xml:space="preserve"> </w:t>
            </w:r>
            <w:r>
              <w:rPr>
                <w:rFonts w:hint="eastAsia"/>
                <w:b/>
                <w:color w:val="auto"/>
                <w:sz w:val="24"/>
              </w:rPr>
              <w:t xml:space="preserve"> </w:t>
            </w:r>
            <w:r>
              <w:rPr>
                <w:b/>
                <w:bCs/>
                <w:color w:val="auto"/>
                <w:sz w:val="24"/>
              </w:rPr>
              <w:t>项目运营期噪声源</w:t>
            </w:r>
            <w:r>
              <w:rPr>
                <w:rFonts w:hint="eastAsia"/>
                <w:b/>
                <w:bCs/>
                <w:color w:val="auto"/>
                <w:sz w:val="24"/>
              </w:rPr>
              <w:t>调查清单</w:t>
            </w:r>
            <w:r>
              <w:rPr>
                <w:rFonts w:hint="eastAsia"/>
                <w:b/>
                <w:color w:val="auto"/>
                <w:sz w:val="24"/>
              </w:rPr>
              <w:t>（室内声源）</w:t>
            </w:r>
          </w:p>
          <w:tbl>
            <w:tblPr>
              <w:tblStyle w:val="27"/>
              <w:tblW w:w="50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8"/>
              <w:gridCol w:w="406"/>
              <w:gridCol w:w="661"/>
              <w:gridCol w:w="770"/>
              <w:gridCol w:w="835"/>
              <w:gridCol w:w="679"/>
              <w:gridCol w:w="613"/>
              <w:gridCol w:w="517"/>
              <w:gridCol w:w="564"/>
              <w:gridCol w:w="504"/>
              <w:gridCol w:w="502"/>
              <w:gridCol w:w="410"/>
              <w:gridCol w:w="410"/>
              <w:gridCol w:w="410"/>
              <w:gridCol w:w="415"/>
              <w:gridCol w:w="645"/>
              <w:gridCol w:w="679"/>
              <w:gridCol w:w="470"/>
              <w:gridCol w:w="485"/>
              <w:gridCol w:w="459"/>
              <w:gridCol w:w="478"/>
              <w:gridCol w:w="587"/>
            </w:tblGrid>
            <w:tr w14:paraId="477E3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restart"/>
                  <w:noWrap w:val="0"/>
                  <w:vAlign w:val="center"/>
                </w:tcPr>
                <w:p w14:paraId="4AA35358">
                  <w:pPr>
                    <w:jc w:val="center"/>
                    <w:rPr>
                      <w:b/>
                      <w:bCs/>
                      <w:color w:val="auto"/>
                      <w:szCs w:val="21"/>
                    </w:rPr>
                  </w:pPr>
                  <w:r>
                    <w:rPr>
                      <w:b/>
                      <w:bCs/>
                      <w:color w:val="auto"/>
                      <w:szCs w:val="21"/>
                    </w:rPr>
                    <w:t>声源</w:t>
                  </w:r>
                  <w:r>
                    <w:rPr>
                      <w:rFonts w:hint="eastAsia"/>
                      <w:b/>
                      <w:bCs/>
                      <w:color w:val="auto"/>
                      <w:szCs w:val="21"/>
                    </w:rPr>
                    <w:t>名称</w:t>
                  </w:r>
                </w:p>
              </w:tc>
              <w:tc>
                <w:tcPr>
                  <w:tcW w:w="168" w:type="pct"/>
                  <w:vMerge w:val="restart"/>
                  <w:noWrap w:val="0"/>
                  <w:vAlign w:val="center"/>
                </w:tcPr>
                <w:p w14:paraId="1C82C4D2">
                  <w:pPr>
                    <w:adjustRightInd w:val="0"/>
                    <w:snapToGrid w:val="0"/>
                    <w:jc w:val="center"/>
                    <w:rPr>
                      <w:rFonts w:eastAsia="Times New Roman"/>
                      <w:b/>
                      <w:bCs/>
                      <w:color w:val="auto"/>
                      <w:szCs w:val="21"/>
                      <w:lang w:val="zh-CN" w:bidi="zh-CN"/>
                    </w:rPr>
                  </w:pPr>
                  <w:r>
                    <w:rPr>
                      <w:rFonts w:eastAsia="Times New Roman"/>
                      <w:b/>
                      <w:bCs/>
                      <w:color w:val="auto"/>
                      <w:szCs w:val="21"/>
                      <w:lang w:val="zh-CN" w:bidi="zh-CN"/>
                    </w:rPr>
                    <w:t>数量</w:t>
                  </w:r>
                </w:p>
              </w:tc>
              <w:tc>
                <w:tcPr>
                  <w:tcW w:w="273" w:type="pct"/>
                  <w:vMerge w:val="restart"/>
                  <w:noWrap w:val="0"/>
                  <w:vAlign w:val="center"/>
                </w:tcPr>
                <w:p w14:paraId="03CC36AE">
                  <w:pPr>
                    <w:jc w:val="center"/>
                    <w:rPr>
                      <w:b/>
                      <w:bCs/>
                      <w:color w:val="auto"/>
                      <w:szCs w:val="21"/>
                    </w:rPr>
                  </w:pPr>
                  <w:r>
                    <w:rPr>
                      <w:rFonts w:hint="eastAsia"/>
                      <w:b/>
                      <w:bCs/>
                      <w:color w:val="auto"/>
                      <w:szCs w:val="21"/>
                    </w:rPr>
                    <w:t>设备声源源强</w:t>
                  </w:r>
                  <w:r>
                    <w:rPr>
                      <w:b/>
                      <w:bCs/>
                      <w:color w:val="auto"/>
                      <w:szCs w:val="21"/>
                    </w:rPr>
                    <w:t>dB（A）</w:t>
                  </w:r>
                </w:p>
              </w:tc>
              <w:tc>
                <w:tcPr>
                  <w:tcW w:w="319" w:type="pct"/>
                  <w:vMerge w:val="restart"/>
                  <w:noWrap w:val="0"/>
                  <w:vAlign w:val="center"/>
                </w:tcPr>
                <w:p w14:paraId="09A12522">
                  <w:pPr>
                    <w:jc w:val="center"/>
                    <w:rPr>
                      <w:rFonts w:hint="eastAsia"/>
                      <w:b/>
                      <w:bCs/>
                      <w:color w:val="auto"/>
                      <w:szCs w:val="21"/>
                    </w:rPr>
                  </w:pPr>
                  <w:r>
                    <w:rPr>
                      <w:rFonts w:hint="eastAsia"/>
                      <w:b/>
                      <w:bCs/>
                      <w:color w:val="auto"/>
                      <w:szCs w:val="21"/>
                    </w:rPr>
                    <w:t>声源控制</w:t>
                  </w:r>
                  <w:r>
                    <w:rPr>
                      <w:b/>
                      <w:bCs/>
                      <w:color w:val="auto"/>
                      <w:szCs w:val="21"/>
                    </w:rPr>
                    <w:t>措施</w:t>
                  </w:r>
                </w:p>
              </w:tc>
              <w:tc>
                <w:tcPr>
                  <w:tcW w:w="881" w:type="pct"/>
                  <w:gridSpan w:val="3"/>
                  <w:noWrap w:val="0"/>
                  <w:vAlign w:val="center"/>
                </w:tcPr>
                <w:p w14:paraId="547291E6">
                  <w:pPr>
                    <w:jc w:val="center"/>
                    <w:rPr>
                      <w:rFonts w:hint="eastAsia"/>
                      <w:b/>
                      <w:bCs/>
                      <w:color w:val="auto"/>
                      <w:szCs w:val="21"/>
                    </w:rPr>
                  </w:pPr>
                  <w:r>
                    <w:rPr>
                      <w:rFonts w:hint="eastAsia"/>
                      <w:b/>
                      <w:bCs/>
                      <w:color w:val="auto"/>
                      <w:szCs w:val="21"/>
                    </w:rPr>
                    <w:t>空间相对位置/m</w:t>
                  </w:r>
                </w:p>
              </w:tc>
              <w:tc>
                <w:tcPr>
                  <w:tcW w:w="864" w:type="pct"/>
                  <w:gridSpan w:val="4"/>
                  <w:noWrap w:val="0"/>
                  <w:vAlign w:val="center"/>
                </w:tcPr>
                <w:p w14:paraId="4304F314">
                  <w:pPr>
                    <w:adjustRightInd w:val="0"/>
                    <w:snapToGrid w:val="0"/>
                    <w:jc w:val="center"/>
                    <w:rPr>
                      <w:rFonts w:eastAsia="Times New Roman"/>
                      <w:b/>
                      <w:bCs/>
                      <w:color w:val="auto"/>
                      <w:szCs w:val="21"/>
                      <w:lang w:bidi="zh-CN"/>
                    </w:rPr>
                  </w:pPr>
                  <w:r>
                    <w:rPr>
                      <w:rFonts w:hint="eastAsia" w:eastAsia="Times New Roman"/>
                      <w:b/>
                      <w:bCs/>
                      <w:color w:val="auto"/>
                      <w:szCs w:val="21"/>
                      <w:lang w:bidi="zh-CN"/>
                    </w:rPr>
                    <w:t>距室内边界距离/m</w:t>
                  </w:r>
                </w:p>
              </w:tc>
              <w:tc>
                <w:tcPr>
                  <w:tcW w:w="681" w:type="pct"/>
                  <w:gridSpan w:val="4"/>
                  <w:noWrap w:val="0"/>
                  <w:vAlign w:val="center"/>
                </w:tcPr>
                <w:p w14:paraId="398BE670">
                  <w:pPr>
                    <w:adjustRightInd w:val="0"/>
                    <w:snapToGrid w:val="0"/>
                    <w:jc w:val="center"/>
                    <w:rPr>
                      <w:rFonts w:hint="eastAsia" w:eastAsia="Times New Roman"/>
                      <w:b/>
                      <w:bCs/>
                      <w:color w:val="auto"/>
                      <w:szCs w:val="21"/>
                      <w:lang w:bidi="zh-CN"/>
                    </w:rPr>
                  </w:pPr>
                  <w:r>
                    <w:rPr>
                      <w:rFonts w:hint="eastAsia" w:eastAsia="Times New Roman"/>
                      <w:b/>
                      <w:bCs/>
                      <w:color w:val="auto"/>
                      <w:szCs w:val="21"/>
                      <w:lang w:bidi="zh-CN"/>
                    </w:rPr>
                    <w:t>室内边界声级/dB(A)</w:t>
                  </w:r>
                </w:p>
              </w:tc>
              <w:tc>
                <w:tcPr>
                  <w:tcW w:w="267" w:type="pct"/>
                  <w:vMerge w:val="restart"/>
                  <w:noWrap w:val="0"/>
                  <w:vAlign w:val="center"/>
                </w:tcPr>
                <w:p w14:paraId="728DADD1">
                  <w:pPr>
                    <w:adjustRightInd w:val="0"/>
                    <w:snapToGrid w:val="0"/>
                    <w:jc w:val="center"/>
                    <w:rPr>
                      <w:b/>
                      <w:bCs/>
                      <w:color w:val="auto"/>
                      <w:szCs w:val="21"/>
                      <w:lang w:val="zh-CN" w:bidi="zh-CN"/>
                    </w:rPr>
                  </w:pPr>
                  <w:r>
                    <w:rPr>
                      <w:rFonts w:eastAsia="Times New Roman"/>
                      <w:b/>
                      <w:bCs/>
                      <w:color w:val="auto"/>
                      <w:szCs w:val="21"/>
                      <w:lang w:bidi="zh-CN"/>
                    </w:rPr>
                    <w:t>运行时</w:t>
                  </w:r>
                  <w:r>
                    <w:rPr>
                      <w:rFonts w:hint="eastAsia" w:eastAsia="Times New Roman"/>
                      <w:b/>
                      <w:bCs/>
                      <w:color w:val="auto"/>
                      <w:szCs w:val="21"/>
                      <w:lang w:bidi="zh-CN"/>
                    </w:rPr>
                    <w:t>段</w:t>
                  </w:r>
                </w:p>
              </w:tc>
              <w:tc>
                <w:tcPr>
                  <w:tcW w:w="281" w:type="pct"/>
                  <w:vMerge w:val="restart"/>
                  <w:noWrap w:val="0"/>
                  <w:vAlign w:val="center"/>
                </w:tcPr>
                <w:p w14:paraId="7945C5AC">
                  <w:pPr>
                    <w:adjustRightInd w:val="0"/>
                    <w:snapToGrid w:val="0"/>
                    <w:jc w:val="center"/>
                    <w:rPr>
                      <w:rFonts w:eastAsia="Times New Roman"/>
                      <w:b/>
                      <w:bCs/>
                      <w:color w:val="auto"/>
                      <w:szCs w:val="21"/>
                      <w:lang w:bidi="zh-CN"/>
                    </w:rPr>
                  </w:pPr>
                  <w:r>
                    <w:rPr>
                      <w:b/>
                      <w:bCs/>
                      <w:color w:val="auto"/>
                      <w:szCs w:val="21"/>
                      <w:lang w:val="zh-CN" w:bidi="zh-CN"/>
                    </w:rPr>
                    <w:t>建筑物插入损失/dB(A)</w:t>
                  </w:r>
                </w:p>
              </w:tc>
              <w:tc>
                <w:tcPr>
                  <w:tcW w:w="1027" w:type="pct"/>
                  <w:gridSpan w:val="5"/>
                  <w:noWrap w:val="0"/>
                  <w:vAlign w:val="center"/>
                </w:tcPr>
                <w:p w14:paraId="190D3974">
                  <w:pPr>
                    <w:adjustRightInd w:val="0"/>
                    <w:snapToGrid w:val="0"/>
                    <w:jc w:val="center"/>
                    <w:rPr>
                      <w:b/>
                      <w:bCs/>
                      <w:color w:val="auto"/>
                      <w:szCs w:val="21"/>
                      <w:lang w:val="zh-CN" w:bidi="zh-CN"/>
                    </w:rPr>
                  </w:pPr>
                  <w:r>
                    <w:rPr>
                      <w:rFonts w:hint="eastAsia"/>
                      <w:b/>
                      <w:bCs/>
                      <w:color w:val="auto"/>
                      <w:szCs w:val="21"/>
                      <w:lang w:val="zh-CN" w:bidi="zh-CN"/>
                    </w:rPr>
                    <w:t>建筑物外噪声</w:t>
                  </w:r>
                </w:p>
              </w:tc>
            </w:tr>
            <w:tr w14:paraId="4B575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235" w:type="pct"/>
                  <w:vMerge w:val="continue"/>
                  <w:noWrap w:val="0"/>
                  <w:vAlign w:val="center"/>
                </w:tcPr>
                <w:p w14:paraId="20C413A1">
                  <w:pPr>
                    <w:adjustRightInd w:val="0"/>
                    <w:snapToGrid w:val="0"/>
                    <w:jc w:val="center"/>
                    <w:rPr>
                      <w:rFonts w:eastAsia="Times New Roman"/>
                      <w:color w:val="auto"/>
                      <w:szCs w:val="21"/>
                      <w:lang w:val="zh-CN" w:bidi="zh-CN"/>
                    </w:rPr>
                  </w:pPr>
                </w:p>
              </w:tc>
              <w:tc>
                <w:tcPr>
                  <w:tcW w:w="168" w:type="pct"/>
                  <w:vMerge w:val="continue"/>
                  <w:noWrap w:val="0"/>
                  <w:vAlign w:val="center"/>
                </w:tcPr>
                <w:p w14:paraId="6B4B0E1E">
                  <w:pPr>
                    <w:adjustRightInd w:val="0"/>
                    <w:snapToGrid w:val="0"/>
                    <w:jc w:val="center"/>
                    <w:rPr>
                      <w:rFonts w:eastAsia="Times New Roman"/>
                      <w:color w:val="auto"/>
                      <w:szCs w:val="21"/>
                      <w:lang w:val="zh-CN" w:bidi="zh-CN"/>
                    </w:rPr>
                  </w:pPr>
                </w:p>
              </w:tc>
              <w:tc>
                <w:tcPr>
                  <w:tcW w:w="273" w:type="pct"/>
                  <w:vMerge w:val="continue"/>
                  <w:noWrap w:val="0"/>
                  <w:vAlign w:val="center"/>
                </w:tcPr>
                <w:p w14:paraId="702D4957">
                  <w:pPr>
                    <w:jc w:val="center"/>
                    <w:rPr>
                      <w:rFonts w:eastAsia="Times New Roman"/>
                      <w:color w:val="auto"/>
                      <w:szCs w:val="21"/>
                      <w:lang w:bidi="zh-CN"/>
                    </w:rPr>
                  </w:pPr>
                </w:p>
              </w:tc>
              <w:tc>
                <w:tcPr>
                  <w:tcW w:w="319" w:type="pct"/>
                  <w:vMerge w:val="continue"/>
                  <w:noWrap w:val="0"/>
                  <w:vAlign w:val="center"/>
                </w:tcPr>
                <w:p w14:paraId="14CE0A92">
                  <w:pPr>
                    <w:adjustRightInd w:val="0"/>
                    <w:snapToGrid w:val="0"/>
                    <w:jc w:val="center"/>
                    <w:rPr>
                      <w:rFonts w:eastAsia="Times New Roman"/>
                      <w:color w:val="auto"/>
                      <w:szCs w:val="21"/>
                      <w:lang w:bidi="zh-CN"/>
                    </w:rPr>
                  </w:pPr>
                </w:p>
              </w:tc>
              <w:tc>
                <w:tcPr>
                  <w:tcW w:w="345" w:type="pct"/>
                  <w:vMerge w:val="restart"/>
                  <w:noWrap w:val="0"/>
                  <w:vAlign w:val="center"/>
                </w:tcPr>
                <w:p w14:paraId="33730A3F">
                  <w:pPr>
                    <w:adjustRightInd w:val="0"/>
                    <w:snapToGrid w:val="0"/>
                    <w:jc w:val="center"/>
                    <w:rPr>
                      <w:rFonts w:eastAsia="Times New Roman"/>
                      <w:b/>
                      <w:bCs/>
                      <w:color w:val="auto"/>
                      <w:szCs w:val="21"/>
                      <w:lang w:bidi="zh-CN"/>
                    </w:rPr>
                  </w:pPr>
                  <w:r>
                    <w:rPr>
                      <w:rFonts w:hint="eastAsia" w:eastAsia="Times New Roman"/>
                      <w:b/>
                      <w:bCs/>
                      <w:color w:val="auto"/>
                      <w:szCs w:val="21"/>
                      <w:lang w:bidi="zh-CN"/>
                    </w:rPr>
                    <w:t>X</w:t>
                  </w:r>
                </w:p>
              </w:tc>
              <w:tc>
                <w:tcPr>
                  <w:tcW w:w="281" w:type="pct"/>
                  <w:vMerge w:val="restart"/>
                  <w:noWrap w:val="0"/>
                  <w:vAlign w:val="center"/>
                </w:tcPr>
                <w:p w14:paraId="0A086BDD">
                  <w:pPr>
                    <w:adjustRightInd w:val="0"/>
                    <w:snapToGrid w:val="0"/>
                    <w:jc w:val="center"/>
                    <w:rPr>
                      <w:rFonts w:eastAsia="Times New Roman"/>
                      <w:b/>
                      <w:bCs/>
                      <w:color w:val="auto"/>
                      <w:szCs w:val="21"/>
                      <w:lang w:bidi="zh-CN"/>
                    </w:rPr>
                  </w:pPr>
                  <w:r>
                    <w:rPr>
                      <w:rFonts w:hint="eastAsia" w:eastAsia="Times New Roman"/>
                      <w:b/>
                      <w:bCs/>
                      <w:color w:val="auto"/>
                      <w:szCs w:val="21"/>
                      <w:lang w:bidi="zh-CN"/>
                    </w:rPr>
                    <w:t>Y</w:t>
                  </w:r>
                </w:p>
              </w:tc>
              <w:tc>
                <w:tcPr>
                  <w:tcW w:w="253" w:type="pct"/>
                  <w:vMerge w:val="restart"/>
                  <w:noWrap w:val="0"/>
                  <w:vAlign w:val="center"/>
                </w:tcPr>
                <w:p w14:paraId="0261A909">
                  <w:pPr>
                    <w:adjustRightInd w:val="0"/>
                    <w:snapToGrid w:val="0"/>
                    <w:jc w:val="center"/>
                    <w:rPr>
                      <w:rFonts w:eastAsia="Times New Roman"/>
                      <w:b/>
                      <w:bCs/>
                      <w:color w:val="auto"/>
                      <w:szCs w:val="21"/>
                      <w:lang w:bidi="zh-CN"/>
                    </w:rPr>
                  </w:pPr>
                  <w:r>
                    <w:rPr>
                      <w:rFonts w:hint="eastAsia" w:eastAsia="Times New Roman"/>
                      <w:b/>
                      <w:bCs/>
                      <w:color w:val="auto"/>
                      <w:szCs w:val="21"/>
                      <w:lang w:bidi="zh-CN"/>
                    </w:rPr>
                    <w:t>Z</w:t>
                  </w:r>
                </w:p>
              </w:tc>
              <w:tc>
                <w:tcPr>
                  <w:tcW w:w="214" w:type="pct"/>
                  <w:vMerge w:val="restart"/>
                  <w:noWrap w:val="0"/>
                  <w:vAlign w:val="center"/>
                </w:tcPr>
                <w:p w14:paraId="5574C98D">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东</w:t>
                  </w:r>
                </w:p>
              </w:tc>
              <w:tc>
                <w:tcPr>
                  <w:tcW w:w="233" w:type="pct"/>
                  <w:vMerge w:val="restart"/>
                  <w:noWrap w:val="0"/>
                  <w:vAlign w:val="center"/>
                </w:tcPr>
                <w:p w14:paraId="5566EF6C">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南</w:t>
                  </w:r>
                </w:p>
              </w:tc>
              <w:tc>
                <w:tcPr>
                  <w:tcW w:w="208" w:type="pct"/>
                  <w:vMerge w:val="restart"/>
                  <w:noWrap w:val="0"/>
                  <w:vAlign w:val="center"/>
                </w:tcPr>
                <w:p w14:paraId="577A6CEE">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西</w:t>
                  </w:r>
                </w:p>
              </w:tc>
              <w:tc>
                <w:tcPr>
                  <w:tcW w:w="208" w:type="pct"/>
                  <w:vMerge w:val="restart"/>
                  <w:noWrap w:val="0"/>
                  <w:vAlign w:val="center"/>
                </w:tcPr>
                <w:p w14:paraId="0A2F2265">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北</w:t>
                  </w:r>
                </w:p>
              </w:tc>
              <w:tc>
                <w:tcPr>
                  <w:tcW w:w="169" w:type="pct"/>
                  <w:vMerge w:val="restart"/>
                  <w:shd w:val="clear" w:color="auto" w:fill="auto"/>
                  <w:noWrap w:val="0"/>
                  <w:vAlign w:val="center"/>
                </w:tcPr>
                <w:p w14:paraId="254FFCE6">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东</w:t>
                  </w:r>
                </w:p>
              </w:tc>
              <w:tc>
                <w:tcPr>
                  <w:tcW w:w="169" w:type="pct"/>
                  <w:vMerge w:val="restart"/>
                  <w:shd w:val="clear" w:color="auto" w:fill="auto"/>
                  <w:noWrap w:val="0"/>
                  <w:vAlign w:val="center"/>
                </w:tcPr>
                <w:p w14:paraId="31F3EC00">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南</w:t>
                  </w:r>
                </w:p>
              </w:tc>
              <w:tc>
                <w:tcPr>
                  <w:tcW w:w="169" w:type="pct"/>
                  <w:vMerge w:val="restart"/>
                  <w:shd w:val="clear" w:color="auto" w:fill="auto"/>
                  <w:noWrap w:val="0"/>
                  <w:vAlign w:val="center"/>
                </w:tcPr>
                <w:p w14:paraId="5179EAF4">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西</w:t>
                  </w:r>
                </w:p>
              </w:tc>
              <w:tc>
                <w:tcPr>
                  <w:tcW w:w="171" w:type="pct"/>
                  <w:vMerge w:val="restart"/>
                  <w:shd w:val="clear" w:color="auto" w:fill="auto"/>
                  <w:noWrap w:val="0"/>
                  <w:vAlign w:val="center"/>
                </w:tcPr>
                <w:p w14:paraId="5150721B">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北</w:t>
                  </w:r>
                </w:p>
              </w:tc>
              <w:tc>
                <w:tcPr>
                  <w:tcW w:w="267" w:type="pct"/>
                  <w:vMerge w:val="continue"/>
                  <w:noWrap w:val="0"/>
                  <w:vAlign w:val="center"/>
                </w:tcPr>
                <w:p w14:paraId="2C2C115E">
                  <w:pPr>
                    <w:adjustRightInd w:val="0"/>
                    <w:snapToGrid w:val="0"/>
                    <w:jc w:val="center"/>
                    <w:rPr>
                      <w:rFonts w:eastAsia="Times New Roman"/>
                      <w:color w:val="auto"/>
                      <w:szCs w:val="21"/>
                      <w:lang w:bidi="zh-CN"/>
                    </w:rPr>
                  </w:pPr>
                </w:p>
              </w:tc>
              <w:tc>
                <w:tcPr>
                  <w:tcW w:w="281" w:type="pct"/>
                  <w:vMerge w:val="continue"/>
                  <w:noWrap w:val="0"/>
                  <w:vAlign w:val="center"/>
                </w:tcPr>
                <w:p w14:paraId="0780D532">
                  <w:pPr>
                    <w:adjustRightInd w:val="0"/>
                    <w:snapToGrid w:val="0"/>
                    <w:jc w:val="center"/>
                    <w:rPr>
                      <w:rFonts w:eastAsia="Times New Roman"/>
                      <w:color w:val="auto"/>
                      <w:szCs w:val="21"/>
                      <w:lang w:bidi="zh-CN"/>
                    </w:rPr>
                  </w:pPr>
                </w:p>
              </w:tc>
              <w:tc>
                <w:tcPr>
                  <w:tcW w:w="783" w:type="pct"/>
                  <w:gridSpan w:val="4"/>
                  <w:noWrap w:val="0"/>
                  <w:vAlign w:val="center"/>
                </w:tcPr>
                <w:p w14:paraId="2BC58FF9">
                  <w:pPr>
                    <w:adjustRightInd w:val="0"/>
                    <w:snapToGrid w:val="0"/>
                    <w:jc w:val="center"/>
                    <w:rPr>
                      <w:rFonts w:eastAsia="Times New Roman"/>
                      <w:b/>
                      <w:bCs/>
                      <w:color w:val="auto"/>
                      <w:szCs w:val="21"/>
                      <w:lang w:bidi="zh-CN"/>
                    </w:rPr>
                  </w:pPr>
                  <w:r>
                    <w:rPr>
                      <w:rFonts w:hint="eastAsia" w:eastAsia="Times New Roman"/>
                      <w:b/>
                      <w:bCs/>
                      <w:color w:val="auto"/>
                      <w:szCs w:val="21"/>
                      <w:lang w:bidi="zh-CN"/>
                    </w:rPr>
                    <w:t>声压级/dB(A)</w:t>
                  </w:r>
                </w:p>
              </w:tc>
              <w:tc>
                <w:tcPr>
                  <w:tcW w:w="243" w:type="pct"/>
                  <w:vMerge w:val="restart"/>
                  <w:noWrap w:val="0"/>
                  <w:vAlign w:val="center"/>
                </w:tcPr>
                <w:p w14:paraId="33AB4566">
                  <w:pPr>
                    <w:adjustRightInd w:val="0"/>
                    <w:snapToGrid w:val="0"/>
                    <w:jc w:val="center"/>
                    <w:rPr>
                      <w:rFonts w:eastAsia="Times New Roman"/>
                      <w:b/>
                      <w:bCs/>
                      <w:color w:val="auto"/>
                      <w:szCs w:val="21"/>
                      <w:lang w:bidi="zh-CN"/>
                    </w:rPr>
                  </w:pPr>
                  <w:r>
                    <w:rPr>
                      <w:rFonts w:hint="eastAsia" w:eastAsia="Times New Roman"/>
                      <w:b/>
                      <w:bCs/>
                      <w:color w:val="auto"/>
                      <w:szCs w:val="21"/>
                      <w:lang w:bidi="zh-CN"/>
                    </w:rPr>
                    <w:t>建筑物外距离</w:t>
                  </w:r>
                </w:p>
              </w:tc>
            </w:tr>
            <w:tr w14:paraId="5911C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235" w:type="pct"/>
                  <w:vMerge w:val="continue"/>
                  <w:noWrap w:val="0"/>
                  <w:vAlign w:val="center"/>
                </w:tcPr>
                <w:p w14:paraId="7344DABA">
                  <w:pPr>
                    <w:adjustRightInd w:val="0"/>
                    <w:snapToGrid w:val="0"/>
                    <w:jc w:val="center"/>
                    <w:rPr>
                      <w:color w:val="auto"/>
                    </w:rPr>
                  </w:pPr>
                </w:p>
              </w:tc>
              <w:tc>
                <w:tcPr>
                  <w:tcW w:w="168" w:type="pct"/>
                  <w:vMerge w:val="continue"/>
                  <w:noWrap w:val="0"/>
                  <w:vAlign w:val="center"/>
                </w:tcPr>
                <w:p w14:paraId="6FB8602E">
                  <w:pPr>
                    <w:adjustRightInd w:val="0"/>
                    <w:snapToGrid w:val="0"/>
                    <w:jc w:val="center"/>
                    <w:rPr>
                      <w:color w:val="auto"/>
                    </w:rPr>
                  </w:pPr>
                </w:p>
              </w:tc>
              <w:tc>
                <w:tcPr>
                  <w:tcW w:w="273" w:type="pct"/>
                  <w:vMerge w:val="continue"/>
                  <w:noWrap w:val="0"/>
                  <w:vAlign w:val="center"/>
                </w:tcPr>
                <w:p w14:paraId="0C87269A">
                  <w:pPr>
                    <w:adjustRightInd w:val="0"/>
                    <w:snapToGrid w:val="0"/>
                    <w:jc w:val="center"/>
                    <w:rPr>
                      <w:color w:val="auto"/>
                    </w:rPr>
                  </w:pPr>
                </w:p>
              </w:tc>
              <w:tc>
                <w:tcPr>
                  <w:tcW w:w="319" w:type="pct"/>
                  <w:vMerge w:val="continue"/>
                  <w:noWrap w:val="0"/>
                  <w:vAlign w:val="center"/>
                </w:tcPr>
                <w:p w14:paraId="7BBB7D60">
                  <w:pPr>
                    <w:adjustRightInd w:val="0"/>
                    <w:snapToGrid w:val="0"/>
                    <w:jc w:val="center"/>
                    <w:rPr>
                      <w:color w:val="auto"/>
                    </w:rPr>
                  </w:pPr>
                </w:p>
              </w:tc>
              <w:tc>
                <w:tcPr>
                  <w:tcW w:w="345" w:type="pct"/>
                  <w:vMerge w:val="continue"/>
                  <w:noWrap w:val="0"/>
                  <w:vAlign w:val="center"/>
                </w:tcPr>
                <w:p w14:paraId="67F3E7EF">
                  <w:pPr>
                    <w:adjustRightInd w:val="0"/>
                    <w:snapToGrid w:val="0"/>
                    <w:jc w:val="center"/>
                    <w:rPr>
                      <w:color w:val="auto"/>
                    </w:rPr>
                  </w:pPr>
                </w:p>
              </w:tc>
              <w:tc>
                <w:tcPr>
                  <w:tcW w:w="281" w:type="pct"/>
                  <w:vMerge w:val="continue"/>
                  <w:noWrap w:val="0"/>
                  <w:vAlign w:val="center"/>
                </w:tcPr>
                <w:p w14:paraId="34B72E62">
                  <w:pPr>
                    <w:adjustRightInd w:val="0"/>
                    <w:snapToGrid w:val="0"/>
                    <w:jc w:val="center"/>
                    <w:rPr>
                      <w:color w:val="auto"/>
                    </w:rPr>
                  </w:pPr>
                </w:p>
              </w:tc>
              <w:tc>
                <w:tcPr>
                  <w:tcW w:w="253" w:type="pct"/>
                  <w:vMerge w:val="continue"/>
                  <w:noWrap w:val="0"/>
                  <w:vAlign w:val="center"/>
                </w:tcPr>
                <w:p w14:paraId="078A470A">
                  <w:pPr>
                    <w:adjustRightInd w:val="0"/>
                    <w:snapToGrid w:val="0"/>
                    <w:jc w:val="center"/>
                    <w:rPr>
                      <w:color w:val="auto"/>
                    </w:rPr>
                  </w:pPr>
                </w:p>
              </w:tc>
              <w:tc>
                <w:tcPr>
                  <w:tcW w:w="214" w:type="pct"/>
                  <w:vMerge w:val="continue"/>
                  <w:noWrap w:val="0"/>
                  <w:vAlign w:val="center"/>
                </w:tcPr>
                <w:p w14:paraId="2F7D352B">
                  <w:pPr>
                    <w:adjustRightInd w:val="0"/>
                    <w:snapToGrid w:val="0"/>
                    <w:jc w:val="center"/>
                    <w:rPr>
                      <w:color w:val="auto"/>
                    </w:rPr>
                  </w:pPr>
                </w:p>
              </w:tc>
              <w:tc>
                <w:tcPr>
                  <w:tcW w:w="233" w:type="pct"/>
                  <w:vMerge w:val="continue"/>
                  <w:noWrap w:val="0"/>
                  <w:vAlign w:val="center"/>
                </w:tcPr>
                <w:p w14:paraId="5445C370">
                  <w:pPr>
                    <w:adjustRightInd w:val="0"/>
                    <w:snapToGrid w:val="0"/>
                    <w:jc w:val="center"/>
                    <w:rPr>
                      <w:color w:val="auto"/>
                    </w:rPr>
                  </w:pPr>
                </w:p>
              </w:tc>
              <w:tc>
                <w:tcPr>
                  <w:tcW w:w="208" w:type="pct"/>
                  <w:vMerge w:val="continue"/>
                  <w:noWrap w:val="0"/>
                  <w:vAlign w:val="center"/>
                </w:tcPr>
                <w:p w14:paraId="388EE146">
                  <w:pPr>
                    <w:adjustRightInd w:val="0"/>
                    <w:snapToGrid w:val="0"/>
                    <w:jc w:val="center"/>
                    <w:rPr>
                      <w:color w:val="auto"/>
                    </w:rPr>
                  </w:pPr>
                </w:p>
              </w:tc>
              <w:tc>
                <w:tcPr>
                  <w:tcW w:w="208" w:type="pct"/>
                  <w:vMerge w:val="continue"/>
                  <w:noWrap w:val="0"/>
                  <w:vAlign w:val="center"/>
                </w:tcPr>
                <w:p w14:paraId="48831167">
                  <w:pPr>
                    <w:adjustRightInd w:val="0"/>
                    <w:snapToGrid w:val="0"/>
                    <w:jc w:val="center"/>
                    <w:rPr>
                      <w:color w:val="auto"/>
                    </w:rPr>
                  </w:pPr>
                </w:p>
              </w:tc>
              <w:tc>
                <w:tcPr>
                  <w:tcW w:w="169" w:type="pct"/>
                  <w:vMerge w:val="continue"/>
                  <w:shd w:val="clear" w:color="auto" w:fill="auto"/>
                  <w:noWrap w:val="0"/>
                  <w:vAlign w:val="center"/>
                </w:tcPr>
                <w:p w14:paraId="529F67BB">
                  <w:pPr>
                    <w:adjustRightInd w:val="0"/>
                    <w:snapToGrid w:val="0"/>
                    <w:jc w:val="center"/>
                    <w:rPr>
                      <w:color w:val="auto"/>
                    </w:rPr>
                  </w:pPr>
                </w:p>
              </w:tc>
              <w:tc>
                <w:tcPr>
                  <w:tcW w:w="169" w:type="pct"/>
                  <w:vMerge w:val="continue"/>
                  <w:shd w:val="clear" w:color="auto" w:fill="auto"/>
                  <w:noWrap w:val="0"/>
                  <w:vAlign w:val="center"/>
                </w:tcPr>
                <w:p w14:paraId="1F1ED7A1">
                  <w:pPr>
                    <w:adjustRightInd w:val="0"/>
                    <w:snapToGrid w:val="0"/>
                    <w:jc w:val="center"/>
                    <w:rPr>
                      <w:color w:val="auto"/>
                    </w:rPr>
                  </w:pPr>
                </w:p>
              </w:tc>
              <w:tc>
                <w:tcPr>
                  <w:tcW w:w="169" w:type="pct"/>
                  <w:vMerge w:val="continue"/>
                  <w:shd w:val="clear" w:color="auto" w:fill="auto"/>
                  <w:noWrap w:val="0"/>
                  <w:vAlign w:val="center"/>
                </w:tcPr>
                <w:p w14:paraId="4911837A">
                  <w:pPr>
                    <w:adjustRightInd w:val="0"/>
                    <w:snapToGrid w:val="0"/>
                    <w:jc w:val="center"/>
                    <w:rPr>
                      <w:color w:val="auto"/>
                    </w:rPr>
                  </w:pPr>
                </w:p>
              </w:tc>
              <w:tc>
                <w:tcPr>
                  <w:tcW w:w="171" w:type="pct"/>
                  <w:vMerge w:val="continue"/>
                  <w:shd w:val="clear" w:color="auto" w:fill="auto"/>
                  <w:noWrap w:val="0"/>
                  <w:vAlign w:val="center"/>
                </w:tcPr>
                <w:p w14:paraId="44E2F0A0">
                  <w:pPr>
                    <w:adjustRightInd w:val="0"/>
                    <w:snapToGrid w:val="0"/>
                    <w:jc w:val="center"/>
                    <w:rPr>
                      <w:color w:val="auto"/>
                    </w:rPr>
                  </w:pPr>
                </w:p>
              </w:tc>
              <w:tc>
                <w:tcPr>
                  <w:tcW w:w="267" w:type="pct"/>
                  <w:vMerge w:val="continue"/>
                  <w:noWrap w:val="0"/>
                  <w:vAlign w:val="center"/>
                </w:tcPr>
                <w:p w14:paraId="1AB4686B">
                  <w:pPr>
                    <w:adjustRightInd w:val="0"/>
                    <w:snapToGrid w:val="0"/>
                    <w:jc w:val="center"/>
                    <w:rPr>
                      <w:color w:val="auto"/>
                    </w:rPr>
                  </w:pPr>
                </w:p>
              </w:tc>
              <w:tc>
                <w:tcPr>
                  <w:tcW w:w="281" w:type="pct"/>
                  <w:vMerge w:val="continue"/>
                  <w:noWrap w:val="0"/>
                  <w:vAlign w:val="center"/>
                </w:tcPr>
                <w:p w14:paraId="27F88FCF">
                  <w:pPr>
                    <w:adjustRightInd w:val="0"/>
                    <w:snapToGrid w:val="0"/>
                    <w:jc w:val="center"/>
                    <w:rPr>
                      <w:color w:val="auto"/>
                    </w:rPr>
                  </w:pPr>
                </w:p>
              </w:tc>
              <w:tc>
                <w:tcPr>
                  <w:tcW w:w="194" w:type="pct"/>
                  <w:shd w:val="clear" w:color="auto" w:fill="auto"/>
                  <w:noWrap w:val="0"/>
                  <w:vAlign w:val="center"/>
                </w:tcPr>
                <w:p w14:paraId="551CFA51">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东</w:t>
                  </w:r>
                </w:p>
              </w:tc>
              <w:tc>
                <w:tcPr>
                  <w:tcW w:w="200" w:type="pct"/>
                  <w:shd w:val="clear" w:color="auto" w:fill="auto"/>
                  <w:noWrap w:val="0"/>
                  <w:vAlign w:val="center"/>
                </w:tcPr>
                <w:p w14:paraId="2DC2CE7E">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南</w:t>
                  </w:r>
                </w:p>
              </w:tc>
              <w:tc>
                <w:tcPr>
                  <w:tcW w:w="190" w:type="pct"/>
                  <w:shd w:val="clear" w:color="auto" w:fill="auto"/>
                  <w:noWrap w:val="0"/>
                  <w:vAlign w:val="center"/>
                </w:tcPr>
                <w:p w14:paraId="7D89E59E">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西</w:t>
                  </w:r>
                </w:p>
              </w:tc>
              <w:tc>
                <w:tcPr>
                  <w:tcW w:w="198" w:type="pct"/>
                  <w:shd w:val="clear" w:color="auto" w:fill="auto"/>
                  <w:noWrap w:val="0"/>
                  <w:vAlign w:val="center"/>
                </w:tcPr>
                <w:p w14:paraId="6AC2E34B">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北</w:t>
                  </w:r>
                </w:p>
              </w:tc>
              <w:tc>
                <w:tcPr>
                  <w:tcW w:w="243" w:type="pct"/>
                  <w:vMerge w:val="continue"/>
                  <w:noWrap w:val="0"/>
                  <w:vAlign w:val="center"/>
                </w:tcPr>
                <w:p w14:paraId="177CFF26">
                  <w:pPr>
                    <w:adjustRightInd w:val="0"/>
                    <w:snapToGrid w:val="0"/>
                    <w:jc w:val="center"/>
                    <w:rPr>
                      <w:rFonts w:hint="eastAsia" w:eastAsia="Times New Roman"/>
                      <w:b/>
                      <w:bCs/>
                      <w:color w:val="auto"/>
                      <w:szCs w:val="21"/>
                      <w:lang w:bidi="zh-CN"/>
                    </w:rPr>
                  </w:pPr>
                </w:p>
              </w:tc>
            </w:tr>
            <w:tr w14:paraId="43D13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restart"/>
                  <w:shd w:val="clear" w:color="auto" w:fill="auto"/>
                  <w:noWrap w:val="0"/>
                  <w:vAlign w:val="center"/>
                </w:tcPr>
                <w:p w14:paraId="646CEBE6">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挤出机</w:t>
                  </w:r>
                </w:p>
              </w:tc>
              <w:tc>
                <w:tcPr>
                  <w:tcW w:w="168" w:type="pct"/>
                  <w:vMerge w:val="restart"/>
                  <w:shd w:val="clear" w:color="auto" w:fill="auto"/>
                  <w:noWrap w:val="0"/>
                  <w:vAlign w:val="center"/>
                </w:tcPr>
                <w:p w14:paraId="5B77B482">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3</w:t>
                  </w:r>
                </w:p>
              </w:tc>
              <w:tc>
                <w:tcPr>
                  <w:tcW w:w="273" w:type="pct"/>
                  <w:vMerge w:val="restart"/>
                  <w:shd w:val="clear" w:color="auto" w:fill="auto"/>
                  <w:noWrap w:val="0"/>
                  <w:vAlign w:val="center"/>
                </w:tcPr>
                <w:p w14:paraId="78FFB99E">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restart"/>
                  <w:noWrap w:val="0"/>
                  <w:vAlign w:val="center"/>
                </w:tcPr>
                <w:p w14:paraId="7D48FCC0">
                  <w:pPr>
                    <w:jc w:val="center"/>
                    <w:rPr>
                      <w:rFonts w:hint="default" w:eastAsia="宋体"/>
                      <w:color w:val="auto"/>
                      <w:szCs w:val="21"/>
                      <w:lang w:val="en-US" w:eastAsia="zh-CN"/>
                    </w:rPr>
                  </w:pPr>
                  <w:r>
                    <w:rPr>
                      <w:rFonts w:hint="eastAsia"/>
                      <w:color w:val="auto"/>
                      <w:szCs w:val="21"/>
                      <w:lang w:val="en-US" w:eastAsia="zh-CN"/>
                    </w:rPr>
                    <w:t>选用低噪音设备，设置在工房内、合理布局，定期维护保养</w:t>
                  </w:r>
                </w:p>
              </w:tc>
              <w:tc>
                <w:tcPr>
                  <w:tcW w:w="345" w:type="pct"/>
                  <w:noWrap w:val="0"/>
                  <w:vAlign w:val="center"/>
                </w:tcPr>
                <w:p w14:paraId="08434183">
                  <w:pPr>
                    <w:jc w:val="center"/>
                    <w:rPr>
                      <w:rFonts w:hint="default" w:eastAsia="宋体"/>
                      <w:color w:val="auto"/>
                      <w:szCs w:val="21"/>
                      <w:lang w:val="en-US" w:eastAsia="zh-CN"/>
                    </w:rPr>
                  </w:pPr>
                  <w:r>
                    <w:rPr>
                      <w:rFonts w:hint="eastAsia"/>
                      <w:color w:val="auto"/>
                      <w:szCs w:val="21"/>
                      <w:lang w:val="en-US" w:eastAsia="zh-CN"/>
                    </w:rPr>
                    <w:t>32.29</w:t>
                  </w:r>
                </w:p>
              </w:tc>
              <w:tc>
                <w:tcPr>
                  <w:tcW w:w="281" w:type="pct"/>
                  <w:noWrap w:val="0"/>
                  <w:vAlign w:val="center"/>
                </w:tcPr>
                <w:p w14:paraId="1AFD3830">
                  <w:pPr>
                    <w:jc w:val="center"/>
                    <w:rPr>
                      <w:rFonts w:hint="default" w:eastAsia="宋体"/>
                      <w:color w:val="auto"/>
                      <w:szCs w:val="21"/>
                      <w:lang w:val="en-US" w:eastAsia="zh-CN"/>
                    </w:rPr>
                  </w:pPr>
                  <w:r>
                    <w:rPr>
                      <w:rFonts w:hint="eastAsia"/>
                      <w:color w:val="auto"/>
                      <w:szCs w:val="21"/>
                      <w:lang w:val="en-US" w:eastAsia="zh-CN"/>
                    </w:rPr>
                    <w:t>36.48</w:t>
                  </w:r>
                </w:p>
              </w:tc>
              <w:tc>
                <w:tcPr>
                  <w:tcW w:w="253" w:type="pct"/>
                  <w:noWrap w:val="0"/>
                  <w:vAlign w:val="center"/>
                </w:tcPr>
                <w:p w14:paraId="41F60DAC">
                  <w:pPr>
                    <w:jc w:val="center"/>
                    <w:rPr>
                      <w:rFonts w:hint="eastAsia"/>
                      <w:color w:val="auto"/>
                      <w:kern w:val="2"/>
                      <w:sz w:val="21"/>
                      <w:szCs w:val="21"/>
                      <w:lang w:val="en-US" w:eastAsia="zh-CN" w:bidi="ar-SA"/>
                    </w:rPr>
                  </w:pPr>
                  <w:r>
                    <w:rPr>
                      <w:rFonts w:hint="eastAsia"/>
                      <w:color w:val="auto"/>
                      <w:szCs w:val="21"/>
                    </w:rPr>
                    <w:t>1</w:t>
                  </w:r>
                </w:p>
              </w:tc>
              <w:tc>
                <w:tcPr>
                  <w:tcW w:w="214" w:type="pct"/>
                  <w:noWrap w:val="0"/>
                  <w:vAlign w:val="center"/>
                </w:tcPr>
                <w:p w14:paraId="72697A47">
                  <w:pPr>
                    <w:jc w:val="center"/>
                    <w:rPr>
                      <w:rFonts w:hint="default"/>
                      <w:color w:val="auto"/>
                      <w:szCs w:val="21"/>
                      <w:lang w:val="en-US" w:eastAsia="zh-CN"/>
                    </w:rPr>
                  </w:pPr>
                  <w:r>
                    <w:rPr>
                      <w:rFonts w:hint="eastAsia"/>
                      <w:color w:val="auto"/>
                      <w:szCs w:val="21"/>
                      <w:lang w:val="en-US" w:eastAsia="zh-CN"/>
                    </w:rPr>
                    <w:t>59.55</w:t>
                  </w:r>
                </w:p>
              </w:tc>
              <w:tc>
                <w:tcPr>
                  <w:tcW w:w="233" w:type="pct"/>
                  <w:noWrap w:val="0"/>
                  <w:vAlign w:val="center"/>
                </w:tcPr>
                <w:p w14:paraId="08AB85BC">
                  <w:pPr>
                    <w:jc w:val="center"/>
                    <w:rPr>
                      <w:rFonts w:hint="default"/>
                      <w:color w:val="auto"/>
                      <w:szCs w:val="21"/>
                      <w:lang w:val="en-US" w:eastAsia="zh-CN"/>
                    </w:rPr>
                  </w:pPr>
                  <w:r>
                    <w:rPr>
                      <w:rFonts w:hint="eastAsia"/>
                      <w:color w:val="auto"/>
                      <w:szCs w:val="21"/>
                      <w:lang w:val="en-US" w:eastAsia="zh-CN"/>
                    </w:rPr>
                    <w:t>32.29</w:t>
                  </w:r>
                </w:p>
              </w:tc>
              <w:tc>
                <w:tcPr>
                  <w:tcW w:w="208" w:type="pct"/>
                  <w:shd w:val="clear" w:color="auto" w:fill="auto"/>
                  <w:noWrap w:val="0"/>
                  <w:vAlign w:val="center"/>
                </w:tcPr>
                <w:p w14:paraId="3A2B9E60">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36.77</w:t>
                  </w:r>
                </w:p>
              </w:tc>
              <w:tc>
                <w:tcPr>
                  <w:tcW w:w="208" w:type="pct"/>
                  <w:noWrap w:val="0"/>
                  <w:vAlign w:val="center"/>
                </w:tcPr>
                <w:p w14:paraId="6663C8A5">
                  <w:pPr>
                    <w:jc w:val="center"/>
                    <w:rPr>
                      <w:rFonts w:hint="default"/>
                      <w:color w:val="auto"/>
                      <w:szCs w:val="21"/>
                      <w:lang w:val="en-US" w:eastAsia="zh-CN"/>
                    </w:rPr>
                  </w:pPr>
                  <w:r>
                    <w:rPr>
                      <w:rFonts w:hint="eastAsia"/>
                      <w:color w:val="auto"/>
                      <w:szCs w:val="21"/>
                      <w:lang w:val="en-US" w:eastAsia="zh-CN"/>
                    </w:rPr>
                    <w:t>12.7</w:t>
                  </w:r>
                </w:p>
              </w:tc>
              <w:tc>
                <w:tcPr>
                  <w:tcW w:w="169" w:type="pct"/>
                  <w:noWrap w:val="0"/>
                  <w:vAlign w:val="center"/>
                </w:tcPr>
                <w:p w14:paraId="411531E3">
                  <w:pPr>
                    <w:jc w:val="center"/>
                    <w:rPr>
                      <w:rFonts w:hint="default"/>
                      <w:color w:val="auto"/>
                      <w:szCs w:val="21"/>
                      <w:lang w:val="en-US" w:eastAsia="zh-CN"/>
                    </w:rPr>
                  </w:pPr>
                  <w:r>
                    <w:rPr>
                      <w:rFonts w:hint="eastAsia"/>
                      <w:color w:val="auto"/>
                      <w:szCs w:val="21"/>
                      <w:lang w:val="en-US" w:eastAsia="zh-CN"/>
                    </w:rPr>
                    <w:t>66</w:t>
                  </w:r>
                </w:p>
              </w:tc>
              <w:tc>
                <w:tcPr>
                  <w:tcW w:w="169" w:type="pct"/>
                  <w:shd w:val="clear" w:color="auto" w:fill="auto"/>
                  <w:noWrap w:val="0"/>
                  <w:vAlign w:val="center"/>
                </w:tcPr>
                <w:p w14:paraId="0A28C75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637B817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36BF00E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restart"/>
                  <w:noWrap w:val="0"/>
                  <w:vAlign w:val="center"/>
                </w:tcPr>
                <w:p w14:paraId="1103D709">
                  <w:pPr>
                    <w:jc w:val="center"/>
                    <w:rPr>
                      <w:rFonts w:hint="default" w:eastAsia="宋体"/>
                      <w:color w:val="auto"/>
                      <w:szCs w:val="21"/>
                      <w:lang w:val="en-US" w:eastAsia="zh-CN"/>
                    </w:rPr>
                  </w:pPr>
                  <w:r>
                    <w:rPr>
                      <w:rFonts w:hint="eastAsia"/>
                      <w:color w:val="auto"/>
                      <w:szCs w:val="21"/>
                      <w:lang w:val="en-US" w:eastAsia="zh-CN"/>
                    </w:rPr>
                    <w:t>昼间</w:t>
                  </w:r>
                </w:p>
              </w:tc>
              <w:tc>
                <w:tcPr>
                  <w:tcW w:w="281" w:type="pct"/>
                  <w:vMerge w:val="restart"/>
                  <w:noWrap w:val="0"/>
                  <w:vAlign w:val="center"/>
                </w:tcPr>
                <w:p w14:paraId="375D715A">
                  <w:pPr>
                    <w:jc w:val="center"/>
                    <w:rPr>
                      <w:rFonts w:hint="default" w:eastAsia="宋体"/>
                      <w:color w:val="auto"/>
                      <w:szCs w:val="21"/>
                      <w:lang w:val="en-US" w:eastAsia="zh-CN"/>
                    </w:rPr>
                  </w:pPr>
                  <w:r>
                    <w:rPr>
                      <w:rFonts w:hint="eastAsia"/>
                      <w:color w:val="auto"/>
                      <w:szCs w:val="21"/>
                      <w:lang w:val="en-US" w:eastAsia="zh-CN"/>
                    </w:rPr>
                    <w:t>21</w:t>
                  </w:r>
                </w:p>
              </w:tc>
              <w:tc>
                <w:tcPr>
                  <w:tcW w:w="194" w:type="pct"/>
                  <w:shd w:val="clear" w:color="auto" w:fill="auto"/>
                  <w:noWrap w:val="0"/>
                  <w:vAlign w:val="center"/>
                </w:tcPr>
                <w:p w14:paraId="3C2CDB4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2297571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E0C557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206AE61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8795D2D">
                  <w:pPr>
                    <w:jc w:val="center"/>
                    <w:rPr>
                      <w:rFonts w:hint="default"/>
                      <w:color w:val="auto"/>
                      <w:szCs w:val="21"/>
                      <w:lang w:val="en-US" w:eastAsia="zh-CN"/>
                    </w:rPr>
                  </w:pPr>
                  <w:r>
                    <w:rPr>
                      <w:rFonts w:hint="eastAsia"/>
                      <w:color w:val="auto"/>
                      <w:szCs w:val="21"/>
                      <w:lang w:val="en-US" w:eastAsia="zh-CN"/>
                    </w:rPr>
                    <w:t>1</w:t>
                  </w:r>
                </w:p>
              </w:tc>
            </w:tr>
            <w:tr w14:paraId="13380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noWrap w:val="0"/>
                  <w:vAlign w:val="center"/>
                </w:tcPr>
                <w:p w14:paraId="51738AD0">
                  <w:pPr>
                    <w:pStyle w:val="16"/>
                    <w:jc w:val="center"/>
                    <w:rPr>
                      <w:rFonts w:hint="eastAsia"/>
                      <w:color w:val="auto"/>
                      <w:kern w:val="2"/>
                      <w:sz w:val="21"/>
                      <w:szCs w:val="21"/>
                      <w:lang w:val="en-US" w:eastAsia="zh-CN"/>
                    </w:rPr>
                  </w:pPr>
                </w:p>
              </w:tc>
              <w:tc>
                <w:tcPr>
                  <w:tcW w:w="168" w:type="pct"/>
                  <w:vMerge w:val="continue"/>
                  <w:noWrap w:val="0"/>
                  <w:vAlign w:val="center"/>
                </w:tcPr>
                <w:p w14:paraId="6BC595B2">
                  <w:pPr>
                    <w:pStyle w:val="59"/>
                    <w:spacing w:before="48" w:after="48"/>
                    <w:rPr>
                      <w:rFonts w:hint="eastAsia" w:ascii="Times New Roman" w:hAnsi="Times New Roman"/>
                      <w:color w:val="auto"/>
                      <w:szCs w:val="21"/>
                      <w:lang w:val="en-US" w:eastAsia="zh-CN"/>
                    </w:rPr>
                  </w:pPr>
                </w:p>
              </w:tc>
              <w:tc>
                <w:tcPr>
                  <w:tcW w:w="273" w:type="pct"/>
                  <w:vMerge w:val="continue"/>
                  <w:noWrap w:val="0"/>
                  <w:vAlign w:val="center"/>
                </w:tcPr>
                <w:p w14:paraId="051E7080">
                  <w:pPr>
                    <w:pStyle w:val="59"/>
                    <w:spacing w:before="48" w:after="48"/>
                    <w:rPr>
                      <w:rFonts w:hint="eastAsia" w:ascii="Times New Roman" w:hAnsi="Times New Roman"/>
                      <w:color w:val="auto"/>
                      <w:szCs w:val="21"/>
                      <w:lang w:val="en-US" w:eastAsia="zh-CN"/>
                    </w:rPr>
                  </w:pPr>
                </w:p>
              </w:tc>
              <w:tc>
                <w:tcPr>
                  <w:tcW w:w="319" w:type="pct"/>
                  <w:vMerge w:val="continue"/>
                  <w:noWrap w:val="0"/>
                  <w:vAlign w:val="center"/>
                </w:tcPr>
                <w:p w14:paraId="6E8A3F0C">
                  <w:pPr>
                    <w:jc w:val="center"/>
                    <w:rPr>
                      <w:rFonts w:hint="eastAsia"/>
                      <w:color w:val="auto"/>
                      <w:szCs w:val="21"/>
                      <w:lang w:val="en-US" w:eastAsia="zh-CN"/>
                    </w:rPr>
                  </w:pPr>
                </w:p>
              </w:tc>
              <w:tc>
                <w:tcPr>
                  <w:tcW w:w="345" w:type="pct"/>
                  <w:noWrap w:val="0"/>
                  <w:vAlign w:val="center"/>
                </w:tcPr>
                <w:p w14:paraId="7B96AD5E">
                  <w:pPr>
                    <w:jc w:val="center"/>
                    <w:rPr>
                      <w:rFonts w:hint="default" w:eastAsia="宋体"/>
                      <w:color w:val="auto"/>
                      <w:szCs w:val="21"/>
                      <w:lang w:val="en-US" w:eastAsia="zh-CN"/>
                    </w:rPr>
                  </w:pPr>
                  <w:r>
                    <w:rPr>
                      <w:rFonts w:hint="eastAsia"/>
                      <w:color w:val="auto"/>
                      <w:szCs w:val="21"/>
                      <w:lang w:val="en-US" w:eastAsia="zh-CN"/>
                    </w:rPr>
                    <w:t>32.75</w:t>
                  </w:r>
                </w:p>
              </w:tc>
              <w:tc>
                <w:tcPr>
                  <w:tcW w:w="281" w:type="pct"/>
                  <w:noWrap w:val="0"/>
                  <w:vAlign w:val="center"/>
                </w:tcPr>
                <w:p w14:paraId="36753A51">
                  <w:pPr>
                    <w:jc w:val="center"/>
                    <w:rPr>
                      <w:rFonts w:hint="default" w:eastAsia="宋体"/>
                      <w:color w:val="auto"/>
                      <w:szCs w:val="21"/>
                      <w:lang w:val="en-US" w:eastAsia="zh-CN"/>
                    </w:rPr>
                  </w:pPr>
                  <w:r>
                    <w:rPr>
                      <w:rFonts w:hint="eastAsia"/>
                      <w:color w:val="auto"/>
                      <w:szCs w:val="21"/>
                      <w:lang w:val="en-US" w:eastAsia="zh-CN"/>
                    </w:rPr>
                    <w:t>32.88</w:t>
                  </w:r>
                </w:p>
              </w:tc>
              <w:tc>
                <w:tcPr>
                  <w:tcW w:w="253" w:type="pct"/>
                  <w:noWrap w:val="0"/>
                  <w:vAlign w:val="center"/>
                </w:tcPr>
                <w:p w14:paraId="09901F8D">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231FE2FD">
                  <w:pPr>
                    <w:jc w:val="center"/>
                    <w:rPr>
                      <w:rFonts w:hint="default"/>
                      <w:color w:val="auto"/>
                      <w:szCs w:val="21"/>
                      <w:lang w:val="en-US" w:eastAsia="zh-CN"/>
                    </w:rPr>
                  </w:pPr>
                  <w:r>
                    <w:rPr>
                      <w:rFonts w:hint="eastAsia"/>
                      <w:color w:val="auto"/>
                      <w:szCs w:val="21"/>
                      <w:lang w:val="en-US" w:eastAsia="zh-CN"/>
                    </w:rPr>
                    <w:t>59.5</w:t>
                  </w:r>
                </w:p>
              </w:tc>
              <w:tc>
                <w:tcPr>
                  <w:tcW w:w="233" w:type="pct"/>
                  <w:noWrap w:val="0"/>
                  <w:vAlign w:val="center"/>
                </w:tcPr>
                <w:p w14:paraId="28E70FA7">
                  <w:pPr>
                    <w:jc w:val="center"/>
                    <w:rPr>
                      <w:rFonts w:hint="default"/>
                      <w:color w:val="auto"/>
                      <w:szCs w:val="21"/>
                      <w:lang w:val="en-US" w:eastAsia="zh-CN"/>
                    </w:rPr>
                  </w:pPr>
                  <w:r>
                    <w:rPr>
                      <w:rFonts w:hint="eastAsia"/>
                      <w:color w:val="auto"/>
                      <w:szCs w:val="21"/>
                      <w:lang w:val="en-US" w:eastAsia="zh-CN"/>
                    </w:rPr>
                    <w:t>28.66</w:t>
                  </w:r>
                </w:p>
              </w:tc>
              <w:tc>
                <w:tcPr>
                  <w:tcW w:w="208" w:type="pct"/>
                  <w:shd w:val="clear" w:color="auto" w:fill="auto"/>
                  <w:noWrap w:val="0"/>
                  <w:vAlign w:val="center"/>
                </w:tcPr>
                <w:p w14:paraId="15267A99">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36.74</w:t>
                  </w:r>
                </w:p>
              </w:tc>
              <w:tc>
                <w:tcPr>
                  <w:tcW w:w="208" w:type="pct"/>
                  <w:noWrap w:val="0"/>
                  <w:vAlign w:val="center"/>
                </w:tcPr>
                <w:p w14:paraId="16EA4F7D">
                  <w:pPr>
                    <w:jc w:val="center"/>
                    <w:rPr>
                      <w:rFonts w:hint="default"/>
                      <w:color w:val="auto"/>
                      <w:szCs w:val="21"/>
                      <w:lang w:val="en-US" w:eastAsia="zh-CN"/>
                    </w:rPr>
                  </w:pPr>
                  <w:r>
                    <w:rPr>
                      <w:rFonts w:hint="eastAsia"/>
                      <w:color w:val="auto"/>
                      <w:szCs w:val="21"/>
                      <w:lang w:val="en-US" w:eastAsia="zh-CN"/>
                    </w:rPr>
                    <w:t>16.33</w:t>
                  </w:r>
                </w:p>
              </w:tc>
              <w:tc>
                <w:tcPr>
                  <w:tcW w:w="169" w:type="pct"/>
                  <w:shd w:val="clear" w:color="auto" w:fill="auto"/>
                  <w:noWrap w:val="0"/>
                  <w:vAlign w:val="center"/>
                </w:tcPr>
                <w:p w14:paraId="780F0A0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6F8214E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3B5C4AF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4FF06945">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2CDA4C01">
                  <w:pPr>
                    <w:jc w:val="center"/>
                    <w:rPr>
                      <w:rFonts w:hint="eastAsia"/>
                      <w:color w:val="auto"/>
                      <w:szCs w:val="21"/>
                      <w:lang w:val="en-US" w:eastAsia="zh-CN"/>
                    </w:rPr>
                  </w:pPr>
                </w:p>
              </w:tc>
              <w:tc>
                <w:tcPr>
                  <w:tcW w:w="281" w:type="pct"/>
                  <w:vMerge w:val="continue"/>
                  <w:noWrap w:val="0"/>
                  <w:vAlign w:val="center"/>
                </w:tcPr>
                <w:p w14:paraId="3E6AF1EA">
                  <w:pPr>
                    <w:jc w:val="center"/>
                    <w:rPr>
                      <w:rFonts w:hint="eastAsia"/>
                      <w:color w:val="auto"/>
                      <w:szCs w:val="21"/>
                      <w:lang w:val="en-US" w:eastAsia="zh-CN"/>
                    </w:rPr>
                  </w:pPr>
                </w:p>
              </w:tc>
              <w:tc>
                <w:tcPr>
                  <w:tcW w:w="194" w:type="pct"/>
                  <w:shd w:val="clear" w:color="auto" w:fill="auto"/>
                  <w:noWrap w:val="0"/>
                  <w:vAlign w:val="center"/>
                </w:tcPr>
                <w:p w14:paraId="7CBD87D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636958D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D04ADE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1FCFFE2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19430C33">
                  <w:pPr>
                    <w:jc w:val="center"/>
                    <w:rPr>
                      <w:rFonts w:hint="default"/>
                      <w:color w:val="auto"/>
                      <w:szCs w:val="21"/>
                      <w:lang w:val="en-US" w:eastAsia="zh-CN"/>
                    </w:rPr>
                  </w:pPr>
                  <w:r>
                    <w:rPr>
                      <w:rFonts w:hint="eastAsia"/>
                      <w:color w:val="auto"/>
                      <w:szCs w:val="21"/>
                      <w:lang w:val="en-US" w:eastAsia="zh-CN"/>
                    </w:rPr>
                    <w:t>1</w:t>
                  </w:r>
                </w:p>
              </w:tc>
            </w:tr>
            <w:tr w14:paraId="1443E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noWrap w:val="0"/>
                  <w:vAlign w:val="center"/>
                </w:tcPr>
                <w:p w14:paraId="1A0024A2">
                  <w:pPr>
                    <w:pStyle w:val="16"/>
                    <w:jc w:val="center"/>
                    <w:rPr>
                      <w:rFonts w:hint="default"/>
                      <w:color w:val="auto"/>
                      <w:kern w:val="2"/>
                      <w:sz w:val="21"/>
                      <w:szCs w:val="21"/>
                      <w:lang w:val="en-US" w:eastAsia="zh-CN"/>
                    </w:rPr>
                  </w:pPr>
                </w:p>
              </w:tc>
              <w:tc>
                <w:tcPr>
                  <w:tcW w:w="168" w:type="pct"/>
                  <w:vMerge w:val="continue"/>
                  <w:noWrap w:val="0"/>
                  <w:vAlign w:val="center"/>
                </w:tcPr>
                <w:p w14:paraId="62EB0A1A">
                  <w:pPr>
                    <w:pStyle w:val="59"/>
                    <w:spacing w:before="48" w:after="48"/>
                    <w:rPr>
                      <w:rFonts w:hint="default" w:ascii="Times New Roman" w:hAnsi="Times New Roman"/>
                      <w:color w:val="auto"/>
                      <w:szCs w:val="21"/>
                      <w:lang w:val="en-US" w:eastAsia="zh-CN"/>
                    </w:rPr>
                  </w:pPr>
                </w:p>
              </w:tc>
              <w:tc>
                <w:tcPr>
                  <w:tcW w:w="273" w:type="pct"/>
                  <w:vMerge w:val="continue"/>
                  <w:noWrap w:val="0"/>
                  <w:vAlign w:val="center"/>
                </w:tcPr>
                <w:p w14:paraId="1AF784D4">
                  <w:pPr>
                    <w:pStyle w:val="59"/>
                    <w:spacing w:before="48" w:after="48"/>
                    <w:rPr>
                      <w:rFonts w:hint="default" w:ascii="Times New Roman" w:hAnsi="Times New Roman"/>
                      <w:color w:val="auto"/>
                      <w:szCs w:val="21"/>
                      <w:lang w:val="en-US" w:eastAsia="zh-CN"/>
                    </w:rPr>
                  </w:pPr>
                </w:p>
              </w:tc>
              <w:tc>
                <w:tcPr>
                  <w:tcW w:w="319" w:type="pct"/>
                  <w:vMerge w:val="continue"/>
                  <w:noWrap w:val="0"/>
                  <w:vAlign w:val="center"/>
                </w:tcPr>
                <w:p w14:paraId="644DDF5F">
                  <w:pPr>
                    <w:jc w:val="center"/>
                    <w:rPr>
                      <w:rFonts w:hint="eastAsia"/>
                      <w:color w:val="auto"/>
                      <w:szCs w:val="21"/>
                    </w:rPr>
                  </w:pPr>
                </w:p>
              </w:tc>
              <w:tc>
                <w:tcPr>
                  <w:tcW w:w="345" w:type="pct"/>
                  <w:noWrap w:val="0"/>
                  <w:vAlign w:val="center"/>
                </w:tcPr>
                <w:p w14:paraId="455DC213">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33.13</w:t>
                  </w:r>
                </w:p>
              </w:tc>
              <w:tc>
                <w:tcPr>
                  <w:tcW w:w="281" w:type="pct"/>
                  <w:noWrap w:val="0"/>
                  <w:vAlign w:val="center"/>
                </w:tcPr>
                <w:p w14:paraId="1438507E">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29.58</w:t>
                  </w:r>
                </w:p>
              </w:tc>
              <w:tc>
                <w:tcPr>
                  <w:tcW w:w="253" w:type="pct"/>
                  <w:noWrap w:val="0"/>
                  <w:vAlign w:val="center"/>
                </w:tcPr>
                <w:p w14:paraId="79604F19">
                  <w:pPr>
                    <w:jc w:val="center"/>
                    <w:rPr>
                      <w:rFonts w:hint="eastAsia" w:eastAsia="宋体"/>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4AC262E5">
                  <w:pPr>
                    <w:jc w:val="center"/>
                    <w:rPr>
                      <w:rFonts w:hint="default" w:eastAsia="宋体"/>
                      <w:color w:val="auto"/>
                      <w:szCs w:val="21"/>
                      <w:lang w:val="en-US" w:eastAsia="zh-CN"/>
                    </w:rPr>
                  </w:pPr>
                  <w:r>
                    <w:rPr>
                      <w:rFonts w:hint="eastAsia"/>
                      <w:color w:val="auto"/>
                      <w:szCs w:val="21"/>
                      <w:lang w:val="en-US" w:eastAsia="zh-CN"/>
                    </w:rPr>
                    <w:t>59.5</w:t>
                  </w:r>
                </w:p>
              </w:tc>
              <w:tc>
                <w:tcPr>
                  <w:tcW w:w="233" w:type="pct"/>
                  <w:noWrap w:val="0"/>
                  <w:vAlign w:val="center"/>
                </w:tcPr>
                <w:p w14:paraId="68BDCA3E">
                  <w:pPr>
                    <w:jc w:val="center"/>
                    <w:rPr>
                      <w:rFonts w:hint="default" w:eastAsia="宋体"/>
                      <w:color w:val="auto"/>
                      <w:szCs w:val="21"/>
                      <w:lang w:val="en-US" w:eastAsia="zh-CN"/>
                    </w:rPr>
                  </w:pPr>
                  <w:r>
                    <w:rPr>
                      <w:rFonts w:hint="eastAsia"/>
                      <w:color w:val="auto"/>
                      <w:szCs w:val="21"/>
                      <w:lang w:val="en-US" w:eastAsia="zh-CN"/>
                    </w:rPr>
                    <w:t>25.34</w:t>
                  </w:r>
                </w:p>
              </w:tc>
              <w:tc>
                <w:tcPr>
                  <w:tcW w:w="208" w:type="pct"/>
                  <w:shd w:val="clear" w:color="auto" w:fill="auto"/>
                  <w:noWrap w:val="0"/>
                  <w:vAlign w:val="center"/>
                </w:tcPr>
                <w:p w14:paraId="4F54F9C0">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36.68</w:t>
                  </w:r>
                </w:p>
              </w:tc>
              <w:tc>
                <w:tcPr>
                  <w:tcW w:w="208" w:type="pct"/>
                  <w:noWrap w:val="0"/>
                  <w:vAlign w:val="center"/>
                </w:tcPr>
                <w:p w14:paraId="5EDF03F1">
                  <w:pPr>
                    <w:jc w:val="center"/>
                    <w:rPr>
                      <w:rFonts w:hint="default" w:eastAsia="宋体"/>
                      <w:color w:val="auto"/>
                      <w:szCs w:val="21"/>
                      <w:lang w:val="en-US" w:eastAsia="zh-CN"/>
                    </w:rPr>
                  </w:pPr>
                  <w:r>
                    <w:rPr>
                      <w:rFonts w:hint="eastAsia"/>
                      <w:color w:val="auto"/>
                      <w:szCs w:val="21"/>
                      <w:lang w:val="en-US" w:eastAsia="zh-CN"/>
                    </w:rPr>
                    <w:t>19.65</w:t>
                  </w:r>
                </w:p>
              </w:tc>
              <w:tc>
                <w:tcPr>
                  <w:tcW w:w="169" w:type="pct"/>
                  <w:shd w:val="clear" w:color="auto" w:fill="auto"/>
                  <w:noWrap w:val="0"/>
                  <w:vAlign w:val="center"/>
                </w:tcPr>
                <w:p w14:paraId="19FE47C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2AAD003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7A38F2C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779C91F7">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39ADD0A0">
                  <w:pPr>
                    <w:jc w:val="center"/>
                    <w:rPr>
                      <w:rFonts w:hint="eastAsia"/>
                      <w:color w:val="auto"/>
                      <w:szCs w:val="21"/>
                    </w:rPr>
                  </w:pPr>
                </w:p>
              </w:tc>
              <w:tc>
                <w:tcPr>
                  <w:tcW w:w="281" w:type="pct"/>
                  <w:vMerge w:val="continue"/>
                  <w:noWrap w:val="0"/>
                  <w:vAlign w:val="center"/>
                </w:tcPr>
                <w:p w14:paraId="7548DF50">
                  <w:pPr>
                    <w:jc w:val="center"/>
                    <w:rPr>
                      <w:rFonts w:hint="eastAsia"/>
                      <w:color w:val="auto"/>
                      <w:szCs w:val="21"/>
                    </w:rPr>
                  </w:pPr>
                </w:p>
              </w:tc>
              <w:tc>
                <w:tcPr>
                  <w:tcW w:w="194" w:type="pct"/>
                  <w:shd w:val="clear" w:color="auto" w:fill="auto"/>
                  <w:noWrap w:val="0"/>
                  <w:vAlign w:val="center"/>
                </w:tcPr>
                <w:p w14:paraId="6CD999F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17A3F4F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779CBC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411616C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096A0A6">
                  <w:pPr>
                    <w:jc w:val="center"/>
                    <w:rPr>
                      <w:rFonts w:hint="eastAsia" w:eastAsia="宋体"/>
                      <w:color w:val="auto"/>
                      <w:szCs w:val="21"/>
                      <w:lang w:val="en-US" w:eastAsia="zh-CN"/>
                    </w:rPr>
                  </w:pPr>
                  <w:r>
                    <w:rPr>
                      <w:rFonts w:hint="eastAsia"/>
                      <w:color w:val="auto"/>
                      <w:szCs w:val="21"/>
                      <w:lang w:val="en-US" w:eastAsia="zh-CN"/>
                    </w:rPr>
                    <w:t>1</w:t>
                  </w:r>
                </w:p>
              </w:tc>
            </w:tr>
            <w:tr w14:paraId="502E2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5680A6BE">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搅拌上料一体机</w:t>
                  </w:r>
                </w:p>
              </w:tc>
              <w:tc>
                <w:tcPr>
                  <w:tcW w:w="168" w:type="pct"/>
                  <w:shd w:val="clear" w:color="auto" w:fill="auto"/>
                  <w:noWrap w:val="0"/>
                  <w:vAlign w:val="center"/>
                </w:tcPr>
                <w:p w14:paraId="77E39D5D">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1</w:t>
                  </w:r>
                </w:p>
              </w:tc>
              <w:tc>
                <w:tcPr>
                  <w:tcW w:w="273" w:type="pct"/>
                  <w:shd w:val="clear" w:color="auto" w:fill="auto"/>
                  <w:noWrap w:val="0"/>
                  <w:vAlign w:val="center"/>
                </w:tcPr>
                <w:p w14:paraId="6442C68F">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75</w:t>
                  </w:r>
                </w:p>
              </w:tc>
              <w:tc>
                <w:tcPr>
                  <w:tcW w:w="319" w:type="pct"/>
                  <w:vMerge w:val="continue"/>
                  <w:noWrap w:val="0"/>
                  <w:vAlign w:val="center"/>
                </w:tcPr>
                <w:p w14:paraId="038281F5">
                  <w:pPr>
                    <w:jc w:val="center"/>
                    <w:rPr>
                      <w:rFonts w:hint="eastAsia"/>
                      <w:color w:val="auto"/>
                      <w:szCs w:val="21"/>
                    </w:rPr>
                  </w:pPr>
                </w:p>
              </w:tc>
              <w:tc>
                <w:tcPr>
                  <w:tcW w:w="345" w:type="pct"/>
                  <w:noWrap w:val="0"/>
                  <w:vAlign w:val="center"/>
                </w:tcPr>
                <w:p w14:paraId="6D8D1BE4">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44.16</w:t>
                  </w:r>
                </w:p>
              </w:tc>
              <w:tc>
                <w:tcPr>
                  <w:tcW w:w="281" w:type="pct"/>
                  <w:noWrap w:val="0"/>
                  <w:vAlign w:val="center"/>
                </w:tcPr>
                <w:p w14:paraId="2B525600">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34.26</w:t>
                  </w:r>
                </w:p>
              </w:tc>
              <w:tc>
                <w:tcPr>
                  <w:tcW w:w="253" w:type="pct"/>
                  <w:noWrap w:val="0"/>
                  <w:vAlign w:val="center"/>
                </w:tcPr>
                <w:p w14:paraId="5EB69DF4">
                  <w:pPr>
                    <w:jc w:val="center"/>
                    <w:rPr>
                      <w:rFonts w:hint="eastAsia"/>
                      <w:color w:val="auto"/>
                      <w:kern w:val="2"/>
                      <w:sz w:val="21"/>
                      <w:szCs w:val="21"/>
                      <w:lang w:val="en-US" w:eastAsia="zh-CN" w:bidi="ar-SA"/>
                    </w:rPr>
                  </w:pPr>
                  <w:r>
                    <w:rPr>
                      <w:rFonts w:hint="eastAsia"/>
                      <w:color w:val="auto"/>
                      <w:szCs w:val="21"/>
                    </w:rPr>
                    <w:t>1</w:t>
                  </w:r>
                </w:p>
              </w:tc>
              <w:tc>
                <w:tcPr>
                  <w:tcW w:w="214" w:type="pct"/>
                  <w:noWrap w:val="0"/>
                  <w:vAlign w:val="center"/>
                </w:tcPr>
                <w:p w14:paraId="67DBF142">
                  <w:pPr>
                    <w:jc w:val="center"/>
                    <w:rPr>
                      <w:rFonts w:hint="default" w:eastAsia="宋体"/>
                      <w:color w:val="auto"/>
                      <w:szCs w:val="21"/>
                      <w:lang w:val="en-US" w:eastAsia="zh-CN"/>
                    </w:rPr>
                  </w:pPr>
                  <w:r>
                    <w:rPr>
                      <w:rFonts w:hint="eastAsia"/>
                      <w:color w:val="auto"/>
                      <w:szCs w:val="21"/>
                      <w:lang w:val="en-US" w:eastAsia="zh-CN"/>
                    </w:rPr>
                    <w:t>48.01</w:t>
                  </w:r>
                </w:p>
              </w:tc>
              <w:tc>
                <w:tcPr>
                  <w:tcW w:w="233" w:type="pct"/>
                  <w:noWrap w:val="0"/>
                  <w:vAlign w:val="center"/>
                </w:tcPr>
                <w:p w14:paraId="47C2614B">
                  <w:pPr>
                    <w:jc w:val="center"/>
                    <w:rPr>
                      <w:rFonts w:hint="default" w:eastAsia="宋体"/>
                      <w:color w:val="auto"/>
                      <w:szCs w:val="21"/>
                      <w:lang w:val="en-US" w:eastAsia="zh-CN"/>
                    </w:rPr>
                  </w:pPr>
                  <w:r>
                    <w:rPr>
                      <w:rFonts w:hint="eastAsia"/>
                      <w:color w:val="auto"/>
                      <w:szCs w:val="21"/>
                      <w:lang w:val="en-US" w:eastAsia="zh-CN"/>
                    </w:rPr>
                    <w:t>28.5</w:t>
                  </w:r>
                </w:p>
              </w:tc>
              <w:tc>
                <w:tcPr>
                  <w:tcW w:w="208" w:type="pct"/>
                  <w:noWrap w:val="0"/>
                  <w:vAlign w:val="center"/>
                </w:tcPr>
                <w:p w14:paraId="77879EF5">
                  <w:pPr>
                    <w:jc w:val="center"/>
                    <w:rPr>
                      <w:rFonts w:hint="default" w:eastAsia="宋体"/>
                      <w:color w:val="auto"/>
                      <w:szCs w:val="21"/>
                      <w:lang w:val="en-US" w:eastAsia="zh-CN"/>
                    </w:rPr>
                  </w:pPr>
                  <w:r>
                    <w:rPr>
                      <w:rFonts w:hint="eastAsia"/>
                      <w:color w:val="auto"/>
                      <w:szCs w:val="21"/>
                      <w:lang w:val="en-US" w:eastAsia="zh-CN"/>
                    </w:rPr>
                    <w:t>48.24</w:t>
                  </w:r>
                </w:p>
              </w:tc>
              <w:tc>
                <w:tcPr>
                  <w:tcW w:w="208" w:type="pct"/>
                  <w:noWrap w:val="0"/>
                  <w:vAlign w:val="center"/>
                </w:tcPr>
                <w:p w14:paraId="131C62D4">
                  <w:pPr>
                    <w:jc w:val="center"/>
                    <w:rPr>
                      <w:rFonts w:hint="default" w:eastAsia="宋体"/>
                      <w:color w:val="auto"/>
                      <w:szCs w:val="21"/>
                      <w:lang w:val="en-US" w:eastAsia="zh-CN"/>
                    </w:rPr>
                  </w:pPr>
                  <w:r>
                    <w:rPr>
                      <w:rFonts w:hint="eastAsia"/>
                      <w:color w:val="auto"/>
                      <w:szCs w:val="21"/>
                      <w:lang w:val="en-US" w:eastAsia="zh-CN"/>
                    </w:rPr>
                    <w:t>16.35</w:t>
                  </w:r>
                </w:p>
              </w:tc>
              <w:tc>
                <w:tcPr>
                  <w:tcW w:w="169" w:type="pct"/>
                  <w:shd w:val="clear" w:color="auto" w:fill="auto"/>
                  <w:noWrap w:val="0"/>
                  <w:vAlign w:val="center"/>
                </w:tcPr>
                <w:p w14:paraId="0937AAE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7B9C989D">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7B4D705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375DABB7">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11B57385">
                  <w:pPr>
                    <w:jc w:val="center"/>
                    <w:rPr>
                      <w:rFonts w:hint="eastAsia"/>
                      <w:color w:val="auto"/>
                      <w:szCs w:val="21"/>
                    </w:rPr>
                  </w:pPr>
                </w:p>
              </w:tc>
              <w:tc>
                <w:tcPr>
                  <w:tcW w:w="281" w:type="pct"/>
                  <w:vMerge w:val="continue"/>
                  <w:noWrap w:val="0"/>
                  <w:vAlign w:val="center"/>
                </w:tcPr>
                <w:p w14:paraId="40781C07">
                  <w:pPr>
                    <w:jc w:val="center"/>
                    <w:rPr>
                      <w:rFonts w:hint="eastAsia"/>
                      <w:color w:val="auto"/>
                      <w:szCs w:val="21"/>
                    </w:rPr>
                  </w:pPr>
                </w:p>
              </w:tc>
              <w:tc>
                <w:tcPr>
                  <w:tcW w:w="194" w:type="pct"/>
                  <w:shd w:val="clear" w:color="auto" w:fill="auto"/>
                  <w:noWrap w:val="0"/>
                  <w:vAlign w:val="center"/>
                </w:tcPr>
                <w:p w14:paraId="4353BD5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4D6FF4B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31E9B5C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222108B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10000E81">
                  <w:pPr>
                    <w:jc w:val="center"/>
                    <w:rPr>
                      <w:rFonts w:hint="eastAsia" w:eastAsia="宋体"/>
                      <w:color w:val="auto"/>
                      <w:szCs w:val="21"/>
                      <w:lang w:val="en-US" w:eastAsia="zh-CN"/>
                    </w:rPr>
                  </w:pPr>
                  <w:r>
                    <w:rPr>
                      <w:rFonts w:hint="eastAsia"/>
                      <w:color w:val="auto"/>
                      <w:szCs w:val="21"/>
                      <w:lang w:val="en-US" w:eastAsia="zh-CN"/>
                    </w:rPr>
                    <w:t>1</w:t>
                  </w:r>
                </w:p>
              </w:tc>
            </w:tr>
            <w:tr w14:paraId="08D23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458D8041">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切割锯</w:t>
                  </w:r>
                </w:p>
              </w:tc>
              <w:tc>
                <w:tcPr>
                  <w:tcW w:w="168" w:type="pct"/>
                  <w:shd w:val="clear" w:color="auto" w:fill="auto"/>
                  <w:noWrap w:val="0"/>
                  <w:vAlign w:val="center"/>
                </w:tcPr>
                <w:p w14:paraId="35C8C38B">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1</w:t>
                  </w:r>
                </w:p>
              </w:tc>
              <w:tc>
                <w:tcPr>
                  <w:tcW w:w="273" w:type="pct"/>
                  <w:shd w:val="clear" w:color="auto" w:fill="auto"/>
                  <w:noWrap w:val="0"/>
                  <w:vAlign w:val="center"/>
                </w:tcPr>
                <w:p w14:paraId="07D54B8B">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80</w:t>
                  </w:r>
                </w:p>
              </w:tc>
              <w:tc>
                <w:tcPr>
                  <w:tcW w:w="319" w:type="pct"/>
                  <w:vMerge w:val="continue"/>
                  <w:noWrap w:val="0"/>
                  <w:vAlign w:val="center"/>
                </w:tcPr>
                <w:p w14:paraId="06597198">
                  <w:pPr>
                    <w:jc w:val="center"/>
                    <w:rPr>
                      <w:rFonts w:hint="eastAsia"/>
                      <w:color w:val="auto"/>
                      <w:szCs w:val="21"/>
                    </w:rPr>
                  </w:pPr>
                </w:p>
              </w:tc>
              <w:tc>
                <w:tcPr>
                  <w:tcW w:w="345" w:type="pct"/>
                  <w:noWrap w:val="0"/>
                  <w:vAlign w:val="center"/>
                </w:tcPr>
                <w:p w14:paraId="05A7B4DA">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49.83</w:t>
                  </w:r>
                </w:p>
              </w:tc>
              <w:tc>
                <w:tcPr>
                  <w:tcW w:w="281" w:type="pct"/>
                  <w:noWrap w:val="0"/>
                  <w:vAlign w:val="center"/>
                </w:tcPr>
                <w:p w14:paraId="71394F5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34.87</w:t>
                  </w:r>
                </w:p>
              </w:tc>
              <w:tc>
                <w:tcPr>
                  <w:tcW w:w="253" w:type="pct"/>
                  <w:noWrap w:val="0"/>
                  <w:vAlign w:val="center"/>
                </w:tcPr>
                <w:p w14:paraId="3686F022">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09D605B2">
                  <w:pPr>
                    <w:jc w:val="center"/>
                    <w:rPr>
                      <w:rFonts w:hint="default" w:eastAsia="宋体"/>
                      <w:color w:val="auto"/>
                      <w:szCs w:val="21"/>
                      <w:lang w:val="en-US" w:eastAsia="zh-CN"/>
                    </w:rPr>
                  </w:pPr>
                  <w:r>
                    <w:rPr>
                      <w:rFonts w:hint="eastAsia"/>
                      <w:color w:val="auto"/>
                      <w:szCs w:val="21"/>
                      <w:lang w:val="en-US" w:eastAsia="zh-CN"/>
                    </w:rPr>
                    <w:t>42.3</w:t>
                  </w:r>
                </w:p>
              </w:tc>
              <w:tc>
                <w:tcPr>
                  <w:tcW w:w="233" w:type="pct"/>
                  <w:noWrap w:val="0"/>
                  <w:vAlign w:val="center"/>
                </w:tcPr>
                <w:p w14:paraId="20C52AA8">
                  <w:pPr>
                    <w:jc w:val="center"/>
                    <w:rPr>
                      <w:rFonts w:hint="default" w:eastAsia="宋体"/>
                      <w:color w:val="auto"/>
                      <w:szCs w:val="21"/>
                      <w:lang w:val="en-US" w:eastAsia="zh-CN"/>
                    </w:rPr>
                  </w:pPr>
                  <w:r>
                    <w:rPr>
                      <w:rFonts w:hint="eastAsia"/>
                      <w:color w:val="auto"/>
                      <w:szCs w:val="21"/>
                      <w:lang w:val="en-US" w:eastAsia="zh-CN"/>
                    </w:rPr>
                    <w:t>28.35</w:t>
                  </w:r>
                </w:p>
              </w:tc>
              <w:tc>
                <w:tcPr>
                  <w:tcW w:w="208" w:type="pct"/>
                  <w:noWrap w:val="0"/>
                  <w:vAlign w:val="center"/>
                </w:tcPr>
                <w:p w14:paraId="51B2CCD8">
                  <w:pPr>
                    <w:jc w:val="center"/>
                    <w:rPr>
                      <w:rFonts w:hint="default" w:eastAsia="宋体"/>
                      <w:color w:val="auto"/>
                      <w:szCs w:val="21"/>
                      <w:lang w:val="en-US" w:eastAsia="zh-CN"/>
                    </w:rPr>
                  </w:pPr>
                  <w:r>
                    <w:rPr>
                      <w:rFonts w:hint="eastAsia"/>
                      <w:color w:val="auto"/>
                      <w:szCs w:val="21"/>
                      <w:lang w:val="en-US" w:eastAsia="zh-CN"/>
                    </w:rPr>
                    <w:t>53.94</w:t>
                  </w:r>
                </w:p>
              </w:tc>
              <w:tc>
                <w:tcPr>
                  <w:tcW w:w="208" w:type="pct"/>
                  <w:noWrap w:val="0"/>
                  <w:vAlign w:val="center"/>
                </w:tcPr>
                <w:p w14:paraId="28E9CDAC">
                  <w:pPr>
                    <w:jc w:val="center"/>
                    <w:rPr>
                      <w:rFonts w:hint="default" w:eastAsia="宋体"/>
                      <w:color w:val="auto"/>
                      <w:szCs w:val="21"/>
                      <w:lang w:val="en-US" w:eastAsia="zh-CN"/>
                    </w:rPr>
                  </w:pPr>
                  <w:r>
                    <w:rPr>
                      <w:rFonts w:hint="eastAsia"/>
                      <w:color w:val="auto"/>
                      <w:szCs w:val="21"/>
                      <w:lang w:val="en-US" w:eastAsia="zh-CN"/>
                    </w:rPr>
                    <w:t>16.43</w:t>
                  </w:r>
                </w:p>
              </w:tc>
              <w:tc>
                <w:tcPr>
                  <w:tcW w:w="169" w:type="pct"/>
                  <w:noWrap w:val="0"/>
                  <w:vAlign w:val="center"/>
                </w:tcPr>
                <w:p w14:paraId="70A6F176">
                  <w:pPr>
                    <w:jc w:val="center"/>
                    <w:rPr>
                      <w:rFonts w:hint="default" w:eastAsia="宋体"/>
                      <w:color w:val="auto"/>
                      <w:szCs w:val="21"/>
                      <w:lang w:val="en-US" w:eastAsia="zh-CN"/>
                    </w:rPr>
                  </w:pPr>
                  <w:r>
                    <w:rPr>
                      <w:rFonts w:hint="eastAsia"/>
                      <w:color w:val="auto"/>
                      <w:szCs w:val="21"/>
                      <w:lang w:val="en-US" w:eastAsia="zh-CN"/>
                    </w:rPr>
                    <w:t>71</w:t>
                  </w:r>
                </w:p>
              </w:tc>
              <w:tc>
                <w:tcPr>
                  <w:tcW w:w="169" w:type="pct"/>
                  <w:shd w:val="clear" w:color="auto" w:fill="auto"/>
                  <w:noWrap w:val="0"/>
                  <w:vAlign w:val="center"/>
                </w:tcPr>
                <w:p w14:paraId="037A2DC3">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169" w:type="pct"/>
                  <w:shd w:val="clear" w:color="auto" w:fill="auto"/>
                  <w:noWrap w:val="0"/>
                  <w:vAlign w:val="center"/>
                </w:tcPr>
                <w:p w14:paraId="25F50E4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171" w:type="pct"/>
                  <w:shd w:val="clear" w:color="auto" w:fill="auto"/>
                  <w:noWrap w:val="0"/>
                  <w:vAlign w:val="center"/>
                </w:tcPr>
                <w:p w14:paraId="5BAC8E3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267" w:type="pct"/>
                  <w:vMerge w:val="continue"/>
                  <w:noWrap w:val="0"/>
                  <w:vAlign w:val="center"/>
                </w:tcPr>
                <w:p w14:paraId="1EA33239">
                  <w:pPr>
                    <w:jc w:val="center"/>
                    <w:rPr>
                      <w:rFonts w:hint="eastAsia"/>
                      <w:color w:val="auto"/>
                      <w:szCs w:val="21"/>
                    </w:rPr>
                  </w:pPr>
                </w:p>
              </w:tc>
              <w:tc>
                <w:tcPr>
                  <w:tcW w:w="281" w:type="pct"/>
                  <w:vMerge w:val="continue"/>
                  <w:noWrap w:val="0"/>
                  <w:vAlign w:val="center"/>
                </w:tcPr>
                <w:p w14:paraId="753B0C8A">
                  <w:pPr>
                    <w:jc w:val="center"/>
                    <w:rPr>
                      <w:rFonts w:hint="eastAsia"/>
                      <w:color w:val="auto"/>
                      <w:szCs w:val="21"/>
                    </w:rPr>
                  </w:pPr>
                </w:p>
              </w:tc>
              <w:tc>
                <w:tcPr>
                  <w:tcW w:w="194" w:type="pct"/>
                  <w:shd w:val="clear" w:color="auto" w:fill="auto"/>
                  <w:noWrap w:val="0"/>
                  <w:vAlign w:val="center"/>
                </w:tcPr>
                <w:p w14:paraId="49BEB59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200" w:type="pct"/>
                  <w:shd w:val="clear" w:color="auto" w:fill="auto"/>
                  <w:noWrap w:val="0"/>
                  <w:vAlign w:val="center"/>
                </w:tcPr>
                <w:p w14:paraId="7B787B2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90" w:type="pct"/>
                  <w:shd w:val="clear" w:color="auto" w:fill="auto"/>
                  <w:noWrap w:val="0"/>
                  <w:vAlign w:val="center"/>
                </w:tcPr>
                <w:p w14:paraId="391CEA7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98" w:type="pct"/>
                  <w:shd w:val="clear" w:color="auto" w:fill="auto"/>
                  <w:noWrap w:val="0"/>
                  <w:vAlign w:val="center"/>
                </w:tcPr>
                <w:p w14:paraId="63DAD11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243" w:type="pct"/>
                  <w:noWrap w:val="0"/>
                  <w:vAlign w:val="center"/>
                </w:tcPr>
                <w:p w14:paraId="6838F6D5">
                  <w:pPr>
                    <w:jc w:val="center"/>
                    <w:rPr>
                      <w:rFonts w:hint="eastAsia" w:eastAsia="宋体"/>
                      <w:color w:val="auto"/>
                      <w:szCs w:val="21"/>
                      <w:lang w:val="en-US" w:eastAsia="zh-CN"/>
                    </w:rPr>
                  </w:pPr>
                  <w:r>
                    <w:rPr>
                      <w:rFonts w:hint="eastAsia"/>
                      <w:color w:val="auto"/>
                      <w:szCs w:val="21"/>
                      <w:lang w:val="en-US" w:eastAsia="zh-CN"/>
                    </w:rPr>
                    <w:t>1</w:t>
                  </w:r>
                </w:p>
              </w:tc>
            </w:tr>
            <w:tr w14:paraId="5484A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67F072C1">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牵引机</w:t>
                  </w:r>
                </w:p>
              </w:tc>
              <w:tc>
                <w:tcPr>
                  <w:tcW w:w="168" w:type="pct"/>
                  <w:shd w:val="clear" w:color="auto" w:fill="auto"/>
                  <w:noWrap w:val="0"/>
                  <w:vAlign w:val="center"/>
                </w:tcPr>
                <w:p w14:paraId="427354FB">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1</w:t>
                  </w:r>
                </w:p>
              </w:tc>
              <w:tc>
                <w:tcPr>
                  <w:tcW w:w="273" w:type="pct"/>
                  <w:shd w:val="clear" w:color="auto" w:fill="auto"/>
                  <w:noWrap w:val="0"/>
                  <w:vAlign w:val="center"/>
                </w:tcPr>
                <w:p w14:paraId="2F7DAA8A">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75</w:t>
                  </w:r>
                </w:p>
              </w:tc>
              <w:tc>
                <w:tcPr>
                  <w:tcW w:w="319" w:type="pct"/>
                  <w:vMerge w:val="continue"/>
                  <w:noWrap w:val="0"/>
                  <w:vAlign w:val="center"/>
                </w:tcPr>
                <w:p w14:paraId="28CC630F">
                  <w:pPr>
                    <w:jc w:val="center"/>
                    <w:rPr>
                      <w:rFonts w:hint="eastAsia"/>
                      <w:color w:val="auto"/>
                      <w:szCs w:val="21"/>
                    </w:rPr>
                  </w:pPr>
                </w:p>
              </w:tc>
              <w:tc>
                <w:tcPr>
                  <w:tcW w:w="345" w:type="pct"/>
                  <w:noWrap w:val="0"/>
                  <w:vAlign w:val="center"/>
                </w:tcPr>
                <w:p w14:paraId="6026D74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54.27</w:t>
                  </w:r>
                </w:p>
              </w:tc>
              <w:tc>
                <w:tcPr>
                  <w:tcW w:w="281" w:type="pct"/>
                  <w:noWrap w:val="0"/>
                  <w:vAlign w:val="center"/>
                </w:tcPr>
                <w:p w14:paraId="6FA581A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35.02</w:t>
                  </w:r>
                </w:p>
              </w:tc>
              <w:tc>
                <w:tcPr>
                  <w:tcW w:w="253" w:type="pct"/>
                  <w:noWrap w:val="0"/>
                  <w:vAlign w:val="center"/>
                </w:tcPr>
                <w:p w14:paraId="45131CEA">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0168584D">
                  <w:pPr>
                    <w:jc w:val="center"/>
                    <w:rPr>
                      <w:rFonts w:hint="default" w:eastAsia="宋体"/>
                      <w:color w:val="auto"/>
                      <w:szCs w:val="21"/>
                      <w:lang w:val="en-US" w:eastAsia="zh-CN"/>
                    </w:rPr>
                  </w:pPr>
                  <w:r>
                    <w:rPr>
                      <w:rFonts w:hint="eastAsia"/>
                      <w:color w:val="auto"/>
                      <w:szCs w:val="21"/>
                      <w:lang w:val="en-US" w:eastAsia="zh-CN"/>
                    </w:rPr>
                    <w:t>37.88</w:t>
                  </w:r>
                </w:p>
              </w:tc>
              <w:tc>
                <w:tcPr>
                  <w:tcW w:w="233" w:type="pct"/>
                  <w:noWrap w:val="0"/>
                  <w:vAlign w:val="center"/>
                </w:tcPr>
                <w:p w14:paraId="6CF0DA5D">
                  <w:pPr>
                    <w:jc w:val="center"/>
                    <w:rPr>
                      <w:rFonts w:hint="default" w:eastAsia="宋体"/>
                      <w:color w:val="auto"/>
                      <w:szCs w:val="21"/>
                      <w:lang w:val="en-US" w:eastAsia="zh-CN"/>
                    </w:rPr>
                  </w:pPr>
                  <w:r>
                    <w:rPr>
                      <w:rFonts w:hint="eastAsia"/>
                      <w:color w:val="auto"/>
                      <w:szCs w:val="21"/>
                      <w:lang w:val="en-US" w:eastAsia="zh-CN"/>
                    </w:rPr>
                    <w:t>27.9</w:t>
                  </w:r>
                </w:p>
              </w:tc>
              <w:tc>
                <w:tcPr>
                  <w:tcW w:w="208" w:type="pct"/>
                  <w:noWrap w:val="0"/>
                  <w:vAlign w:val="center"/>
                </w:tcPr>
                <w:p w14:paraId="20EA6B7A">
                  <w:pPr>
                    <w:jc w:val="center"/>
                    <w:rPr>
                      <w:rFonts w:hint="default" w:eastAsia="宋体"/>
                      <w:color w:val="auto"/>
                      <w:szCs w:val="21"/>
                      <w:lang w:val="en-US" w:eastAsia="zh-CN"/>
                    </w:rPr>
                  </w:pPr>
                  <w:r>
                    <w:rPr>
                      <w:rFonts w:hint="eastAsia"/>
                      <w:color w:val="auto"/>
                      <w:szCs w:val="21"/>
                      <w:lang w:val="en-US" w:eastAsia="zh-CN"/>
                    </w:rPr>
                    <w:t>58.36</w:t>
                  </w:r>
                </w:p>
              </w:tc>
              <w:tc>
                <w:tcPr>
                  <w:tcW w:w="208" w:type="pct"/>
                  <w:noWrap w:val="0"/>
                  <w:vAlign w:val="center"/>
                </w:tcPr>
                <w:p w14:paraId="0ECA597B">
                  <w:pPr>
                    <w:jc w:val="center"/>
                    <w:rPr>
                      <w:rFonts w:hint="default" w:eastAsia="宋体"/>
                      <w:color w:val="auto"/>
                      <w:szCs w:val="21"/>
                      <w:lang w:val="en-US" w:eastAsia="zh-CN"/>
                    </w:rPr>
                  </w:pPr>
                  <w:r>
                    <w:rPr>
                      <w:rFonts w:hint="eastAsia"/>
                      <w:color w:val="auto"/>
                      <w:szCs w:val="21"/>
                      <w:lang w:val="en-US" w:eastAsia="zh-CN"/>
                    </w:rPr>
                    <w:t>16.82</w:t>
                  </w:r>
                </w:p>
              </w:tc>
              <w:tc>
                <w:tcPr>
                  <w:tcW w:w="169" w:type="pct"/>
                  <w:shd w:val="clear" w:color="auto" w:fill="auto"/>
                  <w:noWrap w:val="0"/>
                  <w:vAlign w:val="center"/>
                </w:tcPr>
                <w:p w14:paraId="1FC5C26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36B1483D">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5F6A714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2FE59C1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5BDB5CD6">
                  <w:pPr>
                    <w:jc w:val="center"/>
                    <w:rPr>
                      <w:rFonts w:hint="eastAsia"/>
                      <w:color w:val="auto"/>
                      <w:szCs w:val="21"/>
                    </w:rPr>
                  </w:pPr>
                </w:p>
              </w:tc>
              <w:tc>
                <w:tcPr>
                  <w:tcW w:w="281" w:type="pct"/>
                  <w:vMerge w:val="continue"/>
                  <w:noWrap w:val="0"/>
                  <w:vAlign w:val="center"/>
                </w:tcPr>
                <w:p w14:paraId="4E551402">
                  <w:pPr>
                    <w:jc w:val="center"/>
                    <w:rPr>
                      <w:rFonts w:hint="eastAsia"/>
                      <w:color w:val="auto"/>
                      <w:szCs w:val="21"/>
                    </w:rPr>
                  </w:pPr>
                </w:p>
              </w:tc>
              <w:tc>
                <w:tcPr>
                  <w:tcW w:w="194" w:type="pct"/>
                  <w:shd w:val="clear" w:color="auto" w:fill="auto"/>
                  <w:noWrap w:val="0"/>
                  <w:vAlign w:val="center"/>
                </w:tcPr>
                <w:p w14:paraId="6259C45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7FF7839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AA2CE1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500B140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4CB6F209">
                  <w:pPr>
                    <w:jc w:val="center"/>
                    <w:rPr>
                      <w:rFonts w:hint="eastAsia" w:eastAsia="宋体"/>
                      <w:color w:val="auto"/>
                      <w:szCs w:val="21"/>
                      <w:lang w:val="en-US" w:eastAsia="zh-CN"/>
                    </w:rPr>
                  </w:pPr>
                  <w:r>
                    <w:rPr>
                      <w:rFonts w:hint="eastAsia"/>
                      <w:color w:val="auto"/>
                      <w:szCs w:val="21"/>
                      <w:lang w:val="en-US" w:eastAsia="zh-CN"/>
                    </w:rPr>
                    <w:t>1</w:t>
                  </w:r>
                </w:p>
              </w:tc>
            </w:tr>
            <w:tr w14:paraId="6426F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restart"/>
                  <w:shd w:val="clear" w:color="auto" w:fill="auto"/>
                  <w:noWrap w:val="0"/>
                  <w:vAlign w:val="center"/>
                </w:tcPr>
                <w:p w14:paraId="171604FF">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发泡生产机组</w:t>
                  </w:r>
                </w:p>
              </w:tc>
              <w:tc>
                <w:tcPr>
                  <w:tcW w:w="168" w:type="pct"/>
                  <w:vMerge w:val="restart"/>
                  <w:shd w:val="clear" w:color="auto" w:fill="auto"/>
                  <w:noWrap w:val="0"/>
                  <w:vAlign w:val="center"/>
                </w:tcPr>
                <w:p w14:paraId="3E379D3D">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2</w:t>
                  </w:r>
                </w:p>
              </w:tc>
              <w:tc>
                <w:tcPr>
                  <w:tcW w:w="273" w:type="pct"/>
                  <w:shd w:val="clear" w:color="auto" w:fill="auto"/>
                  <w:noWrap w:val="0"/>
                  <w:vAlign w:val="center"/>
                </w:tcPr>
                <w:p w14:paraId="24055F28">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29925F14">
                  <w:pPr>
                    <w:jc w:val="center"/>
                    <w:rPr>
                      <w:rFonts w:hint="eastAsia"/>
                      <w:color w:val="auto"/>
                      <w:szCs w:val="21"/>
                    </w:rPr>
                  </w:pPr>
                </w:p>
              </w:tc>
              <w:tc>
                <w:tcPr>
                  <w:tcW w:w="345" w:type="pct"/>
                  <w:noWrap w:val="0"/>
                  <w:vAlign w:val="center"/>
                </w:tcPr>
                <w:p w14:paraId="0C1E9C81">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15.31</w:t>
                  </w:r>
                </w:p>
              </w:tc>
              <w:tc>
                <w:tcPr>
                  <w:tcW w:w="281" w:type="pct"/>
                  <w:noWrap w:val="0"/>
                  <w:vAlign w:val="center"/>
                </w:tcPr>
                <w:p w14:paraId="27658EBE">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22.54</w:t>
                  </w:r>
                </w:p>
              </w:tc>
              <w:tc>
                <w:tcPr>
                  <w:tcW w:w="253" w:type="pct"/>
                  <w:noWrap w:val="0"/>
                  <w:vAlign w:val="center"/>
                </w:tcPr>
                <w:p w14:paraId="3E402F40">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0CCE079C">
                  <w:pPr>
                    <w:jc w:val="center"/>
                    <w:rPr>
                      <w:rFonts w:hint="default" w:eastAsia="宋体"/>
                      <w:color w:val="auto"/>
                      <w:szCs w:val="21"/>
                      <w:lang w:val="en-US" w:eastAsia="zh-CN"/>
                    </w:rPr>
                  </w:pPr>
                  <w:r>
                    <w:rPr>
                      <w:rFonts w:hint="eastAsia"/>
                      <w:color w:val="auto"/>
                      <w:szCs w:val="21"/>
                      <w:lang w:val="en-US" w:eastAsia="zh-CN"/>
                    </w:rPr>
                    <w:t>78</w:t>
                  </w:r>
                </w:p>
              </w:tc>
              <w:tc>
                <w:tcPr>
                  <w:tcW w:w="233" w:type="pct"/>
                  <w:noWrap w:val="0"/>
                  <w:vAlign w:val="center"/>
                </w:tcPr>
                <w:p w14:paraId="00C7AD8A">
                  <w:pPr>
                    <w:jc w:val="center"/>
                    <w:rPr>
                      <w:rFonts w:hint="default" w:eastAsia="宋体"/>
                      <w:color w:val="auto"/>
                      <w:szCs w:val="21"/>
                      <w:lang w:val="en-US" w:eastAsia="zh-CN"/>
                    </w:rPr>
                  </w:pPr>
                  <w:r>
                    <w:rPr>
                      <w:rFonts w:hint="eastAsia"/>
                      <w:color w:val="auto"/>
                      <w:szCs w:val="21"/>
                      <w:lang w:val="en-US" w:eastAsia="zh-CN"/>
                    </w:rPr>
                    <w:t>20.75</w:t>
                  </w:r>
                </w:p>
              </w:tc>
              <w:tc>
                <w:tcPr>
                  <w:tcW w:w="208" w:type="pct"/>
                  <w:noWrap w:val="0"/>
                  <w:vAlign w:val="center"/>
                </w:tcPr>
                <w:p w14:paraId="03A9623C">
                  <w:pPr>
                    <w:jc w:val="center"/>
                    <w:rPr>
                      <w:rFonts w:hint="default" w:eastAsia="宋体"/>
                      <w:color w:val="auto"/>
                      <w:szCs w:val="21"/>
                      <w:lang w:val="en-US" w:eastAsia="zh-CN"/>
                    </w:rPr>
                  </w:pPr>
                  <w:r>
                    <w:rPr>
                      <w:rFonts w:hint="eastAsia"/>
                      <w:color w:val="auto"/>
                      <w:szCs w:val="21"/>
                      <w:lang w:val="en-US" w:eastAsia="zh-CN"/>
                    </w:rPr>
                    <w:t>18.08</w:t>
                  </w:r>
                </w:p>
              </w:tc>
              <w:tc>
                <w:tcPr>
                  <w:tcW w:w="208" w:type="pct"/>
                  <w:noWrap w:val="0"/>
                  <w:vAlign w:val="center"/>
                </w:tcPr>
                <w:p w14:paraId="7B770C91">
                  <w:pPr>
                    <w:jc w:val="center"/>
                    <w:rPr>
                      <w:rFonts w:hint="default" w:eastAsia="宋体"/>
                      <w:color w:val="auto"/>
                      <w:szCs w:val="21"/>
                      <w:lang w:val="en-US" w:eastAsia="zh-CN"/>
                    </w:rPr>
                  </w:pPr>
                  <w:r>
                    <w:rPr>
                      <w:rFonts w:hint="eastAsia"/>
                      <w:color w:val="auto"/>
                      <w:szCs w:val="21"/>
                      <w:lang w:val="en-US" w:eastAsia="zh-CN"/>
                    </w:rPr>
                    <w:t>24.47</w:t>
                  </w:r>
                </w:p>
              </w:tc>
              <w:tc>
                <w:tcPr>
                  <w:tcW w:w="169" w:type="pct"/>
                  <w:shd w:val="clear" w:color="auto" w:fill="auto"/>
                  <w:noWrap w:val="0"/>
                  <w:vAlign w:val="center"/>
                </w:tcPr>
                <w:p w14:paraId="06F1312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7FFA508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27E8736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15705475">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748F1110">
                  <w:pPr>
                    <w:jc w:val="center"/>
                    <w:rPr>
                      <w:rFonts w:hint="eastAsia"/>
                      <w:color w:val="auto"/>
                      <w:szCs w:val="21"/>
                    </w:rPr>
                  </w:pPr>
                </w:p>
              </w:tc>
              <w:tc>
                <w:tcPr>
                  <w:tcW w:w="281" w:type="pct"/>
                  <w:vMerge w:val="continue"/>
                  <w:noWrap w:val="0"/>
                  <w:vAlign w:val="center"/>
                </w:tcPr>
                <w:p w14:paraId="3D6BCF85">
                  <w:pPr>
                    <w:jc w:val="center"/>
                    <w:rPr>
                      <w:rFonts w:hint="eastAsia"/>
                      <w:color w:val="auto"/>
                      <w:szCs w:val="21"/>
                    </w:rPr>
                  </w:pPr>
                </w:p>
              </w:tc>
              <w:tc>
                <w:tcPr>
                  <w:tcW w:w="194" w:type="pct"/>
                  <w:shd w:val="clear" w:color="auto" w:fill="auto"/>
                  <w:noWrap w:val="0"/>
                  <w:vAlign w:val="center"/>
                </w:tcPr>
                <w:p w14:paraId="3EBA499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133B8A4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1384F74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7D75B6B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C9E9B68">
                  <w:pPr>
                    <w:jc w:val="center"/>
                    <w:rPr>
                      <w:rFonts w:hint="eastAsia" w:eastAsia="宋体"/>
                      <w:color w:val="auto"/>
                      <w:szCs w:val="21"/>
                      <w:lang w:val="en-US" w:eastAsia="zh-CN"/>
                    </w:rPr>
                  </w:pPr>
                  <w:r>
                    <w:rPr>
                      <w:rFonts w:hint="eastAsia"/>
                      <w:color w:val="auto"/>
                      <w:szCs w:val="21"/>
                      <w:lang w:val="en-US" w:eastAsia="zh-CN"/>
                    </w:rPr>
                    <w:t>1</w:t>
                  </w:r>
                </w:p>
              </w:tc>
            </w:tr>
            <w:tr w14:paraId="1BD12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noWrap w:val="0"/>
                  <w:vAlign w:val="center"/>
                </w:tcPr>
                <w:p w14:paraId="64F0B359">
                  <w:pPr>
                    <w:pStyle w:val="16"/>
                    <w:jc w:val="center"/>
                    <w:rPr>
                      <w:rFonts w:hint="eastAsia"/>
                      <w:color w:val="auto"/>
                      <w:kern w:val="2"/>
                      <w:sz w:val="21"/>
                      <w:szCs w:val="21"/>
                      <w:lang w:val="en-US" w:eastAsia="zh-CN"/>
                    </w:rPr>
                  </w:pPr>
                </w:p>
              </w:tc>
              <w:tc>
                <w:tcPr>
                  <w:tcW w:w="168" w:type="pct"/>
                  <w:vMerge w:val="continue"/>
                  <w:noWrap w:val="0"/>
                  <w:vAlign w:val="center"/>
                </w:tcPr>
                <w:p w14:paraId="7350A116">
                  <w:pPr>
                    <w:pStyle w:val="59"/>
                    <w:spacing w:before="48" w:after="48"/>
                    <w:rPr>
                      <w:rFonts w:hint="eastAsia" w:ascii="Times New Roman" w:hAnsi="Times New Roman"/>
                      <w:color w:val="auto"/>
                      <w:szCs w:val="21"/>
                      <w:lang w:val="en-US" w:eastAsia="zh-CN"/>
                    </w:rPr>
                  </w:pPr>
                </w:p>
              </w:tc>
              <w:tc>
                <w:tcPr>
                  <w:tcW w:w="273" w:type="pct"/>
                  <w:shd w:val="clear" w:color="auto" w:fill="auto"/>
                  <w:noWrap w:val="0"/>
                  <w:vAlign w:val="center"/>
                </w:tcPr>
                <w:p w14:paraId="6DD7620A">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0028572B">
                  <w:pPr>
                    <w:jc w:val="center"/>
                    <w:rPr>
                      <w:rFonts w:hint="eastAsia"/>
                      <w:color w:val="auto"/>
                      <w:szCs w:val="21"/>
                    </w:rPr>
                  </w:pPr>
                </w:p>
              </w:tc>
              <w:tc>
                <w:tcPr>
                  <w:tcW w:w="345" w:type="pct"/>
                  <w:noWrap w:val="0"/>
                  <w:vAlign w:val="center"/>
                </w:tcPr>
                <w:p w14:paraId="6E9176A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29.61</w:t>
                  </w:r>
                </w:p>
              </w:tc>
              <w:tc>
                <w:tcPr>
                  <w:tcW w:w="281" w:type="pct"/>
                  <w:noWrap w:val="0"/>
                  <w:vAlign w:val="center"/>
                </w:tcPr>
                <w:p w14:paraId="217D8109">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23.97</w:t>
                  </w:r>
                </w:p>
              </w:tc>
              <w:tc>
                <w:tcPr>
                  <w:tcW w:w="253" w:type="pct"/>
                  <w:noWrap w:val="0"/>
                  <w:vAlign w:val="center"/>
                </w:tcPr>
                <w:p w14:paraId="28A7C910">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43660E85">
                  <w:pPr>
                    <w:jc w:val="center"/>
                    <w:rPr>
                      <w:rFonts w:hint="default" w:eastAsia="宋体"/>
                      <w:color w:val="auto"/>
                      <w:szCs w:val="21"/>
                      <w:lang w:val="en-US" w:eastAsia="zh-CN"/>
                    </w:rPr>
                  </w:pPr>
                  <w:r>
                    <w:rPr>
                      <w:rFonts w:hint="eastAsia"/>
                      <w:color w:val="auto"/>
                      <w:szCs w:val="21"/>
                      <w:lang w:val="en-US" w:eastAsia="zh-CN"/>
                    </w:rPr>
                    <w:t>63.63</w:t>
                  </w:r>
                </w:p>
              </w:tc>
              <w:tc>
                <w:tcPr>
                  <w:tcW w:w="233" w:type="pct"/>
                  <w:noWrap w:val="0"/>
                  <w:vAlign w:val="center"/>
                </w:tcPr>
                <w:p w14:paraId="40FD6217">
                  <w:pPr>
                    <w:jc w:val="center"/>
                    <w:rPr>
                      <w:rFonts w:hint="default" w:eastAsia="宋体"/>
                      <w:color w:val="auto"/>
                      <w:szCs w:val="21"/>
                      <w:lang w:val="en-US" w:eastAsia="zh-CN"/>
                    </w:rPr>
                  </w:pPr>
                  <w:r>
                    <w:rPr>
                      <w:rFonts w:hint="eastAsia"/>
                      <w:color w:val="auto"/>
                      <w:szCs w:val="21"/>
                      <w:lang w:val="en-US" w:eastAsia="zh-CN"/>
                    </w:rPr>
                    <w:t>20.25</w:t>
                  </w:r>
                </w:p>
              </w:tc>
              <w:tc>
                <w:tcPr>
                  <w:tcW w:w="208" w:type="pct"/>
                  <w:noWrap w:val="0"/>
                  <w:vAlign w:val="center"/>
                </w:tcPr>
                <w:p w14:paraId="3D025727">
                  <w:pPr>
                    <w:jc w:val="center"/>
                    <w:rPr>
                      <w:rFonts w:hint="default" w:eastAsia="宋体"/>
                      <w:color w:val="auto"/>
                      <w:szCs w:val="21"/>
                      <w:lang w:val="en-US" w:eastAsia="zh-CN"/>
                    </w:rPr>
                  </w:pPr>
                  <w:r>
                    <w:rPr>
                      <w:rFonts w:hint="eastAsia"/>
                      <w:color w:val="auto"/>
                      <w:szCs w:val="21"/>
                      <w:lang w:val="en-US" w:eastAsia="zh-CN"/>
                    </w:rPr>
                    <w:t>32.44</w:t>
                  </w:r>
                </w:p>
              </w:tc>
              <w:tc>
                <w:tcPr>
                  <w:tcW w:w="208" w:type="pct"/>
                  <w:noWrap w:val="0"/>
                  <w:vAlign w:val="center"/>
                </w:tcPr>
                <w:p w14:paraId="58643DD7">
                  <w:pPr>
                    <w:jc w:val="center"/>
                    <w:rPr>
                      <w:rFonts w:hint="default" w:eastAsia="宋体"/>
                      <w:color w:val="auto"/>
                      <w:szCs w:val="21"/>
                      <w:lang w:val="en-US" w:eastAsia="zh-CN"/>
                    </w:rPr>
                  </w:pPr>
                  <w:r>
                    <w:rPr>
                      <w:rFonts w:hint="eastAsia"/>
                      <w:color w:val="auto"/>
                      <w:szCs w:val="21"/>
                      <w:lang w:val="en-US" w:eastAsia="zh-CN"/>
                    </w:rPr>
                    <w:t>24.79</w:t>
                  </w:r>
                </w:p>
              </w:tc>
              <w:tc>
                <w:tcPr>
                  <w:tcW w:w="169" w:type="pct"/>
                  <w:shd w:val="clear" w:color="auto" w:fill="auto"/>
                  <w:noWrap w:val="0"/>
                  <w:vAlign w:val="center"/>
                </w:tcPr>
                <w:p w14:paraId="1943BC9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54197FC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7A2D2EB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0A954075">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7B88DA4B">
                  <w:pPr>
                    <w:jc w:val="center"/>
                    <w:rPr>
                      <w:rFonts w:hint="eastAsia"/>
                      <w:color w:val="auto"/>
                      <w:szCs w:val="21"/>
                    </w:rPr>
                  </w:pPr>
                </w:p>
              </w:tc>
              <w:tc>
                <w:tcPr>
                  <w:tcW w:w="281" w:type="pct"/>
                  <w:vMerge w:val="continue"/>
                  <w:noWrap w:val="0"/>
                  <w:vAlign w:val="center"/>
                </w:tcPr>
                <w:p w14:paraId="51EDE690">
                  <w:pPr>
                    <w:jc w:val="center"/>
                    <w:rPr>
                      <w:rFonts w:hint="eastAsia"/>
                      <w:color w:val="auto"/>
                      <w:szCs w:val="21"/>
                    </w:rPr>
                  </w:pPr>
                </w:p>
              </w:tc>
              <w:tc>
                <w:tcPr>
                  <w:tcW w:w="194" w:type="pct"/>
                  <w:shd w:val="clear" w:color="auto" w:fill="auto"/>
                  <w:noWrap w:val="0"/>
                  <w:vAlign w:val="center"/>
                </w:tcPr>
                <w:p w14:paraId="09198C8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7897D05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09800E3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7510EB7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0986F98">
                  <w:pPr>
                    <w:jc w:val="center"/>
                    <w:rPr>
                      <w:rFonts w:hint="eastAsia" w:eastAsia="宋体"/>
                      <w:color w:val="auto"/>
                      <w:szCs w:val="21"/>
                      <w:lang w:val="en-US" w:eastAsia="zh-CN"/>
                    </w:rPr>
                  </w:pPr>
                  <w:r>
                    <w:rPr>
                      <w:rFonts w:hint="eastAsia"/>
                      <w:color w:val="auto"/>
                      <w:szCs w:val="21"/>
                      <w:lang w:val="en-US" w:eastAsia="zh-CN"/>
                    </w:rPr>
                    <w:t>1</w:t>
                  </w:r>
                </w:p>
              </w:tc>
            </w:tr>
            <w:tr w14:paraId="53221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2DA4EDF3">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下管机</w:t>
                  </w:r>
                </w:p>
              </w:tc>
              <w:tc>
                <w:tcPr>
                  <w:tcW w:w="168" w:type="pct"/>
                  <w:shd w:val="clear" w:color="auto" w:fill="auto"/>
                  <w:noWrap w:val="0"/>
                  <w:vAlign w:val="center"/>
                </w:tcPr>
                <w:p w14:paraId="64B740B8">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4654E842">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70</w:t>
                  </w:r>
                </w:p>
              </w:tc>
              <w:tc>
                <w:tcPr>
                  <w:tcW w:w="319" w:type="pct"/>
                  <w:vMerge w:val="continue"/>
                  <w:noWrap w:val="0"/>
                  <w:vAlign w:val="center"/>
                </w:tcPr>
                <w:p w14:paraId="47583CAC">
                  <w:pPr>
                    <w:jc w:val="center"/>
                    <w:rPr>
                      <w:rFonts w:hint="eastAsia"/>
                      <w:color w:val="auto"/>
                      <w:szCs w:val="21"/>
                    </w:rPr>
                  </w:pPr>
                </w:p>
              </w:tc>
              <w:tc>
                <w:tcPr>
                  <w:tcW w:w="345" w:type="pct"/>
                  <w:noWrap w:val="0"/>
                  <w:vAlign w:val="center"/>
                </w:tcPr>
                <w:p w14:paraId="390BA97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31.76</w:t>
                  </w:r>
                </w:p>
              </w:tc>
              <w:tc>
                <w:tcPr>
                  <w:tcW w:w="281" w:type="pct"/>
                  <w:noWrap w:val="0"/>
                  <w:vAlign w:val="center"/>
                </w:tcPr>
                <w:p w14:paraId="1ABBD210">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11.36</w:t>
                  </w:r>
                </w:p>
              </w:tc>
              <w:tc>
                <w:tcPr>
                  <w:tcW w:w="253" w:type="pct"/>
                  <w:noWrap w:val="0"/>
                  <w:vAlign w:val="center"/>
                </w:tcPr>
                <w:p w14:paraId="58FCFD19">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602B145C">
                  <w:pPr>
                    <w:jc w:val="center"/>
                    <w:rPr>
                      <w:rFonts w:hint="default" w:eastAsia="宋体"/>
                      <w:color w:val="auto"/>
                      <w:szCs w:val="21"/>
                      <w:lang w:val="en-US" w:eastAsia="zh-CN"/>
                    </w:rPr>
                  </w:pPr>
                  <w:r>
                    <w:rPr>
                      <w:rFonts w:hint="eastAsia"/>
                      <w:color w:val="auto"/>
                      <w:szCs w:val="21"/>
                      <w:lang w:val="en-US" w:eastAsia="zh-CN"/>
                    </w:rPr>
                    <w:t>62.93</w:t>
                  </w:r>
                </w:p>
              </w:tc>
              <w:tc>
                <w:tcPr>
                  <w:tcW w:w="233" w:type="pct"/>
                  <w:noWrap w:val="0"/>
                  <w:vAlign w:val="center"/>
                </w:tcPr>
                <w:p w14:paraId="694341F8">
                  <w:pPr>
                    <w:jc w:val="center"/>
                    <w:rPr>
                      <w:rFonts w:hint="default" w:eastAsia="宋体"/>
                      <w:color w:val="auto"/>
                      <w:szCs w:val="21"/>
                      <w:lang w:val="en-US" w:eastAsia="zh-CN"/>
                    </w:rPr>
                  </w:pPr>
                  <w:r>
                    <w:rPr>
                      <w:rFonts w:hint="eastAsia"/>
                      <w:color w:val="auto"/>
                      <w:szCs w:val="21"/>
                      <w:lang w:val="en-US" w:eastAsia="zh-CN"/>
                    </w:rPr>
                    <w:t>7.47</w:t>
                  </w:r>
                </w:p>
              </w:tc>
              <w:tc>
                <w:tcPr>
                  <w:tcW w:w="208" w:type="pct"/>
                  <w:noWrap w:val="0"/>
                  <w:vAlign w:val="center"/>
                </w:tcPr>
                <w:p w14:paraId="5F163B80">
                  <w:pPr>
                    <w:jc w:val="center"/>
                    <w:rPr>
                      <w:rFonts w:hint="default" w:eastAsia="宋体"/>
                      <w:color w:val="auto"/>
                      <w:szCs w:val="21"/>
                      <w:lang w:val="en-US" w:eastAsia="zh-CN"/>
                    </w:rPr>
                  </w:pPr>
                  <w:r>
                    <w:rPr>
                      <w:rFonts w:hint="eastAsia"/>
                      <w:color w:val="auto"/>
                      <w:szCs w:val="21"/>
                      <w:lang w:val="en-US" w:eastAsia="zh-CN"/>
                    </w:rPr>
                    <w:t>32.89</w:t>
                  </w:r>
                </w:p>
              </w:tc>
              <w:tc>
                <w:tcPr>
                  <w:tcW w:w="208" w:type="pct"/>
                  <w:noWrap w:val="0"/>
                  <w:vAlign w:val="center"/>
                </w:tcPr>
                <w:p w14:paraId="7A18833F">
                  <w:pPr>
                    <w:jc w:val="center"/>
                    <w:rPr>
                      <w:rFonts w:hint="default" w:eastAsia="宋体"/>
                      <w:color w:val="auto"/>
                      <w:szCs w:val="21"/>
                      <w:lang w:val="en-US" w:eastAsia="zh-CN"/>
                    </w:rPr>
                  </w:pPr>
                  <w:r>
                    <w:rPr>
                      <w:rFonts w:hint="eastAsia"/>
                      <w:color w:val="auto"/>
                      <w:szCs w:val="21"/>
                      <w:lang w:val="en-US" w:eastAsia="zh-CN"/>
                    </w:rPr>
                    <w:t>37.57</w:t>
                  </w:r>
                </w:p>
              </w:tc>
              <w:tc>
                <w:tcPr>
                  <w:tcW w:w="169" w:type="pct"/>
                  <w:noWrap w:val="0"/>
                  <w:vAlign w:val="center"/>
                </w:tcPr>
                <w:p w14:paraId="7120FAAE">
                  <w:pPr>
                    <w:jc w:val="center"/>
                    <w:rPr>
                      <w:rFonts w:hint="default" w:eastAsia="宋体"/>
                      <w:color w:val="auto"/>
                      <w:szCs w:val="21"/>
                      <w:lang w:val="en-US" w:eastAsia="zh-CN"/>
                    </w:rPr>
                  </w:pPr>
                  <w:r>
                    <w:rPr>
                      <w:rFonts w:hint="eastAsia"/>
                      <w:color w:val="auto"/>
                      <w:szCs w:val="21"/>
                      <w:lang w:val="en-US" w:eastAsia="zh-CN"/>
                    </w:rPr>
                    <w:t>61</w:t>
                  </w:r>
                </w:p>
              </w:tc>
              <w:tc>
                <w:tcPr>
                  <w:tcW w:w="169" w:type="pct"/>
                  <w:shd w:val="clear" w:color="auto" w:fill="auto"/>
                  <w:noWrap w:val="0"/>
                  <w:vAlign w:val="center"/>
                </w:tcPr>
                <w:p w14:paraId="1C95EAB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69" w:type="pct"/>
                  <w:shd w:val="clear" w:color="auto" w:fill="auto"/>
                  <w:noWrap w:val="0"/>
                  <w:vAlign w:val="center"/>
                </w:tcPr>
                <w:p w14:paraId="019F180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71" w:type="pct"/>
                  <w:shd w:val="clear" w:color="auto" w:fill="auto"/>
                  <w:noWrap w:val="0"/>
                  <w:vAlign w:val="center"/>
                </w:tcPr>
                <w:p w14:paraId="4ADB82B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267" w:type="pct"/>
                  <w:vMerge w:val="continue"/>
                  <w:noWrap w:val="0"/>
                  <w:vAlign w:val="center"/>
                </w:tcPr>
                <w:p w14:paraId="5927A8C8">
                  <w:pPr>
                    <w:jc w:val="center"/>
                    <w:rPr>
                      <w:rFonts w:hint="eastAsia"/>
                      <w:color w:val="auto"/>
                      <w:szCs w:val="21"/>
                    </w:rPr>
                  </w:pPr>
                </w:p>
              </w:tc>
              <w:tc>
                <w:tcPr>
                  <w:tcW w:w="281" w:type="pct"/>
                  <w:vMerge w:val="continue"/>
                  <w:noWrap w:val="0"/>
                  <w:vAlign w:val="center"/>
                </w:tcPr>
                <w:p w14:paraId="43152708">
                  <w:pPr>
                    <w:jc w:val="center"/>
                    <w:rPr>
                      <w:rFonts w:hint="eastAsia"/>
                      <w:color w:val="auto"/>
                      <w:szCs w:val="21"/>
                    </w:rPr>
                  </w:pPr>
                </w:p>
              </w:tc>
              <w:tc>
                <w:tcPr>
                  <w:tcW w:w="194" w:type="pct"/>
                  <w:shd w:val="clear" w:color="auto" w:fill="auto"/>
                  <w:noWrap w:val="0"/>
                  <w:vAlign w:val="center"/>
                </w:tcPr>
                <w:p w14:paraId="344CE36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00" w:type="pct"/>
                  <w:shd w:val="clear" w:color="auto" w:fill="auto"/>
                  <w:noWrap w:val="0"/>
                  <w:vAlign w:val="center"/>
                </w:tcPr>
                <w:p w14:paraId="304C1DF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0" w:type="pct"/>
                  <w:shd w:val="clear" w:color="auto" w:fill="auto"/>
                  <w:noWrap w:val="0"/>
                  <w:vAlign w:val="center"/>
                </w:tcPr>
                <w:p w14:paraId="5933135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8" w:type="pct"/>
                  <w:shd w:val="clear" w:color="auto" w:fill="auto"/>
                  <w:noWrap w:val="0"/>
                  <w:vAlign w:val="center"/>
                </w:tcPr>
                <w:p w14:paraId="456C2B6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43" w:type="pct"/>
                  <w:noWrap w:val="0"/>
                  <w:vAlign w:val="center"/>
                </w:tcPr>
                <w:p w14:paraId="6F05B592">
                  <w:pPr>
                    <w:jc w:val="center"/>
                    <w:rPr>
                      <w:rFonts w:hint="eastAsia" w:eastAsia="宋体"/>
                      <w:color w:val="auto"/>
                      <w:szCs w:val="21"/>
                      <w:lang w:val="en-US" w:eastAsia="zh-CN"/>
                    </w:rPr>
                  </w:pPr>
                  <w:r>
                    <w:rPr>
                      <w:rFonts w:hint="eastAsia"/>
                      <w:color w:val="auto"/>
                      <w:szCs w:val="21"/>
                      <w:lang w:val="en-US" w:eastAsia="zh-CN"/>
                    </w:rPr>
                    <w:t>1</w:t>
                  </w:r>
                </w:p>
              </w:tc>
            </w:tr>
            <w:tr w14:paraId="46952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581A097C">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上管机</w:t>
                  </w:r>
                </w:p>
              </w:tc>
              <w:tc>
                <w:tcPr>
                  <w:tcW w:w="168" w:type="pct"/>
                  <w:shd w:val="clear" w:color="auto" w:fill="auto"/>
                  <w:noWrap w:val="0"/>
                  <w:vAlign w:val="center"/>
                </w:tcPr>
                <w:p w14:paraId="4965DACD">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150D675D">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70</w:t>
                  </w:r>
                </w:p>
              </w:tc>
              <w:tc>
                <w:tcPr>
                  <w:tcW w:w="319" w:type="pct"/>
                  <w:vMerge w:val="continue"/>
                  <w:noWrap w:val="0"/>
                  <w:vAlign w:val="center"/>
                </w:tcPr>
                <w:p w14:paraId="0B6C21DC">
                  <w:pPr>
                    <w:jc w:val="center"/>
                    <w:rPr>
                      <w:rFonts w:hint="eastAsia"/>
                      <w:color w:val="auto"/>
                      <w:szCs w:val="21"/>
                    </w:rPr>
                  </w:pPr>
                </w:p>
              </w:tc>
              <w:tc>
                <w:tcPr>
                  <w:tcW w:w="345" w:type="pct"/>
                  <w:noWrap w:val="0"/>
                  <w:vAlign w:val="center"/>
                </w:tcPr>
                <w:p w14:paraId="03366982">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42.3</w:t>
                  </w:r>
                </w:p>
              </w:tc>
              <w:tc>
                <w:tcPr>
                  <w:tcW w:w="281" w:type="pct"/>
                  <w:noWrap w:val="0"/>
                  <w:vAlign w:val="center"/>
                </w:tcPr>
                <w:p w14:paraId="1AEF596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12.29</w:t>
                  </w:r>
                </w:p>
              </w:tc>
              <w:tc>
                <w:tcPr>
                  <w:tcW w:w="253" w:type="pct"/>
                  <w:noWrap w:val="0"/>
                  <w:vAlign w:val="center"/>
                </w:tcPr>
                <w:p w14:paraId="668BF18A">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7AD0E8F2">
                  <w:pPr>
                    <w:jc w:val="center"/>
                    <w:rPr>
                      <w:rFonts w:hint="default" w:eastAsia="宋体"/>
                      <w:color w:val="auto"/>
                      <w:szCs w:val="21"/>
                      <w:lang w:val="en-US" w:eastAsia="zh-CN"/>
                    </w:rPr>
                  </w:pPr>
                  <w:r>
                    <w:rPr>
                      <w:rFonts w:hint="eastAsia"/>
                      <w:color w:val="auto"/>
                      <w:szCs w:val="21"/>
                      <w:lang w:val="en-US" w:eastAsia="zh-CN"/>
                    </w:rPr>
                    <w:t>52.36</w:t>
                  </w:r>
                </w:p>
              </w:tc>
              <w:tc>
                <w:tcPr>
                  <w:tcW w:w="233" w:type="pct"/>
                  <w:noWrap w:val="0"/>
                  <w:vAlign w:val="center"/>
                </w:tcPr>
                <w:p w14:paraId="3232795D">
                  <w:pPr>
                    <w:jc w:val="center"/>
                    <w:rPr>
                      <w:rFonts w:hint="default" w:eastAsia="宋体"/>
                      <w:color w:val="auto"/>
                      <w:szCs w:val="21"/>
                      <w:lang w:val="en-US" w:eastAsia="zh-CN"/>
                    </w:rPr>
                  </w:pPr>
                  <w:r>
                    <w:rPr>
                      <w:rFonts w:hint="eastAsia"/>
                      <w:color w:val="auto"/>
                      <w:szCs w:val="21"/>
                      <w:lang w:val="en-US" w:eastAsia="zh-CN"/>
                    </w:rPr>
                    <w:t>6.98</w:t>
                  </w:r>
                </w:p>
              </w:tc>
              <w:tc>
                <w:tcPr>
                  <w:tcW w:w="208" w:type="pct"/>
                  <w:noWrap w:val="0"/>
                  <w:vAlign w:val="center"/>
                </w:tcPr>
                <w:p w14:paraId="79A3D2AB">
                  <w:pPr>
                    <w:jc w:val="center"/>
                    <w:rPr>
                      <w:rFonts w:hint="default" w:eastAsia="宋体"/>
                      <w:color w:val="auto"/>
                      <w:szCs w:val="21"/>
                      <w:lang w:val="en-US" w:eastAsia="zh-CN"/>
                    </w:rPr>
                  </w:pPr>
                  <w:r>
                    <w:rPr>
                      <w:rFonts w:hint="eastAsia"/>
                      <w:color w:val="auto"/>
                      <w:szCs w:val="21"/>
                      <w:lang w:val="en-US" w:eastAsia="zh-CN"/>
                    </w:rPr>
                    <w:t>43.46</w:t>
                  </w:r>
                </w:p>
              </w:tc>
              <w:tc>
                <w:tcPr>
                  <w:tcW w:w="208" w:type="pct"/>
                  <w:noWrap w:val="0"/>
                  <w:vAlign w:val="center"/>
                </w:tcPr>
                <w:p w14:paraId="3638CE04">
                  <w:pPr>
                    <w:jc w:val="center"/>
                    <w:rPr>
                      <w:rFonts w:hint="default" w:eastAsia="宋体"/>
                      <w:color w:val="auto"/>
                      <w:szCs w:val="21"/>
                      <w:lang w:val="en-US" w:eastAsia="zh-CN"/>
                    </w:rPr>
                  </w:pPr>
                  <w:r>
                    <w:rPr>
                      <w:rFonts w:hint="eastAsia"/>
                      <w:color w:val="auto"/>
                      <w:szCs w:val="21"/>
                      <w:lang w:val="en-US" w:eastAsia="zh-CN"/>
                    </w:rPr>
                    <w:t>37.93</w:t>
                  </w:r>
                </w:p>
              </w:tc>
              <w:tc>
                <w:tcPr>
                  <w:tcW w:w="169" w:type="pct"/>
                  <w:shd w:val="clear" w:color="auto" w:fill="auto"/>
                  <w:noWrap w:val="0"/>
                  <w:vAlign w:val="center"/>
                </w:tcPr>
                <w:p w14:paraId="437030A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61</w:t>
                  </w:r>
                </w:p>
              </w:tc>
              <w:tc>
                <w:tcPr>
                  <w:tcW w:w="169" w:type="pct"/>
                  <w:shd w:val="clear" w:color="auto" w:fill="auto"/>
                  <w:noWrap w:val="0"/>
                  <w:vAlign w:val="center"/>
                </w:tcPr>
                <w:p w14:paraId="68E62BA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69" w:type="pct"/>
                  <w:shd w:val="clear" w:color="auto" w:fill="auto"/>
                  <w:noWrap w:val="0"/>
                  <w:vAlign w:val="center"/>
                </w:tcPr>
                <w:p w14:paraId="0980DA1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71" w:type="pct"/>
                  <w:shd w:val="clear" w:color="auto" w:fill="auto"/>
                  <w:noWrap w:val="0"/>
                  <w:vAlign w:val="center"/>
                </w:tcPr>
                <w:p w14:paraId="5B77BCC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267" w:type="pct"/>
                  <w:vMerge w:val="continue"/>
                  <w:noWrap w:val="0"/>
                  <w:vAlign w:val="center"/>
                </w:tcPr>
                <w:p w14:paraId="57FC011A">
                  <w:pPr>
                    <w:jc w:val="center"/>
                    <w:rPr>
                      <w:rFonts w:hint="eastAsia"/>
                      <w:color w:val="auto"/>
                      <w:szCs w:val="21"/>
                    </w:rPr>
                  </w:pPr>
                </w:p>
              </w:tc>
              <w:tc>
                <w:tcPr>
                  <w:tcW w:w="281" w:type="pct"/>
                  <w:vMerge w:val="continue"/>
                  <w:noWrap w:val="0"/>
                  <w:vAlign w:val="center"/>
                </w:tcPr>
                <w:p w14:paraId="08BA9624">
                  <w:pPr>
                    <w:jc w:val="center"/>
                    <w:rPr>
                      <w:rFonts w:hint="eastAsia"/>
                      <w:color w:val="auto"/>
                      <w:szCs w:val="21"/>
                    </w:rPr>
                  </w:pPr>
                </w:p>
              </w:tc>
              <w:tc>
                <w:tcPr>
                  <w:tcW w:w="194" w:type="pct"/>
                  <w:shd w:val="clear" w:color="auto" w:fill="auto"/>
                  <w:noWrap w:val="0"/>
                  <w:vAlign w:val="center"/>
                </w:tcPr>
                <w:p w14:paraId="6EC4C40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00" w:type="pct"/>
                  <w:shd w:val="clear" w:color="auto" w:fill="auto"/>
                  <w:noWrap w:val="0"/>
                  <w:vAlign w:val="center"/>
                </w:tcPr>
                <w:p w14:paraId="72693D78">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0" w:type="pct"/>
                  <w:shd w:val="clear" w:color="auto" w:fill="auto"/>
                  <w:noWrap w:val="0"/>
                  <w:vAlign w:val="center"/>
                </w:tcPr>
                <w:p w14:paraId="4ABB516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8" w:type="pct"/>
                  <w:shd w:val="clear" w:color="auto" w:fill="auto"/>
                  <w:noWrap w:val="0"/>
                  <w:vAlign w:val="center"/>
                </w:tcPr>
                <w:p w14:paraId="428FA2C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43" w:type="pct"/>
                  <w:noWrap w:val="0"/>
                  <w:vAlign w:val="center"/>
                </w:tcPr>
                <w:p w14:paraId="7177FF83">
                  <w:pPr>
                    <w:jc w:val="center"/>
                    <w:rPr>
                      <w:rFonts w:hint="eastAsia" w:eastAsia="宋体"/>
                      <w:color w:val="auto"/>
                      <w:szCs w:val="21"/>
                      <w:lang w:val="en-US" w:eastAsia="zh-CN"/>
                    </w:rPr>
                  </w:pPr>
                  <w:r>
                    <w:rPr>
                      <w:rFonts w:hint="eastAsia"/>
                      <w:color w:val="auto"/>
                      <w:szCs w:val="21"/>
                      <w:lang w:val="en-US" w:eastAsia="zh-CN"/>
                    </w:rPr>
                    <w:t>1</w:t>
                  </w:r>
                </w:p>
              </w:tc>
            </w:tr>
            <w:tr w14:paraId="1A54E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4F059B48">
                  <w:pPr>
                    <w:widowControl/>
                    <w:adjustRightInd w:val="0"/>
                    <w:snapToGrid w:val="0"/>
                    <w:jc w:val="center"/>
                    <w:rPr>
                      <w:rFonts w:hint="default"/>
                      <w:color w:val="auto"/>
                      <w:kern w:val="2"/>
                      <w:sz w:val="21"/>
                      <w:szCs w:val="21"/>
                      <w:lang w:val="en-US" w:eastAsia="zh-CN"/>
                    </w:rPr>
                  </w:pPr>
                  <w:r>
                    <w:rPr>
                      <w:rFonts w:hint="default" w:ascii="Times New Roman" w:hAnsi="Times New Roman" w:cs="Times New Roman"/>
                      <w:color w:val="auto"/>
                      <w:sz w:val="21"/>
                      <w:szCs w:val="21"/>
                      <w:shd w:val="clear" w:color="auto" w:fill="auto"/>
                    </w:rPr>
                    <w:t>穿管机</w:t>
                  </w:r>
                </w:p>
              </w:tc>
              <w:tc>
                <w:tcPr>
                  <w:tcW w:w="168" w:type="pct"/>
                  <w:shd w:val="clear" w:color="auto" w:fill="auto"/>
                  <w:noWrap w:val="0"/>
                  <w:vAlign w:val="center"/>
                </w:tcPr>
                <w:p w14:paraId="24C1564C">
                  <w:pPr>
                    <w:widowControl/>
                    <w:adjustRightInd w:val="0"/>
                    <w:snapToGrid w:val="0"/>
                    <w:jc w:val="center"/>
                    <w:rPr>
                      <w:rFonts w:hint="default" w:ascii="Times New Roman" w:hAnsi="Times New Roman"/>
                      <w:color w:val="auto"/>
                      <w:szCs w:val="21"/>
                      <w:lang w:val="en-US" w:eastAsia="zh-CN"/>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6F6C8154">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75EE0E67">
                  <w:pPr>
                    <w:jc w:val="center"/>
                    <w:rPr>
                      <w:rFonts w:hint="eastAsia"/>
                      <w:color w:val="auto"/>
                      <w:szCs w:val="21"/>
                    </w:rPr>
                  </w:pPr>
                </w:p>
              </w:tc>
              <w:tc>
                <w:tcPr>
                  <w:tcW w:w="345" w:type="pct"/>
                  <w:noWrap w:val="0"/>
                  <w:vAlign w:val="center"/>
                </w:tcPr>
                <w:p w14:paraId="43B8F325">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37.24</w:t>
                  </w:r>
                </w:p>
              </w:tc>
              <w:tc>
                <w:tcPr>
                  <w:tcW w:w="281" w:type="pct"/>
                  <w:noWrap w:val="0"/>
                  <w:vAlign w:val="center"/>
                </w:tcPr>
                <w:p w14:paraId="5A44E6E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11.98</w:t>
                  </w:r>
                </w:p>
              </w:tc>
              <w:tc>
                <w:tcPr>
                  <w:tcW w:w="253" w:type="pct"/>
                  <w:shd w:val="clear" w:color="auto" w:fill="auto"/>
                  <w:noWrap w:val="0"/>
                  <w:vAlign w:val="center"/>
                </w:tcPr>
                <w:p w14:paraId="233E0E8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2EB33FC6">
                  <w:pPr>
                    <w:jc w:val="center"/>
                    <w:rPr>
                      <w:rFonts w:hint="default" w:eastAsia="宋体"/>
                      <w:color w:val="auto"/>
                      <w:szCs w:val="21"/>
                      <w:lang w:val="en-US" w:eastAsia="zh-CN"/>
                    </w:rPr>
                  </w:pPr>
                  <w:r>
                    <w:rPr>
                      <w:rFonts w:hint="eastAsia"/>
                      <w:color w:val="auto"/>
                      <w:szCs w:val="21"/>
                      <w:lang w:val="en-US" w:eastAsia="zh-CN"/>
                    </w:rPr>
                    <w:t>57.42</w:t>
                  </w:r>
                </w:p>
              </w:tc>
              <w:tc>
                <w:tcPr>
                  <w:tcW w:w="233" w:type="pct"/>
                  <w:shd w:val="clear" w:color="auto" w:fill="auto"/>
                  <w:noWrap w:val="0"/>
                  <w:vAlign w:val="center"/>
                </w:tcPr>
                <w:p w14:paraId="776CF5C9">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7.35</w:t>
                  </w:r>
                </w:p>
              </w:tc>
              <w:tc>
                <w:tcPr>
                  <w:tcW w:w="208" w:type="pct"/>
                  <w:shd w:val="clear" w:color="auto" w:fill="auto"/>
                  <w:noWrap w:val="0"/>
                  <w:vAlign w:val="center"/>
                </w:tcPr>
                <w:p w14:paraId="206A8AD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38.41</w:t>
                  </w:r>
                </w:p>
              </w:tc>
              <w:tc>
                <w:tcPr>
                  <w:tcW w:w="208" w:type="pct"/>
                  <w:noWrap w:val="0"/>
                  <w:vAlign w:val="center"/>
                </w:tcPr>
                <w:p w14:paraId="5548491B">
                  <w:pPr>
                    <w:jc w:val="center"/>
                    <w:rPr>
                      <w:rFonts w:hint="default" w:eastAsia="宋体"/>
                      <w:color w:val="auto"/>
                      <w:szCs w:val="21"/>
                      <w:lang w:val="en-US" w:eastAsia="zh-CN"/>
                    </w:rPr>
                  </w:pPr>
                  <w:r>
                    <w:rPr>
                      <w:rFonts w:hint="eastAsia"/>
                      <w:color w:val="auto"/>
                      <w:szCs w:val="21"/>
                      <w:lang w:val="en-US" w:eastAsia="zh-CN"/>
                    </w:rPr>
                    <w:t>37.62</w:t>
                  </w:r>
                </w:p>
              </w:tc>
              <w:tc>
                <w:tcPr>
                  <w:tcW w:w="169" w:type="pct"/>
                  <w:shd w:val="clear" w:color="auto" w:fill="auto"/>
                  <w:noWrap w:val="0"/>
                  <w:vAlign w:val="center"/>
                </w:tcPr>
                <w:p w14:paraId="774A1C48">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63226ED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0E597B5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5F80FA2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311E08B6">
                  <w:pPr>
                    <w:jc w:val="center"/>
                    <w:rPr>
                      <w:rFonts w:hint="eastAsia"/>
                      <w:color w:val="auto"/>
                      <w:szCs w:val="21"/>
                    </w:rPr>
                  </w:pPr>
                </w:p>
              </w:tc>
              <w:tc>
                <w:tcPr>
                  <w:tcW w:w="281" w:type="pct"/>
                  <w:vMerge w:val="continue"/>
                  <w:noWrap w:val="0"/>
                  <w:vAlign w:val="center"/>
                </w:tcPr>
                <w:p w14:paraId="3822D6F0">
                  <w:pPr>
                    <w:jc w:val="center"/>
                    <w:rPr>
                      <w:rFonts w:hint="eastAsia"/>
                      <w:color w:val="auto"/>
                      <w:szCs w:val="21"/>
                    </w:rPr>
                  </w:pPr>
                </w:p>
              </w:tc>
              <w:tc>
                <w:tcPr>
                  <w:tcW w:w="194" w:type="pct"/>
                  <w:shd w:val="clear" w:color="auto" w:fill="auto"/>
                  <w:noWrap w:val="0"/>
                  <w:vAlign w:val="center"/>
                </w:tcPr>
                <w:p w14:paraId="02BFC6B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3406B3F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0DB42217">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2B9B85F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4F40F05A">
                  <w:pPr>
                    <w:jc w:val="center"/>
                    <w:rPr>
                      <w:rFonts w:hint="eastAsia" w:eastAsia="宋体"/>
                      <w:color w:val="auto"/>
                      <w:szCs w:val="21"/>
                      <w:lang w:val="en-US" w:eastAsia="zh-CN"/>
                    </w:rPr>
                  </w:pPr>
                  <w:r>
                    <w:rPr>
                      <w:rFonts w:hint="eastAsia"/>
                      <w:color w:val="auto"/>
                      <w:szCs w:val="21"/>
                      <w:lang w:val="en-US" w:eastAsia="zh-CN"/>
                    </w:rPr>
                    <w:t>1</w:t>
                  </w:r>
                </w:p>
              </w:tc>
            </w:tr>
            <w:tr w14:paraId="3214F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restart"/>
                  <w:shd w:val="clear" w:color="auto" w:fill="auto"/>
                  <w:noWrap w:val="0"/>
                  <w:vAlign w:val="center"/>
                </w:tcPr>
                <w:p w14:paraId="3DE5BD3C">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全自动液压纠偏机</w:t>
                  </w:r>
                </w:p>
              </w:tc>
              <w:tc>
                <w:tcPr>
                  <w:tcW w:w="168" w:type="pct"/>
                  <w:vMerge w:val="restart"/>
                  <w:shd w:val="clear" w:color="auto" w:fill="auto"/>
                  <w:noWrap w:val="0"/>
                  <w:vAlign w:val="center"/>
                </w:tcPr>
                <w:p w14:paraId="4E9D4E30">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2</w:t>
                  </w:r>
                </w:p>
              </w:tc>
              <w:tc>
                <w:tcPr>
                  <w:tcW w:w="273" w:type="pct"/>
                  <w:vMerge w:val="restart"/>
                  <w:shd w:val="clear" w:color="auto" w:fill="auto"/>
                  <w:noWrap w:val="0"/>
                  <w:vAlign w:val="center"/>
                </w:tcPr>
                <w:p w14:paraId="792D2061">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6973D636">
                  <w:pPr>
                    <w:jc w:val="center"/>
                    <w:rPr>
                      <w:rFonts w:hint="eastAsia"/>
                      <w:color w:val="auto"/>
                      <w:szCs w:val="21"/>
                    </w:rPr>
                  </w:pPr>
                </w:p>
              </w:tc>
              <w:tc>
                <w:tcPr>
                  <w:tcW w:w="345" w:type="pct"/>
                  <w:noWrap w:val="0"/>
                  <w:vAlign w:val="center"/>
                </w:tcPr>
                <w:p w14:paraId="2B0DA92D">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28.92</w:t>
                  </w:r>
                </w:p>
              </w:tc>
              <w:tc>
                <w:tcPr>
                  <w:tcW w:w="281" w:type="pct"/>
                  <w:noWrap w:val="0"/>
                  <w:vAlign w:val="center"/>
                </w:tcPr>
                <w:p w14:paraId="2E35E179">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7.39</w:t>
                  </w:r>
                </w:p>
              </w:tc>
              <w:tc>
                <w:tcPr>
                  <w:tcW w:w="253" w:type="pct"/>
                  <w:shd w:val="clear" w:color="auto" w:fill="auto"/>
                  <w:noWrap w:val="0"/>
                  <w:vAlign w:val="center"/>
                </w:tcPr>
                <w:p w14:paraId="78384EE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1FA2424D">
                  <w:pPr>
                    <w:jc w:val="center"/>
                    <w:rPr>
                      <w:rFonts w:hint="default" w:eastAsia="宋体"/>
                      <w:color w:val="auto"/>
                      <w:szCs w:val="21"/>
                      <w:lang w:val="en-US" w:eastAsia="zh-CN"/>
                    </w:rPr>
                  </w:pPr>
                  <w:r>
                    <w:rPr>
                      <w:rFonts w:hint="eastAsia"/>
                      <w:color w:val="auto"/>
                      <w:szCs w:val="21"/>
                      <w:lang w:val="en-US" w:eastAsia="zh-CN"/>
                    </w:rPr>
                    <w:t>66.21</w:t>
                  </w:r>
                </w:p>
              </w:tc>
              <w:tc>
                <w:tcPr>
                  <w:tcW w:w="233" w:type="pct"/>
                  <w:shd w:val="clear" w:color="auto" w:fill="auto"/>
                  <w:noWrap w:val="0"/>
                  <w:vAlign w:val="center"/>
                </w:tcPr>
                <w:p w14:paraId="4FC8FB0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3.91</w:t>
                  </w:r>
                </w:p>
              </w:tc>
              <w:tc>
                <w:tcPr>
                  <w:tcW w:w="208" w:type="pct"/>
                  <w:shd w:val="clear" w:color="auto" w:fill="auto"/>
                  <w:noWrap w:val="0"/>
                  <w:vAlign w:val="center"/>
                </w:tcPr>
                <w:p w14:paraId="340E52F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29.55</w:t>
                  </w:r>
                </w:p>
              </w:tc>
              <w:tc>
                <w:tcPr>
                  <w:tcW w:w="208" w:type="pct"/>
                  <w:noWrap w:val="0"/>
                  <w:vAlign w:val="center"/>
                </w:tcPr>
                <w:p w14:paraId="22F16750">
                  <w:pPr>
                    <w:jc w:val="center"/>
                    <w:rPr>
                      <w:rFonts w:hint="default" w:eastAsia="宋体"/>
                      <w:color w:val="auto"/>
                      <w:szCs w:val="21"/>
                      <w:lang w:val="en-US" w:eastAsia="zh-CN"/>
                    </w:rPr>
                  </w:pPr>
                  <w:r>
                    <w:rPr>
                      <w:rFonts w:hint="eastAsia"/>
                      <w:color w:val="auto"/>
                      <w:szCs w:val="21"/>
                      <w:lang w:val="en-US" w:eastAsia="zh-CN"/>
                    </w:rPr>
                    <w:t>41.16</w:t>
                  </w:r>
                </w:p>
              </w:tc>
              <w:tc>
                <w:tcPr>
                  <w:tcW w:w="169" w:type="pct"/>
                  <w:shd w:val="clear" w:color="auto" w:fill="auto"/>
                  <w:noWrap w:val="0"/>
                  <w:vAlign w:val="center"/>
                </w:tcPr>
                <w:p w14:paraId="2E2CE27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3ACBA63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599F828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22341817">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5B76A427">
                  <w:pPr>
                    <w:jc w:val="center"/>
                    <w:rPr>
                      <w:rFonts w:hint="eastAsia"/>
                      <w:color w:val="auto"/>
                      <w:szCs w:val="21"/>
                    </w:rPr>
                  </w:pPr>
                </w:p>
              </w:tc>
              <w:tc>
                <w:tcPr>
                  <w:tcW w:w="281" w:type="pct"/>
                  <w:vMerge w:val="continue"/>
                  <w:noWrap w:val="0"/>
                  <w:vAlign w:val="center"/>
                </w:tcPr>
                <w:p w14:paraId="2E66EE3D">
                  <w:pPr>
                    <w:jc w:val="center"/>
                    <w:rPr>
                      <w:rFonts w:hint="eastAsia"/>
                      <w:color w:val="auto"/>
                      <w:szCs w:val="21"/>
                    </w:rPr>
                  </w:pPr>
                </w:p>
              </w:tc>
              <w:tc>
                <w:tcPr>
                  <w:tcW w:w="194" w:type="pct"/>
                  <w:shd w:val="clear" w:color="auto" w:fill="auto"/>
                  <w:noWrap w:val="0"/>
                  <w:vAlign w:val="center"/>
                </w:tcPr>
                <w:p w14:paraId="1EBECD2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31AE87F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22486DD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7A33162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62F83613">
                  <w:pPr>
                    <w:jc w:val="center"/>
                    <w:rPr>
                      <w:rFonts w:hint="eastAsia" w:eastAsia="宋体"/>
                      <w:color w:val="auto"/>
                      <w:szCs w:val="21"/>
                      <w:lang w:val="en-US" w:eastAsia="zh-CN"/>
                    </w:rPr>
                  </w:pPr>
                  <w:r>
                    <w:rPr>
                      <w:rFonts w:hint="eastAsia"/>
                      <w:color w:val="auto"/>
                      <w:szCs w:val="21"/>
                      <w:lang w:val="en-US" w:eastAsia="zh-CN"/>
                    </w:rPr>
                    <w:t>1</w:t>
                  </w:r>
                </w:p>
              </w:tc>
            </w:tr>
            <w:tr w14:paraId="5FC58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shd w:val="clear" w:color="auto" w:fill="auto"/>
                  <w:noWrap w:val="0"/>
                  <w:vAlign w:val="center"/>
                </w:tcPr>
                <w:p w14:paraId="2C4B3F2A">
                  <w:pPr>
                    <w:widowControl/>
                    <w:adjustRightInd w:val="0"/>
                    <w:snapToGrid w:val="0"/>
                    <w:jc w:val="center"/>
                    <w:rPr>
                      <w:rFonts w:hint="default" w:ascii="Times New Roman" w:hAnsi="Times New Roman" w:cs="Times New Roman"/>
                      <w:color w:val="auto"/>
                      <w:sz w:val="21"/>
                      <w:szCs w:val="21"/>
                      <w:shd w:val="clear" w:color="auto" w:fill="auto"/>
                    </w:rPr>
                  </w:pPr>
                </w:p>
              </w:tc>
              <w:tc>
                <w:tcPr>
                  <w:tcW w:w="168" w:type="pct"/>
                  <w:vMerge w:val="continue"/>
                  <w:shd w:val="clear" w:color="auto" w:fill="auto"/>
                  <w:noWrap w:val="0"/>
                  <w:vAlign w:val="center"/>
                </w:tcPr>
                <w:p w14:paraId="57BD3D48">
                  <w:pPr>
                    <w:widowControl/>
                    <w:adjustRightInd w:val="0"/>
                    <w:snapToGrid w:val="0"/>
                    <w:jc w:val="center"/>
                    <w:rPr>
                      <w:rFonts w:hint="default" w:ascii="Times New Roman" w:hAnsi="Times New Roman" w:cs="Times New Roman"/>
                      <w:color w:val="auto"/>
                      <w:sz w:val="21"/>
                      <w:szCs w:val="21"/>
                      <w:shd w:val="clear" w:color="auto" w:fill="auto"/>
                    </w:rPr>
                  </w:pPr>
                </w:p>
              </w:tc>
              <w:tc>
                <w:tcPr>
                  <w:tcW w:w="273" w:type="pct"/>
                  <w:vMerge w:val="continue"/>
                  <w:shd w:val="clear" w:color="auto" w:fill="auto"/>
                  <w:noWrap w:val="0"/>
                  <w:vAlign w:val="center"/>
                </w:tcPr>
                <w:p w14:paraId="707854C7">
                  <w:pPr>
                    <w:pStyle w:val="59"/>
                    <w:rPr>
                      <w:rFonts w:hint="default" w:ascii="Times New Roman" w:hAnsi="Times New Roman" w:eastAsia="宋体" w:cs="Times New Roman"/>
                      <w:color w:val="auto"/>
                      <w:kern w:val="2"/>
                      <w:sz w:val="21"/>
                      <w:szCs w:val="21"/>
                      <w:shd w:val="clear" w:color="auto" w:fill="auto"/>
                    </w:rPr>
                  </w:pPr>
                </w:p>
              </w:tc>
              <w:tc>
                <w:tcPr>
                  <w:tcW w:w="319" w:type="pct"/>
                  <w:vMerge w:val="continue"/>
                  <w:noWrap w:val="0"/>
                  <w:vAlign w:val="center"/>
                </w:tcPr>
                <w:p w14:paraId="6D8B731F">
                  <w:pPr>
                    <w:jc w:val="center"/>
                    <w:rPr>
                      <w:rFonts w:hint="eastAsia"/>
                      <w:color w:val="auto"/>
                      <w:szCs w:val="21"/>
                    </w:rPr>
                  </w:pPr>
                </w:p>
              </w:tc>
              <w:tc>
                <w:tcPr>
                  <w:tcW w:w="345" w:type="pct"/>
                  <w:noWrap w:val="0"/>
                  <w:vAlign w:val="center"/>
                </w:tcPr>
                <w:p w14:paraId="36FFB78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32.32</w:t>
                  </w:r>
                </w:p>
              </w:tc>
              <w:tc>
                <w:tcPr>
                  <w:tcW w:w="281" w:type="pct"/>
                  <w:noWrap w:val="0"/>
                  <w:vAlign w:val="center"/>
                </w:tcPr>
                <w:p w14:paraId="3A17C9E6">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7.78</w:t>
                  </w:r>
                </w:p>
              </w:tc>
              <w:tc>
                <w:tcPr>
                  <w:tcW w:w="253" w:type="pct"/>
                  <w:shd w:val="clear" w:color="auto" w:fill="auto"/>
                  <w:noWrap w:val="0"/>
                  <w:vAlign w:val="center"/>
                </w:tcPr>
                <w:p w14:paraId="150F2423">
                  <w:pPr>
                    <w:jc w:val="center"/>
                    <w:rPr>
                      <w:rFonts w:hint="default"/>
                      <w:color w:val="auto"/>
                      <w:szCs w:val="21"/>
                      <w:lang w:val="en-US" w:eastAsia="zh-CN"/>
                    </w:rPr>
                  </w:pPr>
                  <w:r>
                    <w:rPr>
                      <w:rFonts w:hint="eastAsia"/>
                      <w:color w:val="auto"/>
                      <w:szCs w:val="21"/>
                      <w:lang w:val="en-US" w:eastAsia="zh-CN"/>
                    </w:rPr>
                    <w:t>1</w:t>
                  </w:r>
                </w:p>
              </w:tc>
              <w:tc>
                <w:tcPr>
                  <w:tcW w:w="214" w:type="pct"/>
                  <w:noWrap w:val="0"/>
                  <w:vAlign w:val="center"/>
                </w:tcPr>
                <w:p w14:paraId="44BC3799">
                  <w:pPr>
                    <w:jc w:val="center"/>
                    <w:rPr>
                      <w:rFonts w:hint="default" w:eastAsia="宋体"/>
                      <w:color w:val="auto"/>
                      <w:szCs w:val="21"/>
                      <w:lang w:val="en-US" w:eastAsia="zh-CN"/>
                    </w:rPr>
                  </w:pPr>
                  <w:r>
                    <w:rPr>
                      <w:rFonts w:hint="eastAsia"/>
                      <w:color w:val="auto"/>
                      <w:szCs w:val="21"/>
                      <w:lang w:val="en-US" w:eastAsia="zh-CN"/>
                    </w:rPr>
                    <w:t>62.78</w:t>
                  </w:r>
                </w:p>
              </w:tc>
              <w:tc>
                <w:tcPr>
                  <w:tcW w:w="233" w:type="pct"/>
                  <w:shd w:val="clear" w:color="auto" w:fill="auto"/>
                  <w:noWrap w:val="0"/>
                  <w:vAlign w:val="center"/>
                </w:tcPr>
                <w:p w14:paraId="58DCB32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3.84</w:t>
                  </w:r>
                </w:p>
              </w:tc>
              <w:tc>
                <w:tcPr>
                  <w:tcW w:w="208" w:type="pct"/>
                  <w:shd w:val="clear" w:color="auto" w:fill="auto"/>
                  <w:noWrap w:val="0"/>
                  <w:vAlign w:val="center"/>
                </w:tcPr>
                <w:p w14:paraId="1C5D6D2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32.97</w:t>
                  </w:r>
                </w:p>
              </w:tc>
              <w:tc>
                <w:tcPr>
                  <w:tcW w:w="208" w:type="pct"/>
                  <w:noWrap w:val="0"/>
                  <w:vAlign w:val="center"/>
                </w:tcPr>
                <w:p w14:paraId="2EF10D32">
                  <w:pPr>
                    <w:jc w:val="center"/>
                    <w:rPr>
                      <w:rFonts w:hint="default" w:eastAsia="宋体"/>
                      <w:color w:val="auto"/>
                      <w:szCs w:val="21"/>
                      <w:lang w:val="en-US" w:eastAsia="zh-CN"/>
                    </w:rPr>
                  </w:pPr>
                  <w:r>
                    <w:rPr>
                      <w:rFonts w:hint="eastAsia"/>
                      <w:color w:val="auto"/>
                      <w:szCs w:val="21"/>
                      <w:lang w:val="en-US" w:eastAsia="zh-CN"/>
                    </w:rPr>
                    <w:t>41.19</w:t>
                  </w:r>
                </w:p>
              </w:tc>
              <w:tc>
                <w:tcPr>
                  <w:tcW w:w="169" w:type="pct"/>
                  <w:shd w:val="clear" w:color="auto" w:fill="auto"/>
                  <w:noWrap w:val="0"/>
                  <w:vAlign w:val="center"/>
                </w:tcPr>
                <w:p w14:paraId="76DFD54E">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10ED598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6B2CF17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7A389F0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4BE6072C">
                  <w:pPr>
                    <w:jc w:val="center"/>
                    <w:rPr>
                      <w:rFonts w:hint="eastAsia"/>
                      <w:color w:val="auto"/>
                      <w:szCs w:val="21"/>
                    </w:rPr>
                  </w:pPr>
                </w:p>
              </w:tc>
              <w:tc>
                <w:tcPr>
                  <w:tcW w:w="281" w:type="pct"/>
                  <w:vMerge w:val="continue"/>
                  <w:noWrap w:val="0"/>
                  <w:vAlign w:val="center"/>
                </w:tcPr>
                <w:p w14:paraId="707AF3D6">
                  <w:pPr>
                    <w:jc w:val="center"/>
                    <w:rPr>
                      <w:rFonts w:hint="eastAsia"/>
                      <w:color w:val="auto"/>
                      <w:szCs w:val="21"/>
                    </w:rPr>
                  </w:pPr>
                </w:p>
              </w:tc>
              <w:tc>
                <w:tcPr>
                  <w:tcW w:w="194" w:type="pct"/>
                  <w:shd w:val="clear" w:color="auto" w:fill="auto"/>
                  <w:noWrap w:val="0"/>
                  <w:vAlign w:val="center"/>
                </w:tcPr>
                <w:p w14:paraId="6879D30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3AB93F8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2BABC6A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6BC365B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30386E95">
                  <w:pPr>
                    <w:jc w:val="center"/>
                    <w:rPr>
                      <w:rFonts w:hint="eastAsia"/>
                      <w:color w:val="auto"/>
                      <w:szCs w:val="21"/>
                      <w:lang w:val="en-US" w:eastAsia="zh-CN"/>
                    </w:rPr>
                  </w:pPr>
                </w:p>
              </w:tc>
            </w:tr>
            <w:tr w14:paraId="69614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01A8A00F">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水泵</w:t>
                  </w:r>
                </w:p>
              </w:tc>
              <w:tc>
                <w:tcPr>
                  <w:tcW w:w="168" w:type="pct"/>
                  <w:shd w:val="clear" w:color="auto" w:fill="auto"/>
                  <w:noWrap w:val="0"/>
                  <w:vAlign w:val="center"/>
                </w:tcPr>
                <w:p w14:paraId="0313EE92">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283636B5">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70</w:t>
                  </w:r>
                </w:p>
              </w:tc>
              <w:tc>
                <w:tcPr>
                  <w:tcW w:w="319" w:type="pct"/>
                  <w:vMerge w:val="continue"/>
                  <w:noWrap w:val="0"/>
                  <w:vAlign w:val="center"/>
                </w:tcPr>
                <w:p w14:paraId="0A7BA4C1">
                  <w:pPr>
                    <w:jc w:val="center"/>
                    <w:rPr>
                      <w:rFonts w:hint="eastAsia"/>
                      <w:color w:val="auto"/>
                      <w:szCs w:val="21"/>
                    </w:rPr>
                  </w:pPr>
                </w:p>
              </w:tc>
              <w:tc>
                <w:tcPr>
                  <w:tcW w:w="345" w:type="pct"/>
                  <w:noWrap w:val="0"/>
                  <w:vAlign w:val="center"/>
                </w:tcPr>
                <w:p w14:paraId="43B8A3B6">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24.25</w:t>
                  </w:r>
                </w:p>
              </w:tc>
              <w:tc>
                <w:tcPr>
                  <w:tcW w:w="281" w:type="pct"/>
                  <w:noWrap w:val="0"/>
                  <w:vAlign w:val="center"/>
                </w:tcPr>
                <w:p w14:paraId="60BE0A23">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33.72</w:t>
                  </w:r>
                </w:p>
              </w:tc>
              <w:tc>
                <w:tcPr>
                  <w:tcW w:w="253" w:type="pct"/>
                  <w:shd w:val="clear" w:color="auto" w:fill="auto"/>
                  <w:noWrap w:val="0"/>
                  <w:vAlign w:val="center"/>
                </w:tcPr>
                <w:p w14:paraId="27592F4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788DE7B4">
                  <w:pPr>
                    <w:jc w:val="center"/>
                    <w:rPr>
                      <w:rFonts w:hint="default" w:eastAsia="宋体"/>
                      <w:color w:val="auto"/>
                      <w:szCs w:val="21"/>
                      <w:lang w:val="en-US" w:eastAsia="zh-CN"/>
                    </w:rPr>
                  </w:pPr>
                  <w:r>
                    <w:rPr>
                      <w:rFonts w:hint="eastAsia"/>
                      <w:color w:val="auto"/>
                      <w:szCs w:val="21"/>
                      <w:lang w:val="en-US" w:eastAsia="zh-CN"/>
                    </w:rPr>
                    <w:t>67.85</w:t>
                  </w:r>
                </w:p>
              </w:tc>
              <w:tc>
                <w:tcPr>
                  <w:tcW w:w="233" w:type="pct"/>
                  <w:noWrap w:val="0"/>
                  <w:vAlign w:val="center"/>
                </w:tcPr>
                <w:p w14:paraId="5A690EC7">
                  <w:pPr>
                    <w:jc w:val="center"/>
                    <w:rPr>
                      <w:rFonts w:hint="default" w:eastAsia="宋体"/>
                      <w:color w:val="auto"/>
                      <w:szCs w:val="21"/>
                      <w:lang w:val="en-US" w:eastAsia="zh-CN"/>
                    </w:rPr>
                  </w:pPr>
                  <w:r>
                    <w:rPr>
                      <w:rFonts w:hint="eastAsia"/>
                      <w:color w:val="auto"/>
                      <w:szCs w:val="21"/>
                      <w:lang w:val="en-US" w:eastAsia="zh-CN"/>
                    </w:rPr>
                    <w:t>30.63</w:t>
                  </w:r>
                </w:p>
              </w:tc>
              <w:tc>
                <w:tcPr>
                  <w:tcW w:w="208" w:type="pct"/>
                  <w:shd w:val="clear" w:color="auto" w:fill="auto"/>
                  <w:noWrap w:val="0"/>
                  <w:vAlign w:val="center"/>
                </w:tcPr>
                <w:p w14:paraId="794D178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28.43</w:t>
                  </w:r>
                </w:p>
              </w:tc>
              <w:tc>
                <w:tcPr>
                  <w:tcW w:w="208" w:type="pct"/>
                  <w:noWrap w:val="0"/>
                  <w:vAlign w:val="center"/>
                </w:tcPr>
                <w:p w14:paraId="0AACBFA5">
                  <w:pPr>
                    <w:jc w:val="center"/>
                    <w:rPr>
                      <w:rFonts w:hint="default" w:eastAsia="宋体"/>
                      <w:color w:val="auto"/>
                      <w:szCs w:val="21"/>
                      <w:lang w:val="en-US" w:eastAsia="zh-CN"/>
                    </w:rPr>
                  </w:pPr>
                  <w:r>
                    <w:rPr>
                      <w:rFonts w:hint="eastAsia"/>
                      <w:color w:val="auto"/>
                      <w:szCs w:val="21"/>
                      <w:lang w:val="en-US" w:eastAsia="zh-CN"/>
                    </w:rPr>
                    <w:t>14.46</w:t>
                  </w:r>
                </w:p>
              </w:tc>
              <w:tc>
                <w:tcPr>
                  <w:tcW w:w="169" w:type="pct"/>
                  <w:shd w:val="clear" w:color="auto" w:fill="auto"/>
                  <w:noWrap w:val="0"/>
                  <w:vAlign w:val="center"/>
                </w:tcPr>
                <w:p w14:paraId="22A683C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61</w:t>
                  </w:r>
                </w:p>
              </w:tc>
              <w:tc>
                <w:tcPr>
                  <w:tcW w:w="169" w:type="pct"/>
                  <w:shd w:val="clear" w:color="auto" w:fill="auto"/>
                  <w:noWrap w:val="0"/>
                  <w:vAlign w:val="center"/>
                </w:tcPr>
                <w:p w14:paraId="22B2D7F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69" w:type="pct"/>
                  <w:shd w:val="clear" w:color="auto" w:fill="auto"/>
                  <w:noWrap w:val="0"/>
                  <w:vAlign w:val="center"/>
                </w:tcPr>
                <w:p w14:paraId="68CE6FB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71" w:type="pct"/>
                  <w:shd w:val="clear" w:color="auto" w:fill="auto"/>
                  <w:noWrap w:val="0"/>
                  <w:vAlign w:val="center"/>
                </w:tcPr>
                <w:p w14:paraId="4C4DEDD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267" w:type="pct"/>
                  <w:vMerge w:val="continue"/>
                  <w:noWrap w:val="0"/>
                  <w:vAlign w:val="center"/>
                </w:tcPr>
                <w:p w14:paraId="6B0C690D">
                  <w:pPr>
                    <w:jc w:val="center"/>
                    <w:rPr>
                      <w:rFonts w:hint="eastAsia"/>
                      <w:color w:val="auto"/>
                      <w:szCs w:val="21"/>
                    </w:rPr>
                  </w:pPr>
                </w:p>
              </w:tc>
              <w:tc>
                <w:tcPr>
                  <w:tcW w:w="281" w:type="pct"/>
                  <w:vMerge w:val="continue"/>
                  <w:noWrap w:val="0"/>
                  <w:vAlign w:val="center"/>
                </w:tcPr>
                <w:p w14:paraId="07436C35">
                  <w:pPr>
                    <w:jc w:val="center"/>
                    <w:rPr>
                      <w:rFonts w:hint="eastAsia"/>
                      <w:color w:val="auto"/>
                      <w:szCs w:val="21"/>
                    </w:rPr>
                  </w:pPr>
                </w:p>
              </w:tc>
              <w:tc>
                <w:tcPr>
                  <w:tcW w:w="194" w:type="pct"/>
                  <w:shd w:val="clear" w:color="auto" w:fill="auto"/>
                  <w:noWrap w:val="0"/>
                  <w:vAlign w:val="center"/>
                </w:tcPr>
                <w:p w14:paraId="66752CA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00" w:type="pct"/>
                  <w:shd w:val="clear" w:color="auto" w:fill="auto"/>
                  <w:noWrap w:val="0"/>
                  <w:vAlign w:val="center"/>
                </w:tcPr>
                <w:p w14:paraId="7E2CA47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0" w:type="pct"/>
                  <w:shd w:val="clear" w:color="auto" w:fill="auto"/>
                  <w:noWrap w:val="0"/>
                  <w:vAlign w:val="center"/>
                </w:tcPr>
                <w:p w14:paraId="75C56FD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8" w:type="pct"/>
                  <w:shd w:val="clear" w:color="auto" w:fill="auto"/>
                  <w:noWrap w:val="0"/>
                  <w:vAlign w:val="center"/>
                </w:tcPr>
                <w:p w14:paraId="107563C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43" w:type="pct"/>
                  <w:noWrap w:val="0"/>
                  <w:vAlign w:val="center"/>
                </w:tcPr>
                <w:p w14:paraId="23A52FA8">
                  <w:pPr>
                    <w:jc w:val="center"/>
                    <w:rPr>
                      <w:rFonts w:hint="eastAsia" w:eastAsia="宋体"/>
                      <w:color w:val="auto"/>
                      <w:szCs w:val="21"/>
                      <w:lang w:val="en-US" w:eastAsia="zh-CN"/>
                    </w:rPr>
                  </w:pPr>
                  <w:r>
                    <w:rPr>
                      <w:rFonts w:hint="eastAsia"/>
                      <w:color w:val="auto"/>
                      <w:szCs w:val="21"/>
                      <w:lang w:val="en-US" w:eastAsia="zh-CN"/>
                    </w:rPr>
                    <w:t>1</w:t>
                  </w:r>
                </w:p>
              </w:tc>
            </w:tr>
            <w:tr w14:paraId="3F1EB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688AA58F">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sz w:val="21"/>
                      <w:szCs w:val="21"/>
                      <w:shd w:val="clear" w:color="auto" w:fill="auto"/>
                      <w:lang w:val="en-US" w:eastAsia="zh-CN"/>
                    </w:rPr>
                    <w:t>除锈机</w:t>
                  </w:r>
                </w:p>
              </w:tc>
              <w:tc>
                <w:tcPr>
                  <w:tcW w:w="168" w:type="pct"/>
                  <w:shd w:val="clear" w:color="auto" w:fill="auto"/>
                  <w:noWrap w:val="0"/>
                  <w:vAlign w:val="center"/>
                </w:tcPr>
                <w:p w14:paraId="2774B0BE">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sz w:val="21"/>
                      <w:szCs w:val="21"/>
                      <w:shd w:val="clear" w:color="auto" w:fill="auto"/>
                      <w:lang w:val="en-US" w:eastAsia="zh-CN"/>
                    </w:rPr>
                    <w:t>1</w:t>
                  </w:r>
                </w:p>
              </w:tc>
              <w:tc>
                <w:tcPr>
                  <w:tcW w:w="273" w:type="pct"/>
                  <w:shd w:val="clear" w:color="auto" w:fill="auto"/>
                  <w:noWrap w:val="0"/>
                  <w:vAlign w:val="center"/>
                </w:tcPr>
                <w:p w14:paraId="06D44E7A">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75</w:t>
                  </w:r>
                </w:p>
              </w:tc>
              <w:tc>
                <w:tcPr>
                  <w:tcW w:w="319" w:type="pct"/>
                  <w:vMerge w:val="continue"/>
                  <w:noWrap w:val="0"/>
                  <w:vAlign w:val="center"/>
                </w:tcPr>
                <w:p w14:paraId="3A616760">
                  <w:pPr>
                    <w:jc w:val="center"/>
                    <w:rPr>
                      <w:rFonts w:hint="eastAsia"/>
                      <w:color w:val="auto"/>
                      <w:szCs w:val="21"/>
                    </w:rPr>
                  </w:pPr>
                </w:p>
              </w:tc>
              <w:tc>
                <w:tcPr>
                  <w:tcW w:w="345" w:type="pct"/>
                  <w:noWrap w:val="0"/>
                  <w:vAlign w:val="center"/>
                </w:tcPr>
                <w:p w14:paraId="6339CE84">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21.78</w:t>
                  </w:r>
                </w:p>
              </w:tc>
              <w:tc>
                <w:tcPr>
                  <w:tcW w:w="281" w:type="pct"/>
                  <w:noWrap w:val="0"/>
                  <w:vAlign w:val="center"/>
                </w:tcPr>
                <w:p w14:paraId="79BDFAEB">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9.53</w:t>
                  </w:r>
                </w:p>
              </w:tc>
              <w:tc>
                <w:tcPr>
                  <w:tcW w:w="253" w:type="pct"/>
                  <w:shd w:val="clear" w:color="auto" w:fill="auto"/>
                  <w:noWrap w:val="0"/>
                  <w:vAlign w:val="center"/>
                </w:tcPr>
                <w:p w14:paraId="52E355F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30FDB58C">
                  <w:pPr>
                    <w:jc w:val="center"/>
                    <w:rPr>
                      <w:rFonts w:hint="default" w:eastAsia="宋体"/>
                      <w:color w:val="auto"/>
                      <w:szCs w:val="21"/>
                      <w:lang w:val="en-US" w:eastAsia="zh-CN"/>
                    </w:rPr>
                  </w:pPr>
                  <w:r>
                    <w:rPr>
                      <w:rFonts w:hint="eastAsia"/>
                      <w:color w:val="auto"/>
                      <w:szCs w:val="21"/>
                      <w:lang w:val="en-US" w:eastAsia="zh-CN"/>
                    </w:rPr>
                    <w:t>73.06</w:t>
                  </w:r>
                </w:p>
              </w:tc>
              <w:tc>
                <w:tcPr>
                  <w:tcW w:w="233" w:type="pct"/>
                  <w:noWrap w:val="0"/>
                  <w:vAlign w:val="center"/>
                </w:tcPr>
                <w:p w14:paraId="153CC9A1">
                  <w:pPr>
                    <w:jc w:val="center"/>
                    <w:rPr>
                      <w:rFonts w:hint="default" w:eastAsia="宋体"/>
                      <w:color w:val="auto"/>
                      <w:szCs w:val="21"/>
                      <w:lang w:val="en-US" w:eastAsia="zh-CN"/>
                    </w:rPr>
                  </w:pPr>
                  <w:r>
                    <w:rPr>
                      <w:rFonts w:hint="eastAsia"/>
                      <w:color w:val="auto"/>
                      <w:szCs w:val="21"/>
                      <w:lang w:val="en-US" w:eastAsia="zh-CN"/>
                    </w:rPr>
                    <w:t>6.99</w:t>
                  </w:r>
                </w:p>
              </w:tc>
              <w:tc>
                <w:tcPr>
                  <w:tcW w:w="208" w:type="pct"/>
                  <w:noWrap w:val="0"/>
                  <w:vAlign w:val="center"/>
                </w:tcPr>
                <w:p w14:paraId="6EBEAC27">
                  <w:pPr>
                    <w:jc w:val="center"/>
                    <w:rPr>
                      <w:rFonts w:hint="default" w:eastAsia="宋体"/>
                      <w:color w:val="auto"/>
                      <w:szCs w:val="21"/>
                      <w:lang w:val="en-US" w:eastAsia="zh-CN"/>
                    </w:rPr>
                  </w:pPr>
                  <w:r>
                    <w:rPr>
                      <w:rFonts w:hint="eastAsia"/>
                      <w:color w:val="auto"/>
                      <w:szCs w:val="21"/>
                      <w:lang w:val="en-US" w:eastAsia="zh-CN"/>
                    </w:rPr>
                    <w:t>22.76</w:t>
                  </w:r>
                </w:p>
              </w:tc>
              <w:tc>
                <w:tcPr>
                  <w:tcW w:w="208" w:type="pct"/>
                  <w:noWrap w:val="0"/>
                  <w:vAlign w:val="center"/>
                </w:tcPr>
                <w:p w14:paraId="0970031B">
                  <w:pPr>
                    <w:jc w:val="center"/>
                    <w:rPr>
                      <w:rFonts w:hint="default" w:eastAsia="宋体"/>
                      <w:color w:val="auto"/>
                      <w:szCs w:val="21"/>
                      <w:lang w:val="en-US" w:eastAsia="zh-CN"/>
                    </w:rPr>
                  </w:pPr>
                  <w:r>
                    <w:rPr>
                      <w:rFonts w:hint="eastAsia"/>
                      <w:color w:val="auto"/>
                      <w:szCs w:val="21"/>
                      <w:lang w:val="en-US" w:eastAsia="zh-CN"/>
                    </w:rPr>
                    <w:t>38.17</w:t>
                  </w:r>
                </w:p>
              </w:tc>
              <w:tc>
                <w:tcPr>
                  <w:tcW w:w="169" w:type="pct"/>
                  <w:shd w:val="clear" w:color="auto" w:fill="auto"/>
                  <w:noWrap w:val="0"/>
                  <w:vAlign w:val="center"/>
                </w:tcPr>
                <w:p w14:paraId="7F4518E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4FDB459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4BD354B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689D21A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067954B5">
                  <w:pPr>
                    <w:jc w:val="center"/>
                    <w:rPr>
                      <w:rFonts w:hint="eastAsia"/>
                      <w:color w:val="auto"/>
                      <w:szCs w:val="21"/>
                    </w:rPr>
                  </w:pPr>
                </w:p>
              </w:tc>
              <w:tc>
                <w:tcPr>
                  <w:tcW w:w="281" w:type="pct"/>
                  <w:vMerge w:val="continue"/>
                  <w:noWrap w:val="0"/>
                  <w:vAlign w:val="center"/>
                </w:tcPr>
                <w:p w14:paraId="12CE88B1">
                  <w:pPr>
                    <w:jc w:val="center"/>
                    <w:rPr>
                      <w:rFonts w:hint="eastAsia"/>
                      <w:color w:val="auto"/>
                      <w:szCs w:val="21"/>
                    </w:rPr>
                  </w:pPr>
                </w:p>
              </w:tc>
              <w:tc>
                <w:tcPr>
                  <w:tcW w:w="194" w:type="pct"/>
                  <w:shd w:val="clear" w:color="auto" w:fill="auto"/>
                  <w:noWrap w:val="0"/>
                  <w:vAlign w:val="center"/>
                </w:tcPr>
                <w:p w14:paraId="4EDD1F4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53C310E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0340346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41607B7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0C4C1810">
                  <w:pPr>
                    <w:jc w:val="center"/>
                    <w:rPr>
                      <w:rFonts w:hint="eastAsia" w:eastAsia="宋体"/>
                      <w:color w:val="auto"/>
                      <w:szCs w:val="21"/>
                      <w:lang w:val="en-US" w:eastAsia="zh-CN"/>
                    </w:rPr>
                  </w:pPr>
                  <w:r>
                    <w:rPr>
                      <w:rFonts w:hint="eastAsia"/>
                      <w:color w:val="auto"/>
                      <w:szCs w:val="21"/>
                      <w:lang w:val="en-US" w:eastAsia="zh-CN"/>
                    </w:rPr>
                    <w:t>1</w:t>
                  </w:r>
                </w:p>
              </w:tc>
            </w:tr>
            <w:tr w14:paraId="37489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40E5D87E">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pacing w:val="6"/>
                      <w:sz w:val="21"/>
                      <w:szCs w:val="21"/>
                      <w:shd w:val="clear" w:color="auto" w:fill="auto"/>
                      <w:lang w:val="en-US" w:eastAsia="zh-CN"/>
                    </w:rPr>
                    <w:t>除尘器风机</w:t>
                  </w:r>
                </w:p>
              </w:tc>
              <w:tc>
                <w:tcPr>
                  <w:tcW w:w="168" w:type="pct"/>
                  <w:shd w:val="clear" w:color="auto" w:fill="auto"/>
                  <w:noWrap w:val="0"/>
                  <w:vAlign w:val="center"/>
                </w:tcPr>
                <w:p w14:paraId="75AF599B">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w:t>
                  </w:r>
                </w:p>
              </w:tc>
              <w:tc>
                <w:tcPr>
                  <w:tcW w:w="273" w:type="pct"/>
                  <w:shd w:val="clear" w:color="auto" w:fill="auto"/>
                  <w:noWrap w:val="0"/>
                  <w:vAlign w:val="center"/>
                </w:tcPr>
                <w:p w14:paraId="75D7DED1">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85</w:t>
                  </w:r>
                </w:p>
              </w:tc>
              <w:tc>
                <w:tcPr>
                  <w:tcW w:w="319" w:type="pct"/>
                  <w:vMerge w:val="continue"/>
                  <w:noWrap w:val="0"/>
                  <w:vAlign w:val="center"/>
                </w:tcPr>
                <w:p w14:paraId="3D7F7725">
                  <w:pPr>
                    <w:jc w:val="center"/>
                    <w:rPr>
                      <w:rFonts w:hint="eastAsia"/>
                      <w:color w:val="auto"/>
                      <w:szCs w:val="21"/>
                    </w:rPr>
                  </w:pPr>
                </w:p>
              </w:tc>
              <w:tc>
                <w:tcPr>
                  <w:tcW w:w="345" w:type="pct"/>
                  <w:noWrap w:val="0"/>
                  <w:vAlign w:val="center"/>
                </w:tcPr>
                <w:p w14:paraId="42E365D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22.3</w:t>
                  </w:r>
                </w:p>
              </w:tc>
              <w:tc>
                <w:tcPr>
                  <w:tcW w:w="281" w:type="pct"/>
                  <w:noWrap w:val="0"/>
                  <w:vAlign w:val="center"/>
                </w:tcPr>
                <w:p w14:paraId="60364856">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3.91</w:t>
                  </w:r>
                </w:p>
              </w:tc>
              <w:tc>
                <w:tcPr>
                  <w:tcW w:w="253" w:type="pct"/>
                  <w:shd w:val="clear" w:color="auto" w:fill="auto"/>
                  <w:noWrap w:val="0"/>
                  <w:vAlign w:val="center"/>
                </w:tcPr>
                <w:p w14:paraId="4F49723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0877DCD8">
                  <w:pPr>
                    <w:jc w:val="center"/>
                    <w:rPr>
                      <w:rFonts w:hint="default" w:eastAsia="宋体"/>
                      <w:color w:val="auto"/>
                      <w:szCs w:val="21"/>
                      <w:lang w:val="en-US" w:eastAsia="zh-CN"/>
                    </w:rPr>
                  </w:pPr>
                  <w:r>
                    <w:rPr>
                      <w:rFonts w:hint="eastAsia"/>
                      <w:color w:val="auto"/>
                      <w:szCs w:val="21"/>
                      <w:lang w:val="en-US" w:eastAsia="zh-CN"/>
                    </w:rPr>
                    <w:t>73.18</w:t>
                  </w:r>
                </w:p>
              </w:tc>
              <w:tc>
                <w:tcPr>
                  <w:tcW w:w="233" w:type="pct"/>
                  <w:noWrap w:val="0"/>
                  <w:vAlign w:val="center"/>
                </w:tcPr>
                <w:p w14:paraId="66931FAA">
                  <w:pPr>
                    <w:jc w:val="center"/>
                    <w:rPr>
                      <w:rFonts w:hint="default" w:eastAsia="宋体"/>
                      <w:color w:val="auto"/>
                      <w:szCs w:val="21"/>
                      <w:lang w:val="en-US" w:eastAsia="zh-CN"/>
                    </w:rPr>
                  </w:pPr>
                  <w:r>
                    <w:rPr>
                      <w:rFonts w:hint="eastAsia"/>
                      <w:color w:val="auto"/>
                      <w:szCs w:val="21"/>
                      <w:lang w:val="en-US" w:eastAsia="zh-CN"/>
                    </w:rPr>
                    <w:t>1.35</w:t>
                  </w:r>
                </w:p>
              </w:tc>
              <w:tc>
                <w:tcPr>
                  <w:tcW w:w="208" w:type="pct"/>
                  <w:noWrap w:val="0"/>
                  <w:vAlign w:val="center"/>
                </w:tcPr>
                <w:p w14:paraId="6263FC4A">
                  <w:pPr>
                    <w:jc w:val="center"/>
                    <w:rPr>
                      <w:rFonts w:hint="default" w:eastAsia="宋体"/>
                      <w:color w:val="auto"/>
                      <w:szCs w:val="21"/>
                      <w:lang w:val="en-US" w:eastAsia="zh-CN"/>
                    </w:rPr>
                  </w:pPr>
                  <w:r>
                    <w:rPr>
                      <w:rFonts w:hint="eastAsia"/>
                      <w:color w:val="auto"/>
                      <w:szCs w:val="21"/>
                      <w:lang w:val="en-US" w:eastAsia="zh-CN"/>
                    </w:rPr>
                    <w:t>22.52</w:t>
                  </w:r>
                </w:p>
              </w:tc>
              <w:tc>
                <w:tcPr>
                  <w:tcW w:w="208" w:type="pct"/>
                  <w:noWrap w:val="0"/>
                  <w:vAlign w:val="center"/>
                </w:tcPr>
                <w:p w14:paraId="5BD49660">
                  <w:pPr>
                    <w:jc w:val="center"/>
                    <w:rPr>
                      <w:rFonts w:hint="default" w:eastAsia="宋体"/>
                      <w:color w:val="auto"/>
                      <w:szCs w:val="21"/>
                      <w:lang w:val="en-US" w:eastAsia="zh-CN"/>
                    </w:rPr>
                  </w:pPr>
                  <w:r>
                    <w:rPr>
                      <w:rFonts w:hint="eastAsia"/>
                      <w:color w:val="auto"/>
                      <w:szCs w:val="21"/>
                      <w:lang w:val="en-US" w:eastAsia="zh-CN"/>
                    </w:rPr>
                    <w:t>43.81</w:t>
                  </w:r>
                </w:p>
              </w:tc>
              <w:tc>
                <w:tcPr>
                  <w:tcW w:w="169" w:type="pct"/>
                  <w:noWrap w:val="0"/>
                  <w:vAlign w:val="center"/>
                </w:tcPr>
                <w:p w14:paraId="742004CC">
                  <w:pPr>
                    <w:jc w:val="center"/>
                    <w:rPr>
                      <w:rFonts w:hint="default" w:eastAsia="宋体"/>
                      <w:color w:val="auto"/>
                      <w:szCs w:val="21"/>
                      <w:lang w:val="en-US" w:eastAsia="zh-CN"/>
                    </w:rPr>
                  </w:pPr>
                  <w:r>
                    <w:rPr>
                      <w:rFonts w:hint="eastAsia"/>
                      <w:color w:val="auto"/>
                      <w:szCs w:val="21"/>
                      <w:lang w:val="en-US" w:eastAsia="zh-CN"/>
                    </w:rPr>
                    <w:t>75</w:t>
                  </w:r>
                </w:p>
              </w:tc>
              <w:tc>
                <w:tcPr>
                  <w:tcW w:w="169" w:type="pct"/>
                  <w:shd w:val="clear" w:color="auto" w:fill="auto"/>
                  <w:noWrap w:val="0"/>
                  <w:vAlign w:val="center"/>
                </w:tcPr>
                <w:p w14:paraId="4C34960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p>
              </w:tc>
              <w:tc>
                <w:tcPr>
                  <w:tcW w:w="169" w:type="pct"/>
                  <w:shd w:val="clear" w:color="auto" w:fill="auto"/>
                  <w:noWrap w:val="0"/>
                  <w:vAlign w:val="center"/>
                </w:tcPr>
                <w:p w14:paraId="146BA87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w:t>
                  </w:r>
                </w:p>
              </w:tc>
              <w:tc>
                <w:tcPr>
                  <w:tcW w:w="171" w:type="pct"/>
                  <w:shd w:val="clear" w:color="auto" w:fill="auto"/>
                  <w:noWrap w:val="0"/>
                  <w:vAlign w:val="center"/>
                </w:tcPr>
                <w:p w14:paraId="361BEB9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w:t>
                  </w:r>
                </w:p>
              </w:tc>
              <w:tc>
                <w:tcPr>
                  <w:tcW w:w="267" w:type="pct"/>
                  <w:vMerge w:val="continue"/>
                  <w:noWrap w:val="0"/>
                  <w:vAlign w:val="center"/>
                </w:tcPr>
                <w:p w14:paraId="3B2B9EA8">
                  <w:pPr>
                    <w:jc w:val="center"/>
                    <w:rPr>
                      <w:rFonts w:hint="eastAsia"/>
                      <w:color w:val="auto"/>
                      <w:szCs w:val="21"/>
                    </w:rPr>
                  </w:pPr>
                </w:p>
              </w:tc>
              <w:tc>
                <w:tcPr>
                  <w:tcW w:w="281" w:type="pct"/>
                  <w:vMerge w:val="continue"/>
                  <w:noWrap w:val="0"/>
                  <w:vAlign w:val="center"/>
                </w:tcPr>
                <w:p w14:paraId="247AB5F3">
                  <w:pPr>
                    <w:jc w:val="center"/>
                    <w:rPr>
                      <w:rFonts w:hint="eastAsia"/>
                      <w:color w:val="auto"/>
                      <w:szCs w:val="21"/>
                    </w:rPr>
                  </w:pPr>
                </w:p>
              </w:tc>
              <w:tc>
                <w:tcPr>
                  <w:tcW w:w="194" w:type="pct"/>
                  <w:shd w:val="clear" w:color="auto" w:fill="auto"/>
                  <w:noWrap w:val="0"/>
                  <w:vAlign w:val="center"/>
                </w:tcPr>
                <w:p w14:paraId="48E1091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54</w:t>
                  </w:r>
                </w:p>
              </w:tc>
              <w:tc>
                <w:tcPr>
                  <w:tcW w:w="200" w:type="pct"/>
                  <w:shd w:val="clear" w:color="auto" w:fill="auto"/>
                  <w:noWrap w:val="0"/>
                  <w:vAlign w:val="center"/>
                </w:tcPr>
                <w:p w14:paraId="560ED67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54</w:t>
                  </w:r>
                </w:p>
              </w:tc>
              <w:tc>
                <w:tcPr>
                  <w:tcW w:w="190" w:type="pct"/>
                  <w:shd w:val="clear" w:color="auto" w:fill="auto"/>
                  <w:noWrap w:val="0"/>
                  <w:vAlign w:val="center"/>
                </w:tcPr>
                <w:p w14:paraId="7356568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54</w:t>
                  </w:r>
                </w:p>
              </w:tc>
              <w:tc>
                <w:tcPr>
                  <w:tcW w:w="198" w:type="pct"/>
                  <w:shd w:val="clear" w:color="auto" w:fill="auto"/>
                  <w:noWrap w:val="0"/>
                  <w:vAlign w:val="center"/>
                </w:tcPr>
                <w:p w14:paraId="5D7EEA48">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54</w:t>
                  </w:r>
                </w:p>
              </w:tc>
              <w:tc>
                <w:tcPr>
                  <w:tcW w:w="243" w:type="pct"/>
                  <w:noWrap w:val="0"/>
                  <w:vAlign w:val="center"/>
                </w:tcPr>
                <w:p w14:paraId="315E88E8">
                  <w:pPr>
                    <w:jc w:val="center"/>
                    <w:rPr>
                      <w:rFonts w:hint="eastAsia" w:eastAsia="宋体"/>
                      <w:color w:val="auto"/>
                      <w:szCs w:val="21"/>
                      <w:lang w:val="en-US" w:eastAsia="zh-CN"/>
                    </w:rPr>
                  </w:pPr>
                  <w:r>
                    <w:rPr>
                      <w:rFonts w:hint="eastAsia"/>
                      <w:color w:val="auto"/>
                      <w:szCs w:val="21"/>
                      <w:lang w:val="en-US" w:eastAsia="zh-CN"/>
                    </w:rPr>
                    <w:t>1</w:t>
                  </w:r>
                </w:p>
              </w:tc>
            </w:tr>
            <w:tr w14:paraId="25260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000" w:type="pct"/>
                  <w:gridSpan w:val="22"/>
                  <w:noWrap w:val="0"/>
                  <w:vAlign w:val="center"/>
                </w:tcPr>
                <w:p w14:paraId="36ED32A1">
                  <w:pPr>
                    <w:rPr>
                      <w:rFonts w:hint="eastAsia"/>
                      <w:color w:val="auto"/>
                      <w:szCs w:val="21"/>
                    </w:rPr>
                  </w:pPr>
                  <w:r>
                    <w:rPr>
                      <w:rFonts w:hint="eastAsia"/>
                      <w:color w:val="auto"/>
                      <w:szCs w:val="21"/>
                    </w:rPr>
                    <w:t>注：坐标原点为</w:t>
                  </w:r>
                  <w:r>
                    <w:rPr>
                      <w:rFonts w:hint="eastAsia"/>
                      <w:color w:val="auto"/>
                      <w:szCs w:val="21"/>
                      <w:lang w:val="en-US" w:eastAsia="zh-CN"/>
                    </w:rPr>
                    <w:t>本项目车间西南角</w:t>
                  </w:r>
                </w:p>
              </w:tc>
            </w:tr>
          </w:tbl>
          <w:p w14:paraId="032E653A">
            <w:pPr>
              <w:tabs>
                <w:tab w:val="left" w:pos="3870"/>
              </w:tabs>
              <w:spacing w:before="120" w:beforeLines="50"/>
              <w:jc w:val="center"/>
              <w:rPr>
                <w:b/>
                <w:color w:val="auto"/>
                <w:sz w:val="24"/>
              </w:rPr>
            </w:pPr>
            <w:r>
              <w:rPr>
                <w:b/>
                <w:color w:val="auto"/>
                <w:sz w:val="24"/>
              </w:rPr>
              <w:t>表4-</w:t>
            </w:r>
            <w:r>
              <w:rPr>
                <w:rFonts w:hint="eastAsia"/>
                <w:b/>
                <w:color w:val="auto"/>
                <w:sz w:val="24"/>
                <w:lang w:val="en-US" w:eastAsia="zh-CN"/>
              </w:rPr>
              <w:t>7</w:t>
            </w:r>
            <w:r>
              <w:rPr>
                <w:b/>
                <w:color w:val="auto"/>
                <w:sz w:val="24"/>
              </w:rPr>
              <w:t xml:space="preserve">  </w:t>
            </w:r>
            <w:r>
              <w:rPr>
                <w:rFonts w:hint="eastAsia"/>
                <w:b/>
                <w:color w:val="auto"/>
                <w:sz w:val="24"/>
              </w:rPr>
              <w:t>项目运营期噪声源调查清单（室外声源）</w:t>
            </w:r>
          </w:p>
          <w:tbl>
            <w:tblPr>
              <w:tblStyle w:val="27"/>
              <w:tblW w:w="12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4"/>
              <w:gridCol w:w="764"/>
              <w:gridCol w:w="1836"/>
              <w:gridCol w:w="2204"/>
              <w:gridCol w:w="969"/>
              <w:gridCol w:w="1278"/>
              <w:gridCol w:w="940"/>
              <w:gridCol w:w="983"/>
              <w:gridCol w:w="761"/>
              <w:gridCol w:w="1092"/>
            </w:tblGrid>
            <w:tr w14:paraId="316CE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515" w:type="pct"/>
                  <w:vMerge w:val="restart"/>
                  <w:tcBorders>
                    <w:tl2br w:val="nil"/>
                    <w:tr2bl w:val="nil"/>
                  </w:tcBorders>
                  <w:vAlign w:val="center"/>
                </w:tcPr>
                <w:p w14:paraId="6C4570FE">
                  <w:pPr>
                    <w:jc w:val="center"/>
                    <w:rPr>
                      <w:b/>
                      <w:bCs/>
                      <w:color w:val="auto"/>
                      <w:szCs w:val="21"/>
                      <w:lang w:val="zh-CN"/>
                    </w:rPr>
                  </w:pPr>
                  <w:r>
                    <w:rPr>
                      <w:b/>
                      <w:bCs/>
                      <w:color w:val="auto"/>
                      <w:szCs w:val="21"/>
                      <w:lang w:val="zh-CN"/>
                    </w:rPr>
                    <w:t>声源</w:t>
                  </w:r>
                  <w:r>
                    <w:rPr>
                      <w:rFonts w:hint="eastAsia"/>
                      <w:b/>
                      <w:bCs/>
                      <w:color w:val="auto"/>
                      <w:szCs w:val="21"/>
                    </w:rPr>
                    <w:t>名称</w:t>
                  </w:r>
                </w:p>
              </w:tc>
              <w:tc>
                <w:tcPr>
                  <w:tcW w:w="316" w:type="pct"/>
                  <w:vMerge w:val="restart"/>
                  <w:tcBorders>
                    <w:tl2br w:val="nil"/>
                    <w:tr2bl w:val="nil"/>
                  </w:tcBorders>
                  <w:vAlign w:val="center"/>
                </w:tcPr>
                <w:p w14:paraId="3AE5B408">
                  <w:pPr>
                    <w:jc w:val="center"/>
                    <w:rPr>
                      <w:b/>
                      <w:bCs/>
                      <w:color w:val="auto"/>
                      <w:szCs w:val="21"/>
                      <w:lang w:val="zh-CN"/>
                    </w:rPr>
                  </w:pPr>
                  <w:r>
                    <w:rPr>
                      <w:b/>
                      <w:bCs/>
                      <w:color w:val="auto"/>
                      <w:szCs w:val="21"/>
                      <w:lang w:val="zh-CN"/>
                    </w:rPr>
                    <w:t>数量</w:t>
                  </w:r>
                </w:p>
              </w:tc>
              <w:tc>
                <w:tcPr>
                  <w:tcW w:w="760" w:type="pct"/>
                  <w:vMerge w:val="restart"/>
                  <w:tcBorders>
                    <w:tl2br w:val="nil"/>
                    <w:tr2bl w:val="nil"/>
                  </w:tcBorders>
                  <w:vAlign w:val="center"/>
                </w:tcPr>
                <w:p w14:paraId="0ACF3652">
                  <w:pPr>
                    <w:jc w:val="center"/>
                    <w:rPr>
                      <w:b/>
                      <w:bCs/>
                      <w:color w:val="auto"/>
                      <w:szCs w:val="21"/>
                      <w:lang w:val="zh-CN"/>
                    </w:rPr>
                  </w:pPr>
                  <w:r>
                    <w:rPr>
                      <w:b/>
                      <w:bCs/>
                      <w:color w:val="auto"/>
                      <w:szCs w:val="21"/>
                      <w:lang w:val="zh-CN"/>
                    </w:rPr>
                    <w:t>声源源强dB（A）</w:t>
                  </w:r>
                </w:p>
              </w:tc>
              <w:tc>
                <w:tcPr>
                  <w:tcW w:w="1314" w:type="pct"/>
                  <w:gridSpan w:val="2"/>
                  <w:tcBorders>
                    <w:tl2br w:val="nil"/>
                    <w:tr2bl w:val="nil"/>
                  </w:tcBorders>
                  <w:vAlign w:val="center"/>
                </w:tcPr>
                <w:p w14:paraId="14D0C809">
                  <w:pPr>
                    <w:jc w:val="center"/>
                    <w:rPr>
                      <w:b/>
                      <w:bCs/>
                      <w:color w:val="auto"/>
                      <w:szCs w:val="21"/>
                      <w:lang w:val="zh-CN"/>
                    </w:rPr>
                  </w:pPr>
                  <w:r>
                    <w:rPr>
                      <w:rFonts w:hint="eastAsia"/>
                      <w:b/>
                      <w:bCs/>
                      <w:color w:val="auto"/>
                      <w:szCs w:val="21"/>
                    </w:rPr>
                    <w:t>降噪措施</w:t>
                  </w:r>
                </w:p>
              </w:tc>
              <w:tc>
                <w:tcPr>
                  <w:tcW w:w="529" w:type="pct"/>
                  <w:vMerge w:val="restart"/>
                  <w:tcBorders>
                    <w:tl2br w:val="nil"/>
                    <w:tr2bl w:val="nil"/>
                  </w:tcBorders>
                  <w:vAlign w:val="center"/>
                </w:tcPr>
                <w:p w14:paraId="75A215C2">
                  <w:pPr>
                    <w:jc w:val="center"/>
                    <w:rPr>
                      <w:b/>
                      <w:bCs/>
                      <w:color w:val="auto"/>
                      <w:szCs w:val="21"/>
                    </w:rPr>
                  </w:pPr>
                  <w:r>
                    <w:rPr>
                      <w:rFonts w:hint="eastAsia"/>
                      <w:b/>
                      <w:bCs/>
                      <w:color w:val="auto"/>
                      <w:szCs w:val="21"/>
                    </w:rPr>
                    <w:t>噪声排放值</w:t>
                  </w:r>
                  <w:r>
                    <w:rPr>
                      <w:b/>
                      <w:bCs/>
                      <w:color w:val="auto"/>
                      <w:szCs w:val="21"/>
                      <w:lang w:val="zh-CN"/>
                    </w:rPr>
                    <w:t>dB（A）</w:t>
                  </w:r>
                </w:p>
              </w:tc>
              <w:tc>
                <w:tcPr>
                  <w:tcW w:w="1111" w:type="pct"/>
                  <w:gridSpan w:val="3"/>
                  <w:tcBorders>
                    <w:tl2br w:val="nil"/>
                    <w:tr2bl w:val="nil"/>
                  </w:tcBorders>
                  <w:vAlign w:val="center"/>
                </w:tcPr>
                <w:p w14:paraId="7242EF4C">
                  <w:pPr>
                    <w:jc w:val="center"/>
                    <w:rPr>
                      <w:b/>
                      <w:bCs/>
                      <w:color w:val="auto"/>
                      <w:szCs w:val="21"/>
                      <w:lang w:val="zh-CN"/>
                    </w:rPr>
                  </w:pPr>
                  <w:r>
                    <w:rPr>
                      <w:b/>
                      <w:bCs/>
                      <w:color w:val="auto"/>
                      <w:szCs w:val="21"/>
                      <w:lang w:val="zh-CN"/>
                    </w:rPr>
                    <w:t>空间相对位置/m</w:t>
                  </w:r>
                </w:p>
              </w:tc>
              <w:tc>
                <w:tcPr>
                  <w:tcW w:w="452" w:type="pct"/>
                  <w:vMerge w:val="restart"/>
                  <w:tcBorders>
                    <w:tl2br w:val="nil"/>
                    <w:tr2bl w:val="nil"/>
                  </w:tcBorders>
                  <w:vAlign w:val="center"/>
                </w:tcPr>
                <w:p w14:paraId="66B631F7">
                  <w:pPr>
                    <w:jc w:val="center"/>
                    <w:rPr>
                      <w:b/>
                      <w:bCs/>
                      <w:color w:val="auto"/>
                      <w:szCs w:val="21"/>
                      <w:lang w:val="zh-CN"/>
                    </w:rPr>
                  </w:pPr>
                  <w:r>
                    <w:rPr>
                      <w:b/>
                      <w:bCs/>
                      <w:color w:val="auto"/>
                      <w:szCs w:val="21"/>
                      <w:lang w:val="zh-CN"/>
                    </w:rPr>
                    <w:t>运行时间</w:t>
                  </w:r>
                </w:p>
              </w:tc>
            </w:tr>
            <w:tr w14:paraId="586CD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5" w:type="pct"/>
                  <w:vMerge w:val="continue"/>
                  <w:tcBorders>
                    <w:tl2br w:val="nil"/>
                    <w:tr2bl w:val="nil"/>
                  </w:tcBorders>
                  <w:vAlign w:val="center"/>
                </w:tcPr>
                <w:p w14:paraId="1B1E461F">
                  <w:pPr>
                    <w:jc w:val="center"/>
                    <w:rPr>
                      <w:b/>
                      <w:bCs/>
                      <w:color w:val="auto"/>
                      <w:szCs w:val="21"/>
                      <w:lang w:val="zh-CN"/>
                    </w:rPr>
                  </w:pPr>
                </w:p>
              </w:tc>
              <w:tc>
                <w:tcPr>
                  <w:tcW w:w="316" w:type="pct"/>
                  <w:vMerge w:val="continue"/>
                  <w:tcBorders>
                    <w:tl2br w:val="nil"/>
                    <w:tr2bl w:val="nil"/>
                  </w:tcBorders>
                  <w:vAlign w:val="center"/>
                </w:tcPr>
                <w:p w14:paraId="5882E286">
                  <w:pPr>
                    <w:jc w:val="center"/>
                    <w:rPr>
                      <w:b/>
                      <w:bCs/>
                      <w:color w:val="auto"/>
                      <w:szCs w:val="21"/>
                      <w:lang w:val="zh-CN"/>
                    </w:rPr>
                  </w:pPr>
                </w:p>
              </w:tc>
              <w:tc>
                <w:tcPr>
                  <w:tcW w:w="760" w:type="pct"/>
                  <w:vMerge w:val="continue"/>
                  <w:tcBorders>
                    <w:tl2br w:val="nil"/>
                    <w:tr2bl w:val="nil"/>
                  </w:tcBorders>
                  <w:vAlign w:val="center"/>
                </w:tcPr>
                <w:p w14:paraId="2FC5D587">
                  <w:pPr>
                    <w:jc w:val="center"/>
                    <w:rPr>
                      <w:b/>
                      <w:bCs/>
                      <w:color w:val="auto"/>
                      <w:szCs w:val="21"/>
                    </w:rPr>
                  </w:pPr>
                </w:p>
              </w:tc>
              <w:tc>
                <w:tcPr>
                  <w:tcW w:w="912" w:type="pct"/>
                  <w:tcBorders>
                    <w:tl2br w:val="nil"/>
                    <w:tr2bl w:val="nil"/>
                  </w:tcBorders>
                  <w:vAlign w:val="center"/>
                </w:tcPr>
                <w:p w14:paraId="6D19BC20">
                  <w:pPr>
                    <w:jc w:val="center"/>
                    <w:rPr>
                      <w:b/>
                      <w:bCs/>
                      <w:color w:val="auto"/>
                      <w:szCs w:val="21"/>
                      <w:lang w:val="zh-CN"/>
                    </w:rPr>
                  </w:pPr>
                  <w:r>
                    <w:rPr>
                      <w:b/>
                      <w:bCs/>
                      <w:color w:val="auto"/>
                      <w:szCs w:val="21"/>
                      <w:lang w:val="zh-CN"/>
                    </w:rPr>
                    <w:t>声源控制措施</w:t>
                  </w:r>
                </w:p>
              </w:tc>
              <w:tc>
                <w:tcPr>
                  <w:tcW w:w="401" w:type="pct"/>
                  <w:tcBorders>
                    <w:tl2br w:val="nil"/>
                    <w:tr2bl w:val="nil"/>
                  </w:tcBorders>
                  <w:vAlign w:val="center"/>
                </w:tcPr>
                <w:p w14:paraId="49105F89">
                  <w:pPr>
                    <w:jc w:val="center"/>
                    <w:rPr>
                      <w:b/>
                      <w:bCs/>
                      <w:color w:val="auto"/>
                      <w:szCs w:val="21"/>
                      <w:lang w:val="zh-CN"/>
                    </w:rPr>
                  </w:pPr>
                  <w:r>
                    <w:rPr>
                      <w:rFonts w:hint="eastAsia"/>
                      <w:b/>
                      <w:bCs/>
                      <w:color w:val="auto"/>
                      <w:szCs w:val="21"/>
                      <w:lang w:val="zh-CN"/>
                    </w:rPr>
                    <w:t>降噪效果</w:t>
                  </w:r>
                </w:p>
              </w:tc>
              <w:tc>
                <w:tcPr>
                  <w:tcW w:w="529" w:type="pct"/>
                  <w:vMerge w:val="continue"/>
                  <w:tcBorders>
                    <w:tl2br w:val="nil"/>
                    <w:tr2bl w:val="nil"/>
                  </w:tcBorders>
                  <w:vAlign w:val="center"/>
                </w:tcPr>
                <w:p w14:paraId="77C0DCA8">
                  <w:pPr>
                    <w:jc w:val="center"/>
                    <w:rPr>
                      <w:b/>
                      <w:bCs/>
                      <w:color w:val="auto"/>
                      <w:szCs w:val="21"/>
                      <w:lang w:val="zh-CN"/>
                    </w:rPr>
                  </w:pPr>
                </w:p>
              </w:tc>
              <w:tc>
                <w:tcPr>
                  <w:tcW w:w="389" w:type="pct"/>
                  <w:tcBorders>
                    <w:tl2br w:val="nil"/>
                    <w:tr2bl w:val="nil"/>
                  </w:tcBorders>
                  <w:vAlign w:val="center"/>
                </w:tcPr>
                <w:p w14:paraId="7A63B3C0">
                  <w:pPr>
                    <w:jc w:val="center"/>
                    <w:rPr>
                      <w:b/>
                      <w:bCs/>
                      <w:color w:val="auto"/>
                      <w:szCs w:val="21"/>
                      <w:lang w:val="zh-CN"/>
                    </w:rPr>
                  </w:pPr>
                  <w:r>
                    <w:rPr>
                      <w:b/>
                      <w:bCs/>
                      <w:color w:val="auto"/>
                      <w:szCs w:val="21"/>
                      <w:lang w:val="zh-CN"/>
                    </w:rPr>
                    <w:t>X</w:t>
                  </w:r>
                </w:p>
              </w:tc>
              <w:tc>
                <w:tcPr>
                  <w:tcW w:w="407" w:type="pct"/>
                  <w:tcBorders>
                    <w:tl2br w:val="nil"/>
                    <w:tr2bl w:val="nil"/>
                  </w:tcBorders>
                  <w:vAlign w:val="center"/>
                </w:tcPr>
                <w:p w14:paraId="02E43D73">
                  <w:pPr>
                    <w:jc w:val="center"/>
                    <w:rPr>
                      <w:b/>
                      <w:bCs/>
                      <w:color w:val="auto"/>
                      <w:szCs w:val="21"/>
                      <w:lang w:val="zh-CN"/>
                    </w:rPr>
                  </w:pPr>
                  <w:r>
                    <w:rPr>
                      <w:b/>
                      <w:bCs/>
                      <w:color w:val="auto"/>
                      <w:szCs w:val="21"/>
                      <w:lang w:val="zh-CN"/>
                    </w:rPr>
                    <w:t>Y</w:t>
                  </w:r>
                </w:p>
              </w:tc>
              <w:tc>
                <w:tcPr>
                  <w:tcW w:w="315" w:type="pct"/>
                  <w:tcBorders>
                    <w:tl2br w:val="nil"/>
                    <w:tr2bl w:val="nil"/>
                  </w:tcBorders>
                  <w:vAlign w:val="center"/>
                </w:tcPr>
                <w:p w14:paraId="4B78C05D">
                  <w:pPr>
                    <w:jc w:val="center"/>
                    <w:rPr>
                      <w:b/>
                      <w:bCs/>
                      <w:color w:val="auto"/>
                      <w:szCs w:val="21"/>
                      <w:lang w:val="zh-CN"/>
                    </w:rPr>
                  </w:pPr>
                  <w:r>
                    <w:rPr>
                      <w:b/>
                      <w:bCs/>
                      <w:color w:val="auto"/>
                      <w:szCs w:val="21"/>
                      <w:lang w:val="zh-CN"/>
                    </w:rPr>
                    <w:t>Z</w:t>
                  </w:r>
                </w:p>
              </w:tc>
              <w:tc>
                <w:tcPr>
                  <w:tcW w:w="452" w:type="pct"/>
                  <w:vMerge w:val="continue"/>
                  <w:tcBorders>
                    <w:tl2br w:val="nil"/>
                    <w:tr2bl w:val="nil"/>
                  </w:tcBorders>
                  <w:vAlign w:val="center"/>
                </w:tcPr>
                <w:p w14:paraId="542ACD53">
                  <w:pPr>
                    <w:jc w:val="center"/>
                    <w:rPr>
                      <w:color w:val="auto"/>
                      <w:szCs w:val="21"/>
                      <w:lang w:bidi="zh-CN"/>
                    </w:rPr>
                  </w:pPr>
                </w:p>
              </w:tc>
            </w:tr>
            <w:tr w14:paraId="24D21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15" w:type="pct"/>
                  <w:vMerge w:val="restart"/>
                  <w:tcBorders>
                    <w:tl2br w:val="nil"/>
                    <w:tr2bl w:val="nil"/>
                  </w:tcBorders>
                  <w:vAlign w:val="center"/>
                </w:tcPr>
                <w:p w14:paraId="12F8103E">
                  <w:pPr>
                    <w:jc w:val="center"/>
                    <w:rPr>
                      <w:color w:val="auto"/>
                      <w:szCs w:val="21"/>
                    </w:rPr>
                  </w:pPr>
                  <w:r>
                    <w:rPr>
                      <w:rFonts w:hint="eastAsia"/>
                      <w:color w:val="auto"/>
                      <w:szCs w:val="21"/>
                    </w:rPr>
                    <w:t>活性炭吸附风机</w:t>
                  </w:r>
                </w:p>
              </w:tc>
              <w:tc>
                <w:tcPr>
                  <w:tcW w:w="316" w:type="pct"/>
                  <w:vMerge w:val="restart"/>
                  <w:tcBorders>
                    <w:tl2br w:val="nil"/>
                    <w:tr2bl w:val="nil"/>
                  </w:tcBorders>
                  <w:vAlign w:val="center"/>
                </w:tcPr>
                <w:p w14:paraId="42CCF358">
                  <w:pPr>
                    <w:widowControl/>
                    <w:jc w:val="center"/>
                    <w:textAlignment w:val="center"/>
                    <w:rPr>
                      <w:color w:val="auto"/>
                      <w:szCs w:val="21"/>
                    </w:rPr>
                  </w:pPr>
                  <w:r>
                    <w:rPr>
                      <w:rFonts w:hint="eastAsia"/>
                      <w:color w:val="auto"/>
                      <w:szCs w:val="21"/>
                      <w:lang w:val="en-US" w:eastAsia="zh-CN" w:bidi="ar"/>
                    </w:rPr>
                    <w:t>2</w:t>
                  </w:r>
                  <w:r>
                    <w:rPr>
                      <w:color w:val="auto"/>
                      <w:szCs w:val="21"/>
                      <w:lang w:bidi="ar"/>
                    </w:rPr>
                    <w:t>台</w:t>
                  </w:r>
                </w:p>
              </w:tc>
              <w:tc>
                <w:tcPr>
                  <w:tcW w:w="760" w:type="pct"/>
                  <w:tcBorders>
                    <w:tl2br w:val="nil"/>
                    <w:tr2bl w:val="nil"/>
                  </w:tcBorders>
                  <w:vAlign w:val="center"/>
                </w:tcPr>
                <w:p w14:paraId="1AD036A6">
                  <w:pPr>
                    <w:jc w:val="center"/>
                    <w:rPr>
                      <w:color w:val="auto"/>
                      <w:szCs w:val="21"/>
                    </w:rPr>
                  </w:pPr>
                  <w:r>
                    <w:rPr>
                      <w:rFonts w:hint="eastAsia"/>
                      <w:color w:val="auto"/>
                      <w:szCs w:val="21"/>
                    </w:rPr>
                    <w:t>85</w:t>
                  </w:r>
                </w:p>
              </w:tc>
              <w:tc>
                <w:tcPr>
                  <w:tcW w:w="912" w:type="pct"/>
                  <w:vMerge w:val="restart"/>
                  <w:tcBorders>
                    <w:tl2br w:val="nil"/>
                    <w:tr2bl w:val="nil"/>
                  </w:tcBorders>
                  <w:vAlign w:val="center"/>
                </w:tcPr>
                <w:p w14:paraId="4B22DB6E">
                  <w:pPr>
                    <w:jc w:val="center"/>
                    <w:rPr>
                      <w:color w:val="auto"/>
                      <w:szCs w:val="21"/>
                    </w:rPr>
                  </w:pPr>
                  <w:r>
                    <w:rPr>
                      <w:rFonts w:hint="eastAsia"/>
                      <w:color w:val="auto"/>
                      <w:szCs w:val="21"/>
                    </w:rPr>
                    <w:t>选用低噪声设备、隔声罩、</w:t>
                  </w:r>
                  <w:r>
                    <w:rPr>
                      <w:color w:val="auto"/>
                      <w:szCs w:val="21"/>
                    </w:rPr>
                    <w:t>基础</w:t>
                  </w:r>
                  <w:r>
                    <w:rPr>
                      <w:rFonts w:hint="eastAsia"/>
                      <w:color w:val="auto"/>
                      <w:szCs w:val="21"/>
                    </w:rPr>
                    <w:t>减振、距离衰减</w:t>
                  </w:r>
                </w:p>
              </w:tc>
              <w:tc>
                <w:tcPr>
                  <w:tcW w:w="401" w:type="pct"/>
                  <w:tcBorders>
                    <w:tl2br w:val="nil"/>
                    <w:tr2bl w:val="nil"/>
                  </w:tcBorders>
                  <w:vAlign w:val="center"/>
                </w:tcPr>
                <w:p w14:paraId="1FD2137F">
                  <w:pPr>
                    <w:jc w:val="center"/>
                    <w:rPr>
                      <w:color w:val="auto"/>
                      <w:szCs w:val="21"/>
                    </w:rPr>
                  </w:pPr>
                  <w:r>
                    <w:rPr>
                      <w:rFonts w:hint="eastAsia"/>
                      <w:color w:val="auto"/>
                      <w:szCs w:val="21"/>
                    </w:rPr>
                    <w:t>15</w:t>
                  </w:r>
                </w:p>
              </w:tc>
              <w:tc>
                <w:tcPr>
                  <w:tcW w:w="529" w:type="pct"/>
                  <w:tcBorders>
                    <w:tl2br w:val="nil"/>
                    <w:tr2bl w:val="nil"/>
                  </w:tcBorders>
                  <w:vAlign w:val="center"/>
                </w:tcPr>
                <w:p w14:paraId="2AE80D67">
                  <w:pPr>
                    <w:jc w:val="center"/>
                    <w:rPr>
                      <w:color w:val="auto"/>
                      <w:szCs w:val="21"/>
                    </w:rPr>
                  </w:pPr>
                  <w:r>
                    <w:rPr>
                      <w:rFonts w:hint="eastAsia"/>
                      <w:color w:val="auto"/>
                      <w:szCs w:val="21"/>
                    </w:rPr>
                    <w:t>70</w:t>
                  </w:r>
                </w:p>
              </w:tc>
              <w:tc>
                <w:tcPr>
                  <w:tcW w:w="389" w:type="pct"/>
                  <w:tcBorders>
                    <w:tl2br w:val="nil"/>
                    <w:tr2bl w:val="nil"/>
                  </w:tcBorders>
                  <w:vAlign w:val="center"/>
                </w:tcPr>
                <w:p w14:paraId="0C0F6D06">
                  <w:pPr>
                    <w:jc w:val="center"/>
                    <w:rPr>
                      <w:rFonts w:hint="default" w:eastAsia="宋体"/>
                      <w:color w:val="auto"/>
                      <w:szCs w:val="21"/>
                      <w:lang w:val="en-US" w:eastAsia="zh-CN"/>
                    </w:rPr>
                  </w:pPr>
                  <w:r>
                    <w:rPr>
                      <w:rFonts w:hint="eastAsia"/>
                      <w:color w:val="auto"/>
                      <w:szCs w:val="21"/>
                      <w:lang w:val="en-US" w:eastAsia="zh-CN"/>
                    </w:rPr>
                    <w:t>38.23</w:t>
                  </w:r>
                </w:p>
              </w:tc>
              <w:tc>
                <w:tcPr>
                  <w:tcW w:w="407" w:type="pct"/>
                  <w:tcBorders>
                    <w:tl2br w:val="nil"/>
                    <w:tr2bl w:val="nil"/>
                  </w:tcBorders>
                  <w:vAlign w:val="center"/>
                </w:tcPr>
                <w:p w14:paraId="37890C0E">
                  <w:pPr>
                    <w:jc w:val="center"/>
                    <w:rPr>
                      <w:rFonts w:hint="default" w:eastAsia="宋体"/>
                      <w:color w:val="auto"/>
                      <w:szCs w:val="21"/>
                      <w:lang w:val="en-US" w:eastAsia="zh-CN"/>
                    </w:rPr>
                  </w:pPr>
                  <w:r>
                    <w:rPr>
                      <w:rFonts w:hint="eastAsia"/>
                      <w:color w:val="auto"/>
                      <w:szCs w:val="21"/>
                      <w:lang w:val="en-US" w:eastAsia="zh-CN"/>
                    </w:rPr>
                    <w:t>3.97</w:t>
                  </w:r>
                </w:p>
              </w:tc>
              <w:tc>
                <w:tcPr>
                  <w:tcW w:w="315" w:type="pct"/>
                  <w:tcBorders>
                    <w:tl2br w:val="nil"/>
                    <w:tr2bl w:val="nil"/>
                  </w:tcBorders>
                  <w:vAlign w:val="center"/>
                </w:tcPr>
                <w:p w14:paraId="43F646DA">
                  <w:pPr>
                    <w:jc w:val="center"/>
                    <w:rPr>
                      <w:color w:val="auto"/>
                      <w:szCs w:val="21"/>
                    </w:rPr>
                  </w:pPr>
                  <w:r>
                    <w:rPr>
                      <w:color w:val="auto"/>
                      <w:szCs w:val="21"/>
                    </w:rPr>
                    <w:t>1</w:t>
                  </w:r>
                </w:p>
              </w:tc>
              <w:tc>
                <w:tcPr>
                  <w:tcW w:w="452" w:type="pct"/>
                  <w:tcBorders>
                    <w:tl2br w:val="nil"/>
                    <w:tr2bl w:val="nil"/>
                  </w:tcBorders>
                  <w:vAlign w:val="center"/>
                </w:tcPr>
                <w:p w14:paraId="4C57B5BC">
                  <w:pPr>
                    <w:jc w:val="center"/>
                    <w:rPr>
                      <w:rFonts w:hint="eastAsia" w:eastAsia="宋体"/>
                      <w:color w:val="auto"/>
                      <w:szCs w:val="21"/>
                      <w:lang w:val="en-US" w:eastAsia="zh-CN"/>
                    </w:rPr>
                  </w:pPr>
                  <w:r>
                    <w:rPr>
                      <w:color w:val="auto"/>
                      <w:szCs w:val="21"/>
                    </w:rPr>
                    <w:t>昼</w:t>
                  </w:r>
                  <w:r>
                    <w:rPr>
                      <w:rFonts w:hint="eastAsia"/>
                      <w:color w:val="auto"/>
                      <w:szCs w:val="21"/>
                      <w:lang w:val="en-US" w:eastAsia="zh-CN"/>
                    </w:rPr>
                    <w:t>间</w:t>
                  </w:r>
                </w:p>
              </w:tc>
            </w:tr>
            <w:tr w14:paraId="6D7DE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5" w:type="pct"/>
                  <w:vMerge w:val="continue"/>
                  <w:tcBorders>
                    <w:tl2br w:val="nil"/>
                    <w:tr2bl w:val="nil"/>
                  </w:tcBorders>
                  <w:vAlign w:val="center"/>
                </w:tcPr>
                <w:p w14:paraId="7C8BD19B">
                  <w:pPr>
                    <w:jc w:val="center"/>
                    <w:rPr>
                      <w:color w:val="auto"/>
                      <w:szCs w:val="21"/>
                    </w:rPr>
                  </w:pPr>
                </w:p>
              </w:tc>
              <w:tc>
                <w:tcPr>
                  <w:tcW w:w="316" w:type="pct"/>
                  <w:vMerge w:val="continue"/>
                  <w:tcBorders>
                    <w:tl2br w:val="nil"/>
                    <w:tr2bl w:val="nil"/>
                  </w:tcBorders>
                  <w:vAlign w:val="center"/>
                </w:tcPr>
                <w:p w14:paraId="0AC45CC5">
                  <w:pPr>
                    <w:widowControl/>
                    <w:jc w:val="center"/>
                    <w:textAlignment w:val="center"/>
                    <w:rPr>
                      <w:color w:val="auto"/>
                      <w:szCs w:val="21"/>
                      <w:lang w:bidi="ar"/>
                    </w:rPr>
                  </w:pPr>
                </w:p>
              </w:tc>
              <w:tc>
                <w:tcPr>
                  <w:tcW w:w="760" w:type="pct"/>
                  <w:tcBorders>
                    <w:tl2br w:val="nil"/>
                    <w:tr2bl w:val="nil"/>
                  </w:tcBorders>
                  <w:vAlign w:val="center"/>
                </w:tcPr>
                <w:p w14:paraId="6A0AA54B">
                  <w:pPr>
                    <w:jc w:val="center"/>
                    <w:rPr>
                      <w:color w:val="auto"/>
                      <w:szCs w:val="21"/>
                    </w:rPr>
                  </w:pPr>
                  <w:r>
                    <w:rPr>
                      <w:rFonts w:hint="eastAsia"/>
                      <w:color w:val="auto"/>
                      <w:szCs w:val="21"/>
                    </w:rPr>
                    <w:t>85</w:t>
                  </w:r>
                </w:p>
              </w:tc>
              <w:tc>
                <w:tcPr>
                  <w:tcW w:w="912" w:type="pct"/>
                  <w:vMerge w:val="continue"/>
                  <w:tcBorders>
                    <w:tl2br w:val="nil"/>
                    <w:tr2bl w:val="nil"/>
                  </w:tcBorders>
                  <w:vAlign w:val="center"/>
                </w:tcPr>
                <w:p w14:paraId="1F2F4D5C">
                  <w:pPr>
                    <w:jc w:val="center"/>
                    <w:rPr>
                      <w:color w:val="auto"/>
                      <w:szCs w:val="21"/>
                    </w:rPr>
                  </w:pPr>
                </w:p>
              </w:tc>
              <w:tc>
                <w:tcPr>
                  <w:tcW w:w="401" w:type="pct"/>
                  <w:tcBorders>
                    <w:tl2br w:val="nil"/>
                    <w:tr2bl w:val="nil"/>
                  </w:tcBorders>
                  <w:vAlign w:val="center"/>
                </w:tcPr>
                <w:p w14:paraId="1590F373">
                  <w:pPr>
                    <w:jc w:val="center"/>
                    <w:rPr>
                      <w:color w:val="auto"/>
                      <w:szCs w:val="21"/>
                    </w:rPr>
                  </w:pPr>
                  <w:r>
                    <w:rPr>
                      <w:rFonts w:hint="eastAsia"/>
                      <w:color w:val="auto"/>
                      <w:szCs w:val="21"/>
                    </w:rPr>
                    <w:t>15</w:t>
                  </w:r>
                </w:p>
              </w:tc>
              <w:tc>
                <w:tcPr>
                  <w:tcW w:w="529" w:type="pct"/>
                  <w:tcBorders>
                    <w:tl2br w:val="nil"/>
                    <w:tr2bl w:val="nil"/>
                  </w:tcBorders>
                  <w:vAlign w:val="center"/>
                </w:tcPr>
                <w:p w14:paraId="1C68CCF2">
                  <w:pPr>
                    <w:jc w:val="center"/>
                    <w:rPr>
                      <w:color w:val="auto"/>
                      <w:szCs w:val="21"/>
                    </w:rPr>
                  </w:pPr>
                  <w:r>
                    <w:rPr>
                      <w:rFonts w:hint="eastAsia"/>
                      <w:color w:val="auto"/>
                      <w:szCs w:val="21"/>
                    </w:rPr>
                    <w:t>70</w:t>
                  </w:r>
                </w:p>
              </w:tc>
              <w:tc>
                <w:tcPr>
                  <w:tcW w:w="389" w:type="pct"/>
                  <w:tcBorders>
                    <w:tl2br w:val="nil"/>
                    <w:tr2bl w:val="nil"/>
                  </w:tcBorders>
                  <w:vAlign w:val="center"/>
                </w:tcPr>
                <w:p w14:paraId="5178D57E">
                  <w:pPr>
                    <w:jc w:val="center"/>
                    <w:rPr>
                      <w:rFonts w:hint="default" w:eastAsia="宋体"/>
                      <w:color w:val="auto"/>
                      <w:szCs w:val="21"/>
                      <w:lang w:val="en-US" w:eastAsia="zh-CN"/>
                    </w:rPr>
                  </w:pPr>
                  <w:r>
                    <w:rPr>
                      <w:rFonts w:hint="eastAsia"/>
                      <w:color w:val="auto"/>
                      <w:szCs w:val="21"/>
                      <w:lang w:val="en-US" w:eastAsia="zh-CN"/>
                    </w:rPr>
                    <w:t>47.88</w:t>
                  </w:r>
                </w:p>
              </w:tc>
              <w:tc>
                <w:tcPr>
                  <w:tcW w:w="407" w:type="pct"/>
                  <w:tcBorders>
                    <w:tl2br w:val="nil"/>
                    <w:tr2bl w:val="nil"/>
                  </w:tcBorders>
                  <w:vAlign w:val="center"/>
                </w:tcPr>
                <w:p w14:paraId="6CC0D282">
                  <w:pPr>
                    <w:jc w:val="center"/>
                    <w:rPr>
                      <w:rFonts w:hint="default" w:eastAsia="宋体"/>
                      <w:color w:val="auto"/>
                      <w:szCs w:val="21"/>
                      <w:lang w:val="en-US" w:eastAsia="zh-CN"/>
                    </w:rPr>
                  </w:pPr>
                  <w:r>
                    <w:rPr>
                      <w:rFonts w:hint="eastAsia"/>
                      <w:color w:val="auto"/>
                      <w:szCs w:val="21"/>
                      <w:lang w:val="en-US" w:eastAsia="zh-CN"/>
                    </w:rPr>
                    <w:t>5.57</w:t>
                  </w:r>
                </w:p>
              </w:tc>
              <w:tc>
                <w:tcPr>
                  <w:tcW w:w="315" w:type="pct"/>
                  <w:tcBorders>
                    <w:tl2br w:val="nil"/>
                    <w:tr2bl w:val="nil"/>
                  </w:tcBorders>
                  <w:vAlign w:val="center"/>
                </w:tcPr>
                <w:p w14:paraId="7C99C54C">
                  <w:pPr>
                    <w:jc w:val="center"/>
                    <w:rPr>
                      <w:color w:val="auto"/>
                      <w:szCs w:val="21"/>
                    </w:rPr>
                  </w:pPr>
                  <w:r>
                    <w:rPr>
                      <w:color w:val="auto"/>
                      <w:szCs w:val="21"/>
                    </w:rPr>
                    <w:t>1</w:t>
                  </w:r>
                </w:p>
              </w:tc>
              <w:tc>
                <w:tcPr>
                  <w:tcW w:w="452" w:type="pct"/>
                  <w:tcBorders>
                    <w:tl2br w:val="nil"/>
                    <w:tr2bl w:val="nil"/>
                  </w:tcBorders>
                  <w:vAlign w:val="center"/>
                </w:tcPr>
                <w:p w14:paraId="420F51FC">
                  <w:pPr>
                    <w:jc w:val="center"/>
                    <w:rPr>
                      <w:rFonts w:hint="eastAsia" w:eastAsia="宋体"/>
                      <w:color w:val="auto"/>
                      <w:szCs w:val="21"/>
                      <w:lang w:val="en-US" w:eastAsia="zh-CN"/>
                    </w:rPr>
                  </w:pPr>
                  <w:r>
                    <w:rPr>
                      <w:color w:val="auto"/>
                      <w:szCs w:val="21"/>
                    </w:rPr>
                    <w:t>昼</w:t>
                  </w:r>
                  <w:r>
                    <w:rPr>
                      <w:rFonts w:hint="eastAsia"/>
                      <w:color w:val="auto"/>
                      <w:szCs w:val="21"/>
                      <w:lang w:val="en-US" w:eastAsia="zh-CN"/>
                    </w:rPr>
                    <w:t>间</w:t>
                  </w:r>
                </w:p>
              </w:tc>
            </w:tr>
          </w:tbl>
          <w:p w14:paraId="1DEA50A5">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olor w:val="auto"/>
                <w:szCs w:val="24"/>
              </w:rPr>
            </w:pPr>
            <w:r>
              <w:rPr>
                <w:rFonts w:hint="eastAsia" w:ascii="Times New Roman" w:hAnsi="Times New Roman" w:eastAsia="宋体" w:cs="Times New Roman"/>
                <w:color w:val="auto"/>
                <w:szCs w:val="24"/>
              </w:rPr>
              <w:t>环评要求：所有设备运行过程中加强维护，确保设备处于良好的运转状态，对设备进行定期的维修保养。</w:t>
            </w:r>
          </w:p>
        </w:tc>
      </w:tr>
    </w:tbl>
    <w:p w14:paraId="76610958">
      <w:pPr>
        <w:pStyle w:val="11"/>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6E75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78A29C86">
            <w:pPr>
              <w:pStyle w:val="24"/>
              <w:adjustRightInd w:val="0"/>
              <w:snapToGrid w:val="0"/>
              <w:spacing w:before="0" w:beforeAutospacing="0" w:after="0" w:afterAutospacing="0"/>
              <w:jc w:val="center"/>
              <w:rPr>
                <w:rFonts w:ascii="Times New Roman" w:hAnsi="Times New Roman"/>
                <w:color w:val="auto"/>
                <w:kern w:val="2"/>
                <w:szCs w:val="24"/>
              </w:rPr>
            </w:pPr>
            <w:r>
              <w:rPr>
                <w:rFonts w:hint="eastAsia" w:cs="宋体"/>
                <w:bCs/>
                <w:color w:val="auto"/>
              </w:rPr>
              <w:t>运营期环境影响和保护措施</w:t>
            </w:r>
          </w:p>
        </w:tc>
        <w:tc>
          <w:tcPr>
            <w:tcW w:w="8162" w:type="dxa"/>
            <w:noWrap w:val="0"/>
            <w:vAlign w:val="center"/>
          </w:tcPr>
          <w:p w14:paraId="56E1F3F2">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Cs w:val="24"/>
              </w:rPr>
            </w:pPr>
            <w:r>
              <w:rPr>
                <w:rFonts w:hint="eastAsia"/>
                <w:color w:val="auto"/>
                <w:szCs w:val="24"/>
              </w:rPr>
              <w:t>（</w:t>
            </w:r>
            <w:r>
              <w:rPr>
                <w:rFonts w:hint="eastAsia"/>
                <w:color w:val="auto"/>
                <w:szCs w:val="24"/>
                <w:lang w:val="en-US" w:eastAsia="zh-CN"/>
              </w:rPr>
              <w:t>2</w:t>
            </w:r>
            <w:r>
              <w:rPr>
                <w:rFonts w:hint="eastAsia"/>
                <w:color w:val="auto"/>
                <w:szCs w:val="24"/>
              </w:rPr>
              <w:t>）预测结果及达标情况分析</w:t>
            </w:r>
          </w:p>
          <w:p w14:paraId="7D2E32D2">
            <w:pPr>
              <w:pStyle w:val="6"/>
              <w:spacing w:line="360" w:lineRule="auto"/>
              <w:ind w:firstLine="48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按照《环境影响评价技术导则·声环境》（HJ2.4-2021）中推荐模式进行预测，根据项目噪声源源强、所在位置，利用噪声预测模式和方法，对厂界四周的噪声贡献值进行预测</w:t>
            </w:r>
            <w:r>
              <w:rPr>
                <w:rFonts w:hint="eastAsia" w:ascii="Times New Roman" w:hAnsi="Times New Roman" w:eastAsia="宋体" w:cs="Times New Roman"/>
                <w:color w:val="auto"/>
                <w:lang w:val="zh-CN"/>
              </w:rPr>
              <w:t>。由于本项目夜间不生产，因此仅对昼间的厂界噪声值进行预测，噪声影响预测结果见</w:t>
            </w:r>
            <w:r>
              <w:rPr>
                <w:rFonts w:hint="eastAsia" w:ascii="Times New Roman" w:hAnsi="Times New Roman" w:eastAsia="宋体" w:cs="Times New Roman"/>
                <w:color w:val="auto"/>
              </w:rPr>
              <w:t>下</w:t>
            </w:r>
            <w:r>
              <w:rPr>
                <w:rFonts w:hint="eastAsia" w:ascii="Times New Roman" w:hAnsi="Times New Roman" w:eastAsia="宋体" w:cs="Times New Roman"/>
                <w:color w:val="auto"/>
                <w:lang w:val="zh-CN"/>
              </w:rPr>
              <w:t>表。</w:t>
            </w:r>
          </w:p>
          <w:p w14:paraId="6F6A5366">
            <w:pPr>
              <w:pStyle w:val="65"/>
              <w:spacing w:line="240" w:lineRule="auto"/>
              <w:ind w:firstLine="0" w:firstLineChars="0"/>
              <w:jc w:val="center"/>
              <w:rPr>
                <w:rFonts w:hint="eastAsia" w:hAnsi="Times New Roman" w:cs="Times New Roman"/>
                <w:b/>
                <w:bCs/>
                <w:color w:val="auto"/>
                <w:kern w:val="21"/>
                <w:szCs w:val="24"/>
              </w:rPr>
            </w:pPr>
            <w:r>
              <w:rPr>
                <w:rFonts w:hint="eastAsia" w:hAnsi="Times New Roman" w:cs="Times New Roman"/>
                <w:b/>
                <w:bCs/>
                <w:color w:val="auto"/>
                <w:kern w:val="21"/>
                <w:szCs w:val="24"/>
              </w:rPr>
              <w:t>表4-</w:t>
            </w:r>
            <w:r>
              <w:rPr>
                <w:rFonts w:hint="eastAsia" w:hAnsi="Times New Roman" w:cs="Times New Roman"/>
                <w:b/>
                <w:bCs/>
                <w:color w:val="auto"/>
                <w:kern w:val="21"/>
                <w:szCs w:val="24"/>
                <w:lang w:val="en-US" w:eastAsia="zh-CN"/>
              </w:rPr>
              <w:t>8</w:t>
            </w:r>
            <w:r>
              <w:rPr>
                <w:rFonts w:hint="eastAsia" w:hAnsi="Times New Roman" w:cs="Times New Roman"/>
                <w:b/>
                <w:bCs/>
                <w:color w:val="auto"/>
                <w:kern w:val="21"/>
                <w:szCs w:val="24"/>
              </w:rPr>
              <w:t xml:space="preserve">  项目噪声预测结果</w:t>
            </w:r>
          </w:p>
          <w:tbl>
            <w:tblPr>
              <w:tblStyle w:val="27"/>
              <w:tblW w:w="81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278"/>
              <w:gridCol w:w="1614"/>
              <w:gridCol w:w="1480"/>
              <w:gridCol w:w="1522"/>
            </w:tblGrid>
            <w:tr w14:paraId="3C783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51" w:type="pct"/>
                  <w:gridSpan w:val="2"/>
                  <w:vMerge w:val="restart"/>
                  <w:noWrap w:val="0"/>
                  <w:vAlign w:val="center"/>
                </w:tcPr>
                <w:p w14:paraId="220C7248">
                  <w:pPr>
                    <w:jc w:val="center"/>
                    <w:rPr>
                      <w:rFonts w:ascii="Times New Roman" w:hAnsi="Times New Roman" w:cs="Times New Roman"/>
                      <w:b/>
                      <w:bCs/>
                      <w:color w:val="auto"/>
                      <w:szCs w:val="21"/>
                    </w:rPr>
                  </w:pPr>
                  <w:r>
                    <w:rPr>
                      <w:rFonts w:ascii="Times New Roman" w:hAnsi="Times New Roman" w:cs="Times New Roman"/>
                      <w:b/>
                      <w:bCs/>
                      <w:color w:val="auto"/>
                      <w:szCs w:val="21"/>
                    </w:rPr>
                    <w:t>预测点位置</w:t>
                  </w:r>
                </w:p>
              </w:tc>
              <w:tc>
                <w:tcPr>
                  <w:tcW w:w="1909" w:type="pct"/>
                  <w:gridSpan w:val="2"/>
                  <w:noWrap w:val="0"/>
                  <w:vAlign w:val="center"/>
                </w:tcPr>
                <w:p w14:paraId="4FCA7816">
                  <w:pPr>
                    <w:jc w:val="center"/>
                    <w:rPr>
                      <w:rFonts w:ascii="Times New Roman" w:hAnsi="Times New Roman" w:cs="Times New Roman"/>
                      <w:b/>
                      <w:bCs/>
                      <w:color w:val="auto"/>
                      <w:szCs w:val="21"/>
                    </w:rPr>
                  </w:pPr>
                  <w:r>
                    <w:rPr>
                      <w:rFonts w:ascii="Times New Roman" w:hAnsi="Times New Roman" w:cs="Times New Roman"/>
                      <w:b/>
                      <w:bCs/>
                      <w:color w:val="auto"/>
                      <w:szCs w:val="21"/>
                    </w:rPr>
                    <w:t>昼间</w:t>
                  </w:r>
                </w:p>
              </w:tc>
              <w:tc>
                <w:tcPr>
                  <w:tcW w:w="939" w:type="pct"/>
                  <w:vMerge w:val="restart"/>
                  <w:noWrap w:val="0"/>
                  <w:vAlign w:val="center"/>
                </w:tcPr>
                <w:p w14:paraId="62AFE85D">
                  <w:pPr>
                    <w:jc w:val="center"/>
                    <w:rPr>
                      <w:rFonts w:ascii="Times New Roman" w:hAnsi="Times New Roman" w:cs="Times New Roman"/>
                      <w:b/>
                      <w:bCs/>
                      <w:color w:val="auto"/>
                      <w:szCs w:val="21"/>
                      <w:highlight w:val="yellow"/>
                    </w:rPr>
                  </w:pPr>
                  <w:r>
                    <w:rPr>
                      <w:rFonts w:ascii="Times New Roman" w:hAnsi="Times New Roman" w:cs="Times New Roman"/>
                      <w:b/>
                      <w:bCs/>
                      <w:color w:val="auto"/>
                      <w:szCs w:val="21"/>
                    </w:rPr>
                    <w:t>达标情况</w:t>
                  </w:r>
                </w:p>
              </w:tc>
            </w:tr>
            <w:tr w14:paraId="7B036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51" w:type="pct"/>
                  <w:gridSpan w:val="2"/>
                  <w:vMerge w:val="continue"/>
                  <w:noWrap w:val="0"/>
                  <w:vAlign w:val="center"/>
                </w:tcPr>
                <w:p w14:paraId="780F854C">
                  <w:pPr>
                    <w:jc w:val="center"/>
                    <w:rPr>
                      <w:rFonts w:ascii="Times New Roman" w:hAnsi="Times New Roman" w:cs="Times New Roman"/>
                      <w:b/>
                      <w:bCs/>
                      <w:color w:val="auto"/>
                      <w:szCs w:val="21"/>
                    </w:rPr>
                  </w:pPr>
                </w:p>
              </w:tc>
              <w:tc>
                <w:tcPr>
                  <w:tcW w:w="995" w:type="pct"/>
                  <w:noWrap w:val="0"/>
                  <w:vAlign w:val="center"/>
                </w:tcPr>
                <w:p w14:paraId="1F2BB6FE">
                  <w:pPr>
                    <w:ind w:left="-105" w:leftChars="-50" w:right="-105" w:rightChars="-50"/>
                    <w:jc w:val="center"/>
                    <w:rPr>
                      <w:rFonts w:ascii="Times New Roman" w:hAnsi="Times New Roman" w:cs="Times New Roman"/>
                      <w:b/>
                      <w:bCs/>
                      <w:color w:val="auto"/>
                      <w:szCs w:val="21"/>
                    </w:rPr>
                  </w:pPr>
                  <w:r>
                    <w:rPr>
                      <w:rFonts w:ascii="Times New Roman" w:hAnsi="Times New Roman" w:cs="Times New Roman"/>
                      <w:b/>
                      <w:bCs/>
                      <w:color w:val="auto"/>
                      <w:szCs w:val="21"/>
                    </w:rPr>
                    <w:t>贡献值</w:t>
                  </w:r>
                </w:p>
              </w:tc>
              <w:tc>
                <w:tcPr>
                  <w:tcW w:w="913" w:type="pct"/>
                  <w:noWrap w:val="0"/>
                  <w:vAlign w:val="center"/>
                </w:tcPr>
                <w:p w14:paraId="3F46BCA0">
                  <w:pPr>
                    <w:jc w:val="center"/>
                    <w:rPr>
                      <w:rFonts w:ascii="Times New Roman" w:hAnsi="Times New Roman" w:cs="Times New Roman"/>
                      <w:b/>
                      <w:bCs/>
                      <w:color w:val="auto"/>
                      <w:szCs w:val="21"/>
                    </w:rPr>
                  </w:pPr>
                  <w:r>
                    <w:rPr>
                      <w:rFonts w:ascii="Times New Roman" w:hAnsi="Times New Roman" w:cs="Times New Roman"/>
                      <w:b/>
                      <w:bCs/>
                      <w:color w:val="auto"/>
                      <w:szCs w:val="21"/>
                    </w:rPr>
                    <w:t>标准限值</w:t>
                  </w:r>
                </w:p>
              </w:tc>
              <w:tc>
                <w:tcPr>
                  <w:tcW w:w="939" w:type="pct"/>
                  <w:vMerge w:val="continue"/>
                  <w:noWrap w:val="0"/>
                  <w:vAlign w:val="center"/>
                </w:tcPr>
                <w:p w14:paraId="094ADEF5">
                  <w:pPr>
                    <w:jc w:val="center"/>
                    <w:rPr>
                      <w:rFonts w:ascii="Times New Roman" w:hAnsi="Times New Roman" w:cs="Times New Roman"/>
                      <w:b/>
                      <w:bCs/>
                      <w:color w:val="auto"/>
                      <w:szCs w:val="21"/>
                    </w:rPr>
                  </w:pPr>
                </w:p>
              </w:tc>
            </w:tr>
            <w:tr w14:paraId="61F35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restart"/>
                  <w:noWrap w:val="0"/>
                  <w:vAlign w:val="center"/>
                </w:tcPr>
                <w:p w14:paraId="0185C5E7">
                  <w:pPr>
                    <w:jc w:val="center"/>
                    <w:rPr>
                      <w:rFonts w:ascii="Times New Roman" w:hAnsi="Times New Roman" w:cs="Times New Roman"/>
                      <w:bCs/>
                      <w:color w:val="auto"/>
                      <w:szCs w:val="21"/>
                    </w:rPr>
                  </w:pPr>
                  <w:r>
                    <w:rPr>
                      <w:rFonts w:ascii="Times New Roman" w:hAnsi="Times New Roman" w:cs="Times New Roman"/>
                      <w:bCs/>
                      <w:color w:val="auto"/>
                      <w:szCs w:val="21"/>
                    </w:rPr>
                    <w:t>厂界</w:t>
                  </w:r>
                </w:p>
              </w:tc>
              <w:tc>
                <w:tcPr>
                  <w:tcW w:w="1405" w:type="pct"/>
                  <w:noWrap w:val="0"/>
                  <w:vAlign w:val="center"/>
                </w:tcPr>
                <w:p w14:paraId="2E2B3F76">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东厂界</w:t>
                  </w:r>
                </w:p>
              </w:tc>
              <w:tc>
                <w:tcPr>
                  <w:tcW w:w="995" w:type="pct"/>
                  <w:noWrap w:val="0"/>
                  <w:vAlign w:val="center"/>
                </w:tcPr>
                <w:p w14:paraId="1D3DA0B0">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56</w:t>
                  </w:r>
                </w:p>
              </w:tc>
              <w:tc>
                <w:tcPr>
                  <w:tcW w:w="913" w:type="pct"/>
                  <w:vMerge w:val="restart"/>
                  <w:noWrap w:val="0"/>
                  <w:vAlign w:val="center"/>
                </w:tcPr>
                <w:p w14:paraId="2109ED2C">
                  <w:pPr>
                    <w:jc w:val="center"/>
                    <w:rPr>
                      <w:rFonts w:hint="eastAsia" w:ascii="Times New Roman" w:hAnsi="Times New Roman" w:eastAsia="宋体" w:cs="Times New Roman"/>
                      <w:bCs/>
                      <w:color w:val="auto"/>
                      <w:szCs w:val="21"/>
                      <w:lang w:val="en-US" w:eastAsia="zh-CN"/>
                    </w:rPr>
                  </w:pPr>
                  <w:r>
                    <w:rPr>
                      <w:rFonts w:ascii="Times New Roman" w:hAnsi="Times New Roman" w:cs="Times New Roman"/>
                      <w:bCs/>
                      <w:color w:val="auto"/>
                      <w:szCs w:val="21"/>
                    </w:rPr>
                    <w:t>6</w:t>
                  </w:r>
                  <w:r>
                    <w:rPr>
                      <w:rFonts w:hint="eastAsia" w:cs="Times New Roman"/>
                      <w:bCs/>
                      <w:color w:val="auto"/>
                      <w:szCs w:val="21"/>
                      <w:lang w:val="en-US" w:eastAsia="zh-CN"/>
                    </w:rPr>
                    <w:t>5</w:t>
                  </w:r>
                </w:p>
              </w:tc>
              <w:tc>
                <w:tcPr>
                  <w:tcW w:w="939" w:type="pct"/>
                  <w:noWrap w:val="0"/>
                  <w:vAlign w:val="center"/>
                </w:tcPr>
                <w:p w14:paraId="288BD366">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r w14:paraId="4B441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continue"/>
                  <w:noWrap w:val="0"/>
                  <w:vAlign w:val="center"/>
                </w:tcPr>
                <w:p w14:paraId="79976151">
                  <w:pPr>
                    <w:jc w:val="center"/>
                    <w:rPr>
                      <w:rFonts w:ascii="Times New Roman" w:hAnsi="Times New Roman" w:cs="Times New Roman"/>
                      <w:bCs/>
                      <w:color w:val="auto"/>
                      <w:szCs w:val="21"/>
                    </w:rPr>
                  </w:pPr>
                </w:p>
              </w:tc>
              <w:tc>
                <w:tcPr>
                  <w:tcW w:w="1405" w:type="pct"/>
                  <w:noWrap w:val="0"/>
                  <w:vAlign w:val="center"/>
                </w:tcPr>
                <w:p w14:paraId="082C490D">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南厂界</w:t>
                  </w:r>
                </w:p>
              </w:tc>
              <w:tc>
                <w:tcPr>
                  <w:tcW w:w="995" w:type="pct"/>
                  <w:noWrap w:val="0"/>
                  <w:vAlign w:val="center"/>
                </w:tcPr>
                <w:p w14:paraId="2E5F54C9">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61</w:t>
                  </w:r>
                </w:p>
              </w:tc>
              <w:tc>
                <w:tcPr>
                  <w:tcW w:w="913" w:type="pct"/>
                  <w:vMerge w:val="continue"/>
                  <w:noWrap w:val="0"/>
                  <w:vAlign w:val="center"/>
                </w:tcPr>
                <w:p w14:paraId="1DAB7C7E">
                  <w:pPr>
                    <w:jc w:val="center"/>
                    <w:rPr>
                      <w:rFonts w:ascii="Times New Roman" w:hAnsi="Times New Roman" w:cs="Times New Roman"/>
                      <w:bCs/>
                      <w:color w:val="auto"/>
                      <w:szCs w:val="21"/>
                    </w:rPr>
                  </w:pPr>
                </w:p>
              </w:tc>
              <w:tc>
                <w:tcPr>
                  <w:tcW w:w="939" w:type="pct"/>
                  <w:noWrap w:val="0"/>
                  <w:vAlign w:val="center"/>
                </w:tcPr>
                <w:p w14:paraId="73DFCC76">
                  <w:pPr>
                    <w:jc w:val="center"/>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达标</w:t>
                  </w:r>
                </w:p>
              </w:tc>
            </w:tr>
            <w:tr w14:paraId="7A11F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continue"/>
                  <w:noWrap w:val="0"/>
                  <w:vAlign w:val="center"/>
                </w:tcPr>
                <w:p w14:paraId="470733BF">
                  <w:pPr>
                    <w:jc w:val="center"/>
                    <w:rPr>
                      <w:rFonts w:ascii="Times New Roman" w:hAnsi="Times New Roman" w:cs="Times New Roman"/>
                      <w:bCs/>
                      <w:color w:val="auto"/>
                      <w:szCs w:val="21"/>
                    </w:rPr>
                  </w:pPr>
                </w:p>
              </w:tc>
              <w:tc>
                <w:tcPr>
                  <w:tcW w:w="1405" w:type="pct"/>
                  <w:noWrap w:val="0"/>
                  <w:vAlign w:val="center"/>
                </w:tcPr>
                <w:p w14:paraId="3E91DCB6">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西厂界</w:t>
                  </w:r>
                </w:p>
              </w:tc>
              <w:tc>
                <w:tcPr>
                  <w:tcW w:w="995" w:type="pct"/>
                  <w:noWrap w:val="0"/>
                  <w:vAlign w:val="center"/>
                </w:tcPr>
                <w:p w14:paraId="3AD75528">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52</w:t>
                  </w:r>
                </w:p>
              </w:tc>
              <w:tc>
                <w:tcPr>
                  <w:tcW w:w="913" w:type="pct"/>
                  <w:vMerge w:val="continue"/>
                  <w:noWrap w:val="0"/>
                  <w:vAlign w:val="center"/>
                </w:tcPr>
                <w:p w14:paraId="1CF28E2C">
                  <w:pPr>
                    <w:jc w:val="center"/>
                    <w:rPr>
                      <w:rFonts w:ascii="Times New Roman" w:hAnsi="Times New Roman" w:cs="Times New Roman"/>
                      <w:color w:val="auto"/>
                      <w:szCs w:val="21"/>
                    </w:rPr>
                  </w:pPr>
                </w:p>
              </w:tc>
              <w:tc>
                <w:tcPr>
                  <w:tcW w:w="939" w:type="pct"/>
                  <w:noWrap w:val="0"/>
                  <w:vAlign w:val="center"/>
                </w:tcPr>
                <w:p w14:paraId="60178A9C">
                  <w:pPr>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达标</w:t>
                  </w:r>
                </w:p>
              </w:tc>
            </w:tr>
            <w:tr w14:paraId="15E17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continue"/>
                  <w:noWrap w:val="0"/>
                  <w:vAlign w:val="center"/>
                </w:tcPr>
                <w:p w14:paraId="46771BF0">
                  <w:pPr>
                    <w:jc w:val="center"/>
                    <w:rPr>
                      <w:rFonts w:ascii="Times New Roman" w:hAnsi="Times New Roman" w:cs="Times New Roman"/>
                      <w:bCs/>
                      <w:color w:val="auto"/>
                      <w:szCs w:val="21"/>
                    </w:rPr>
                  </w:pPr>
                </w:p>
              </w:tc>
              <w:tc>
                <w:tcPr>
                  <w:tcW w:w="1405" w:type="pct"/>
                  <w:noWrap w:val="0"/>
                  <w:vAlign w:val="center"/>
                </w:tcPr>
                <w:p w14:paraId="2D2FEFB2">
                  <w:pPr>
                    <w:adjustRightInd w:val="0"/>
                    <w:snapToGrid w:val="0"/>
                    <w:jc w:val="center"/>
                    <w:rPr>
                      <w:rFonts w:ascii="Times New Roman" w:hAnsi="Times New Roman" w:cs="Times New Roman"/>
                      <w:bCs/>
                      <w:color w:val="auto"/>
                      <w:kern w:val="2"/>
                      <w:sz w:val="21"/>
                      <w:szCs w:val="21"/>
                      <w:lang w:val="en-US" w:eastAsia="zh-CN" w:bidi="ar-SA"/>
                    </w:rPr>
                  </w:pPr>
                  <w:r>
                    <w:rPr>
                      <w:rFonts w:hint="eastAsia" w:cs="Times New Roman"/>
                      <w:bCs/>
                      <w:color w:val="auto"/>
                      <w:szCs w:val="21"/>
                      <w:lang w:val="en-US" w:eastAsia="zh-CN"/>
                    </w:rPr>
                    <w:t>北</w:t>
                  </w:r>
                  <w:r>
                    <w:rPr>
                      <w:rFonts w:ascii="Times New Roman" w:hAnsi="Times New Roman" w:cs="Times New Roman"/>
                      <w:bCs/>
                      <w:color w:val="auto"/>
                      <w:szCs w:val="21"/>
                    </w:rPr>
                    <w:t>厂界</w:t>
                  </w:r>
                </w:p>
              </w:tc>
              <w:tc>
                <w:tcPr>
                  <w:tcW w:w="995" w:type="pct"/>
                  <w:noWrap w:val="0"/>
                  <w:vAlign w:val="center"/>
                </w:tcPr>
                <w:p w14:paraId="024B6073">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53</w:t>
                  </w:r>
                </w:p>
              </w:tc>
              <w:tc>
                <w:tcPr>
                  <w:tcW w:w="913" w:type="pct"/>
                  <w:vMerge w:val="continue"/>
                  <w:noWrap w:val="0"/>
                  <w:vAlign w:val="center"/>
                </w:tcPr>
                <w:p w14:paraId="387CC243">
                  <w:pPr>
                    <w:jc w:val="center"/>
                    <w:rPr>
                      <w:rFonts w:ascii="Times New Roman" w:hAnsi="Times New Roman" w:cs="Times New Roman"/>
                      <w:color w:val="auto"/>
                      <w:szCs w:val="21"/>
                    </w:rPr>
                  </w:pPr>
                </w:p>
              </w:tc>
              <w:tc>
                <w:tcPr>
                  <w:tcW w:w="939" w:type="pct"/>
                  <w:noWrap w:val="0"/>
                  <w:vAlign w:val="center"/>
                </w:tcPr>
                <w:p w14:paraId="1EB99ADF">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bl>
          <w:p w14:paraId="11B029B1">
            <w:pPr>
              <w:pStyle w:val="6"/>
              <w:spacing w:before="120" w:beforeLines="50" w:line="360" w:lineRule="auto"/>
              <w:ind w:firstLine="480" w:firstLineChars="200"/>
              <w:rPr>
                <w:color w:val="auto"/>
                <w:szCs w:val="24"/>
              </w:rPr>
            </w:pPr>
            <w:r>
              <w:rPr>
                <w:rFonts w:hint="eastAsia"/>
                <w:color w:val="auto"/>
                <w:szCs w:val="24"/>
              </w:rPr>
              <w:t>根据预测结果可知，项目运营期间，厂界噪声昼间贡献值满足《工业企业厂界环境噪声排放标准》（GB12348-2008）</w:t>
            </w:r>
            <w:r>
              <w:rPr>
                <w:rFonts w:hint="eastAsia"/>
                <w:color w:val="auto"/>
                <w:szCs w:val="24"/>
                <w:lang w:val="en-US" w:eastAsia="zh-CN"/>
              </w:rPr>
              <w:t>3</w:t>
            </w:r>
            <w:r>
              <w:rPr>
                <w:rFonts w:hint="eastAsia"/>
                <w:color w:val="auto"/>
                <w:szCs w:val="24"/>
              </w:rPr>
              <w:t>类标准要求。</w:t>
            </w:r>
          </w:p>
          <w:p w14:paraId="65FFADB8">
            <w:pPr>
              <w:pStyle w:val="6"/>
              <w:spacing w:line="360" w:lineRule="auto"/>
              <w:ind w:firstLine="480" w:firstLineChars="200"/>
              <w:rPr>
                <w:rFonts w:hint="eastAsia"/>
                <w:color w:val="auto"/>
                <w:szCs w:val="24"/>
              </w:rPr>
            </w:pPr>
            <w:r>
              <w:rPr>
                <w:rFonts w:hint="eastAsia"/>
                <w:color w:val="auto"/>
                <w:szCs w:val="24"/>
              </w:rPr>
              <w:t>（</w:t>
            </w:r>
            <w:r>
              <w:rPr>
                <w:rFonts w:hint="eastAsia"/>
                <w:color w:val="auto"/>
                <w:szCs w:val="24"/>
                <w:lang w:val="en-US" w:eastAsia="zh-CN"/>
              </w:rPr>
              <w:t>3</w:t>
            </w:r>
            <w:r>
              <w:rPr>
                <w:rFonts w:hint="eastAsia"/>
                <w:color w:val="auto"/>
                <w:szCs w:val="24"/>
              </w:rPr>
              <w:t>）监测计划</w:t>
            </w:r>
          </w:p>
          <w:p w14:paraId="0BF5E28D">
            <w:pPr>
              <w:pStyle w:val="6"/>
              <w:spacing w:line="360" w:lineRule="auto"/>
              <w:ind w:firstLine="480" w:firstLineChars="200"/>
              <w:rPr>
                <w:rFonts w:hint="eastAsia"/>
                <w:color w:val="auto"/>
                <w:szCs w:val="24"/>
              </w:rPr>
            </w:pPr>
            <w:r>
              <w:rPr>
                <w:rFonts w:hint="eastAsia"/>
                <w:color w:val="auto"/>
              </w:rPr>
              <w:t>根据《排污单位自行监测技术指南 总则》（HJ 819-2017），</w:t>
            </w:r>
            <w:r>
              <w:rPr>
                <w:color w:val="auto"/>
              </w:rPr>
              <w:t>本项目运营期噪声监测计划见下表。</w:t>
            </w:r>
          </w:p>
          <w:p w14:paraId="492E5671">
            <w:pPr>
              <w:pStyle w:val="65"/>
              <w:spacing w:line="240" w:lineRule="auto"/>
              <w:ind w:firstLine="0" w:firstLineChars="0"/>
              <w:jc w:val="center"/>
              <w:rPr>
                <w:rFonts w:hAnsi="Times New Roman" w:cs="Times New Roman"/>
                <w:b/>
                <w:bCs/>
                <w:color w:val="auto"/>
                <w:kern w:val="21"/>
                <w:szCs w:val="24"/>
              </w:rPr>
            </w:pPr>
            <w:r>
              <w:rPr>
                <w:rFonts w:hint="eastAsia" w:hAnsi="Times New Roman" w:cs="Times New Roman"/>
                <w:b/>
                <w:bCs/>
                <w:color w:val="auto"/>
                <w:kern w:val="21"/>
                <w:szCs w:val="24"/>
              </w:rPr>
              <w:t>表4-</w:t>
            </w:r>
            <w:r>
              <w:rPr>
                <w:rFonts w:hint="eastAsia" w:hAnsi="Times New Roman" w:cs="Times New Roman"/>
                <w:b/>
                <w:bCs/>
                <w:color w:val="auto"/>
                <w:kern w:val="21"/>
                <w:szCs w:val="24"/>
                <w:lang w:val="en-US" w:eastAsia="zh-CN"/>
              </w:rPr>
              <w:t>9</w:t>
            </w:r>
            <w:r>
              <w:rPr>
                <w:rFonts w:hint="eastAsia" w:hAnsi="Times New Roman" w:cs="Times New Roman"/>
                <w:b/>
                <w:bCs/>
                <w:color w:val="auto"/>
                <w:kern w:val="21"/>
                <w:szCs w:val="24"/>
              </w:rPr>
              <w:t xml:space="preserve">  项目噪声监测计划</w:t>
            </w:r>
          </w:p>
          <w:tbl>
            <w:tblPr>
              <w:tblStyle w:val="27"/>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857"/>
              <w:gridCol w:w="1178"/>
              <w:gridCol w:w="1231"/>
              <w:gridCol w:w="2786"/>
            </w:tblGrid>
            <w:tr w14:paraId="48F6C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6" w:type="pct"/>
                  <w:noWrap w:val="0"/>
                  <w:vAlign w:val="center"/>
                </w:tcPr>
                <w:p w14:paraId="182E718A">
                  <w:pPr>
                    <w:jc w:val="center"/>
                    <w:rPr>
                      <w:b/>
                      <w:bCs/>
                      <w:color w:val="auto"/>
                      <w:szCs w:val="21"/>
                    </w:rPr>
                  </w:pPr>
                  <w:r>
                    <w:rPr>
                      <w:b/>
                      <w:bCs/>
                      <w:color w:val="auto"/>
                      <w:szCs w:val="21"/>
                    </w:rPr>
                    <w:t>类别</w:t>
                  </w:r>
                </w:p>
              </w:tc>
              <w:tc>
                <w:tcPr>
                  <w:tcW w:w="1157" w:type="pct"/>
                  <w:noWrap w:val="0"/>
                  <w:vAlign w:val="center"/>
                </w:tcPr>
                <w:p w14:paraId="2B871244">
                  <w:pPr>
                    <w:jc w:val="center"/>
                    <w:rPr>
                      <w:b/>
                      <w:bCs/>
                      <w:color w:val="auto"/>
                      <w:szCs w:val="21"/>
                    </w:rPr>
                  </w:pPr>
                  <w:r>
                    <w:rPr>
                      <w:b/>
                      <w:bCs/>
                      <w:color w:val="auto"/>
                      <w:szCs w:val="21"/>
                    </w:rPr>
                    <w:t>监测点位</w:t>
                  </w:r>
                </w:p>
              </w:tc>
              <w:tc>
                <w:tcPr>
                  <w:tcW w:w="733" w:type="pct"/>
                  <w:noWrap w:val="0"/>
                  <w:vAlign w:val="center"/>
                </w:tcPr>
                <w:p w14:paraId="00D011E1">
                  <w:pPr>
                    <w:jc w:val="center"/>
                    <w:rPr>
                      <w:b/>
                      <w:bCs/>
                      <w:color w:val="auto"/>
                      <w:szCs w:val="21"/>
                    </w:rPr>
                  </w:pPr>
                  <w:r>
                    <w:rPr>
                      <w:b/>
                      <w:bCs/>
                      <w:color w:val="auto"/>
                      <w:szCs w:val="21"/>
                    </w:rPr>
                    <w:t>监测项目</w:t>
                  </w:r>
                </w:p>
              </w:tc>
              <w:tc>
                <w:tcPr>
                  <w:tcW w:w="766" w:type="pct"/>
                  <w:noWrap w:val="0"/>
                  <w:vAlign w:val="center"/>
                </w:tcPr>
                <w:p w14:paraId="2FDA51F7">
                  <w:pPr>
                    <w:jc w:val="center"/>
                    <w:rPr>
                      <w:b/>
                      <w:bCs/>
                      <w:color w:val="auto"/>
                      <w:szCs w:val="21"/>
                    </w:rPr>
                  </w:pPr>
                  <w:r>
                    <w:rPr>
                      <w:b/>
                      <w:bCs/>
                      <w:color w:val="auto"/>
                      <w:szCs w:val="21"/>
                    </w:rPr>
                    <w:t>监测频次</w:t>
                  </w:r>
                </w:p>
              </w:tc>
              <w:tc>
                <w:tcPr>
                  <w:tcW w:w="1735" w:type="pct"/>
                  <w:noWrap w:val="0"/>
                  <w:vAlign w:val="center"/>
                </w:tcPr>
                <w:p w14:paraId="4F392E71">
                  <w:pPr>
                    <w:jc w:val="center"/>
                    <w:rPr>
                      <w:rFonts w:hint="eastAsia"/>
                      <w:b/>
                      <w:bCs/>
                      <w:color w:val="auto"/>
                      <w:szCs w:val="21"/>
                    </w:rPr>
                  </w:pPr>
                  <w:r>
                    <w:rPr>
                      <w:rFonts w:hint="eastAsia"/>
                      <w:b/>
                      <w:bCs/>
                      <w:color w:val="auto"/>
                      <w:szCs w:val="21"/>
                    </w:rPr>
                    <w:t>执行标准</w:t>
                  </w:r>
                </w:p>
              </w:tc>
            </w:tr>
            <w:tr w14:paraId="37E3B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06" w:type="pct"/>
                  <w:noWrap w:val="0"/>
                  <w:vAlign w:val="center"/>
                </w:tcPr>
                <w:p w14:paraId="0C3C5255">
                  <w:pPr>
                    <w:jc w:val="center"/>
                    <w:rPr>
                      <w:color w:val="auto"/>
                      <w:szCs w:val="21"/>
                    </w:rPr>
                  </w:pPr>
                  <w:r>
                    <w:rPr>
                      <w:color w:val="auto"/>
                      <w:szCs w:val="21"/>
                    </w:rPr>
                    <w:t>噪声</w:t>
                  </w:r>
                </w:p>
              </w:tc>
              <w:tc>
                <w:tcPr>
                  <w:tcW w:w="1157" w:type="pct"/>
                  <w:noWrap w:val="0"/>
                  <w:vAlign w:val="center"/>
                </w:tcPr>
                <w:p w14:paraId="7C1A0FEA">
                  <w:pPr>
                    <w:jc w:val="center"/>
                    <w:rPr>
                      <w:rFonts w:hint="default" w:eastAsia="宋体"/>
                      <w:color w:val="auto"/>
                      <w:szCs w:val="21"/>
                      <w:lang w:val="en-US" w:eastAsia="zh-CN"/>
                    </w:rPr>
                  </w:pPr>
                  <w:r>
                    <w:rPr>
                      <w:rFonts w:hint="eastAsia"/>
                      <w:color w:val="auto"/>
                      <w:szCs w:val="21"/>
                      <w:lang w:val="en-US" w:eastAsia="zh-CN"/>
                    </w:rPr>
                    <w:t>厂界西侧、南侧、东侧</w:t>
                  </w:r>
                </w:p>
              </w:tc>
              <w:tc>
                <w:tcPr>
                  <w:tcW w:w="733" w:type="pct"/>
                  <w:noWrap w:val="0"/>
                  <w:vAlign w:val="center"/>
                </w:tcPr>
                <w:p w14:paraId="7C8CB928">
                  <w:pPr>
                    <w:jc w:val="center"/>
                    <w:rPr>
                      <w:color w:val="auto"/>
                      <w:szCs w:val="21"/>
                    </w:rPr>
                  </w:pPr>
                  <w:r>
                    <w:rPr>
                      <w:color w:val="auto"/>
                      <w:szCs w:val="21"/>
                    </w:rPr>
                    <w:t>L</w:t>
                  </w:r>
                  <w:r>
                    <w:rPr>
                      <w:color w:val="auto"/>
                      <w:szCs w:val="21"/>
                      <w:vertAlign w:val="subscript"/>
                    </w:rPr>
                    <w:t>Aeq</w:t>
                  </w:r>
                </w:p>
              </w:tc>
              <w:tc>
                <w:tcPr>
                  <w:tcW w:w="766" w:type="pct"/>
                  <w:noWrap w:val="0"/>
                  <w:vAlign w:val="center"/>
                </w:tcPr>
                <w:p w14:paraId="25541977">
                  <w:pPr>
                    <w:jc w:val="center"/>
                    <w:rPr>
                      <w:rFonts w:hint="eastAsia"/>
                      <w:color w:val="auto"/>
                      <w:szCs w:val="21"/>
                    </w:rPr>
                  </w:pPr>
                  <w:r>
                    <w:rPr>
                      <w:rFonts w:hint="eastAsia"/>
                      <w:color w:val="auto"/>
                      <w:szCs w:val="21"/>
                    </w:rPr>
                    <w:t>1</w:t>
                  </w:r>
                  <w:r>
                    <w:rPr>
                      <w:color w:val="auto"/>
                      <w:szCs w:val="21"/>
                    </w:rPr>
                    <w:t>次</w:t>
                  </w:r>
                  <w:r>
                    <w:rPr>
                      <w:rFonts w:hint="eastAsia"/>
                      <w:color w:val="auto"/>
                      <w:szCs w:val="21"/>
                    </w:rPr>
                    <w:t>/季度</w:t>
                  </w:r>
                </w:p>
              </w:tc>
              <w:tc>
                <w:tcPr>
                  <w:tcW w:w="1735" w:type="pct"/>
                  <w:noWrap w:val="0"/>
                  <w:vAlign w:val="center"/>
                </w:tcPr>
                <w:p w14:paraId="3986299C">
                  <w:pPr>
                    <w:jc w:val="center"/>
                    <w:rPr>
                      <w:rFonts w:hint="eastAsia"/>
                      <w:color w:val="auto"/>
                      <w:szCs w:val="21"/>
                    </w:rPr>
                  </w:pPr>
                  <w:r>
                    <w:rPr>
                      <w:color w:val="auto"/>
                      <w:szCs w:val="21"/>
                    </w:rPr>
                    <w:t>《工业企业厂界环境噪声排放标准》（GB12348-2008）</w:t>
                  </w:r>
                  <w:r>
                    <w:rPr>
                      <w:rFonts w:hint="eastAsia"/>
                      <w:color w:val="auto"/>
                      <w:szCs w:val="21"/>
                      <w:lang w:val="en-US" w:eastAsia="zh-CN"/>
                    </w:rPr>
                    <w:t>3</w:t>
                  </w:r>
                  <w:r>
                    <w:rPr>
                      <w:rFonts w:hint="eastAsia"/>
                      <w:color w:val="auto"/>
                      <w:szCs w:val="21"/>
                    </w:rPr>
                    <w:t>类标准</w:t>
                  </w:r>
                </w:p>
              </w:tc>
            </w:tr>
            <w:tr w14:paraId="18A43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noWrap w:val="0"/>
                  <w:vAlign w:val="center"/>
                </w:tcPr>
                <w:p w14:paraId="5EEA4E41">
                  <w:pPr>
                    <w:jc w:val="both"/>
                    <w:rPr>
                      <w:rFonts w:hint="default" w:eastAsia="宋体"/>
                      <w:color w:val="auto"/>
                      <w:szCs w:val="21"/>
                      <w:lang w:val="en-US" w:eastAsia="zh-CN"/>
                    </w:rPr>
                  </w:pPr>
                  <w:r>
                    <w:rPr>
                      <w:rFonts w:hint="eastAsia"/>
                      <w:color w:val="auto"/>
                      <w:szCs w:val="21"/>
                      <w:lang w:val="en-US" w:eastAsia="zh-CN"/>
                    </w:rPr>
                    <w:t>注：北侧紧邻</w:t>
                  </w:r>
                  <w:r>
                    <w:rPr>
                      <w:rFonts w:hint="eastAsia"/>
                      <w:color w:val="auto"/>
                      <w:szCs w:val="21"/>
                      <w:highlight w:val="none"/>
                      <w:lang w:val="en-US" w:eastAsia="zh-CN" w:bidi="he-IL"/>
                    </w:rPr>
                    <w:t>厂房无监测条件，因此不监测。</w:t>
                  </w:r>
                </w:p>
              </w:tc>
            </w:tr>
          </w:tbl>
          <w:p w14:paraId="2E06F1AF">
            <w:pPr>
              <w:pStyle w:val="6"/>
              <w:keepNext w:val="0"/>
              <w:keepLines w:val="0"/>
              <w:pageBreakBefore w:val="0"/>
              <w:widowControl w:val="0"/>
              <w:kinsoku/>
              <w:wordWrap/>
              <w:overflowPunct/>
              <w:topLinePunct w:val="0"/>
              <w:bidi w:val="0"/>
              <w:spacing w:before="120" w:beforeLines="50" w:line="360" w:lineRule="auto"/>
              <w:ind w:firstLine="482" w:firstLineChars="200"/>
              <w:textAlignment w:val="auto"/>
              <w:rPr>
                <w:rFonts w:hint="eastAsia"/>
                <w:b/>
                <w:bCs/>
                <w:color w:val="auto"/>
                <w:szCs w:val="24"/>
              </w:rPr>
            </w:pPr>
            <w:r>
              <w:rPr>
                <w:rFonts w:hint="eastAsia"/>
                <w:b/>
                <w:bCs/>
                <w:color w:val="auto"/>
                <w:szCs w:val="24"/>
              </w:rPr>
              <w:t>4、固体废物</w:t>
            </w:r>
          </w:p>
          <w:p w14:paraId="01CE482A">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szCs w:val="24"/>
              </w:rPr>
              <w:t>（1）固废产生情况</w:t>
            </w:r>
          </w:p>
          <w:p w14:paraId="4C758CCB">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Cs w:val="24"/>
              </w:rPr>
            </w:pPr>
            <w:r>
              <w:rPr>
                <w:rFonts w:hint="eastAsia"/>
                <w:color w:val="auto"/>
                <w:szCs w:val="24"/>
              </w:rPr>
              <w:t>项目运营期产生的固体废物主要为员工生活垃圾、</w:t>
            </w:r>
            <w:r>
              <w:rPr>
                <w:rFonts w:hint="eastAsia"/>
                <w:color w:val="auto"/>
                <w:szCs w:val="24"/>
                <w:lang w:val="en-US" w:eastAsia="zh-CN"/>
              </w:rPr>
              <w:t>一般工业固体废物（</w:t>
            </w:r>
            <w:r>
              <w:rPr>
                <w:rFonts w:hint="eastAsia" w:ascii="Times New Roman" w:hAnsi="Times New Roman" w:cs="Times New Roman"/>
                <w:color w:val="auto"/>
                <w:sz w:val="24"/>
                <w:lang w:val="en-US" w:eastAsia="zh-CN"/>
              </w:rPr>
              <w:t>除尘灰、</w:t>
            </w:r>
            <w:r>
              <w:rPr>
                <w:rFonts w:hint="default" w:ascii="Times New Roman" w:hAnsi="Times New Roman" w:cs="Times New Roman"/>
                <w:color w:val="auto"/>
                <w:sz w:val="24"/>
              </w:rPr>
              <w:t>废包装</w:t>
            </w:r>
            <w:r>
              <w:rPr>
                <w:rFonts w:hint="eastAsia" w:ascii="Times New Roman" w:hAnsi="Times New Roman" w:cs="Times New Roman"/>
                <w:color w:val="auto"/>
                <w:sz w:val="24"/>
                <w:lang w:val="en-US" w:eastAsia="zh-CN"/>
              </w:rPr>
              <w:t>袋</w:t>
            </w:r>
            <w:r>
              <w:rPr>
                <w:rFonts w:hint="default" w:ascii="Times New Roman" w:hAnsi="Times New Roman" w:cs="Times New Roman"/>
                <w:color w:val="auto"/>
                <w:sz w:val="24"/>
              </w:rPr>
              <w:t>、废泡沫材料、</w:t>
            </w:r>
            <w:r>
              <w:rPr>
                <w:rFonts w:hint="eastAsia" w:ascii="Times New Roman" w:hAnsi="Times New Roman" w:cs="Times New Roman"/>
                <w:color w:val="auto"/>
                <w:sz w:val="24"/>
                <w:lang w:val="en-US" w:eastAsia="zh-CN"/>
              </w:rPr>
              <w:t>废边角料</w:t>
            </w:r>
            <w:r>
              <w:rPr>
                <w:rFonts w:hint="eastAsia"/>
                <w:color w:val="auto"/>
                <w:szCs w:val="24"/>
                <w:lang w:val="en-US" w:eastAsia="zh-CN"/>
              </w:rPr>
              <w:t>）和危险废物（</w:t>
            </w:r>
            <w:r>
              <w:rPr>
                <w:rFonts w:hint="default" w:ascii="Times New Roman" w:hAnsi="Times New Roman" w:cs="Times New Roman"/>
                <w:color w:val="auto"/>
                <w:sz w:val="24"/>
              </w:rPr>
              <w:t>废包装桶</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废活性炭、废机油</w:t>
            </w:r>
            <w:r>
              <w:rPr>
                <w:rFonts w:hint="eastAsia" w:cs="Times New Roman"/>
                <w:color w:val="auto"/>
                <w:sz w:val="24"/>
                <w:lang w:eastAsia="zh-CN"/>
              </w:rPr>
              <w:t>、</w:t>
            </w:r>
            <w:r>
              <w:rPr>
                <w:rFonts w:hint="eastAsia" w:cs="Times New Roman"/>
                <w:color w:val="auto"/>
                <w:sz w:val="24"/>
                <w:lang w:val="en-US" w:eastAsia="zh-CN"/>
              </w:rPr>
              <w:t>废油桶</w:t>
            </w:r>
            <w:r>
              <w:rPr>
                <w:rFonts w:hint="default" w:ascii="Times New Roman" w:hAnsi="Times New Roman" w:cs="Times New Roman"/>
                <w:color w:val="auto"/>
                <w:sz w:val="24"/>
              </w:rPr>
              <w:t>及废含油抹布、手套</w:t>
            </w:r>
            <w:r>
              <w:rPr>
                <w:rFonts w:hint="eastAsia" w:ascii="Times New Roman" w:hAnsi="Times New Roman" w:eastAsia="宋体" w:cs="Times New Roman"/>
                <w:color w:val="auto"/>
                <w:lang w:eastAsia="zh-CN"/>
              </w:rPr>
              <w:t>）</w:t>
            </w:r>
            <w:r>
              <w:rPr>
                <w:rFonts w:hint="eastAsia"/>
                <w:color w:val="auto"/>
                <w:szCs w:val="24"/>
              </w:rPr>
              <w:t>。</w:t>
            </w:r>
          </w:p>
          <w:p w14:paraId="7EECBA4A">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color w:val="auto"/>
                <w:szCs w:val="24"/>
              </w:rPr>
              <w:t>1</w:t>
            </w:r>
            <w:r>
              <w:rPr>
                <w:rFonts w:hint="eastAsia"/>
                <w:color w:val="auto"/>
                <w:szCs w:val="24"/>
              </w:rPr>
              <w:t>）生活垃圾</w:t>
            </w:r>
          </w:p>
          <w:p w14:paraId="7944EB4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color w:val="auto"/>
              </w:rPr>
              <w:t>项目</w:t>
            </w:r>
            <w:r>
              <w:rPr>
                <w:rFonts w:hint="eastAsia"/>
                <w:color w:val="auto"/>
              </w:rPr>
              <w:t>劳动定员</w:t>
            </w:r>
            <w:r>
              <w:rPr>
                <w:rFonts w:hint="eastAsia"/>
                <w:color w:val="auto"/>
                <w:lang w:val="en-US" w:eastAsia="zh-CN"/>
              </w:rPr>
              <w:t>15</w:t>
            </w:r>
            <w:r>
              <w:rPr>
                <w:color w:val="auto"/>
              </w:rPr>
              <w:t>人，日产生垃圾量按</w:t>
            </w:r>
            <w:r>
              <w:rPr>
                <w:rFonts w:hint="eastAsia"/>
                <w:color w:val="auto"/>
              </w:rPr>
              <w:t>0.5</w:t>
            </w:r>
            <w:r>
              <w:rPr>
                <w:color w:val="auto"/>
              </w:rPr>
              <w:t xml:space="preserve"> kg/人·d计，则员工</w:t>
            </w:r>
            <w:r>
              <w:rPr>
                <w:rFonts w:hint="eastAsia"/>
                <w:color w:val="auto"/>
              </w:rPr>
              <w:t>生活</w:t>
            </w:r>
            <w:r>
              <w:rPr>
                <w:color w:val="auto"/>
              </w:rPr>
              <w:t>垃圾产生量</w:t>
            </w:r>
            <w:r>
              <w:rPr>
                <w:rFonts w:hint="eastAsia"/>
                <w:color w:val="auto"/>
                <w:lang w:val="en-US" w:eastAsia="zh-CN"/>
              </w:rPr>
              <w:t>为7.5kg/d，2.25</w:t>
            </w:r>
            <w:r>
              <w:rPr>
                <w:rFonts w:hint="eastAsia"/>
                <w:color w:val="auto"/>
              </w:rPr>
              <w:t>t</w:t>
            </w:r>
            <w:r>
              <w:rPr>
                <w:color w:val="auto"/>
              </w:rPr>
              <w:t>/a</w:t>
            </w:r>
            <w:r>
              <w:rPr>
                <w:rFonts w:hint="eastAsia"/>
                <w:color w:val="auto"/>
              </w:rPr>
              <w:t>，生活</w:t>
            </w:r>
            <w:r>
              <w:rPr>
                <w:color w:val="auto"/>
              </w:rPr>
              <w:t>垃圾</w:t>
            </w:r>
            <w:r>
              <w:rPr>
                <w:rFonts w:hint="eastAsia"/>
                <w:color w:val="auto"/>
              </w:rPr>
              <w:t>由环卫部门统一收集清运。</w:t>
            </w:r>
          </w:p>
          <w:p w14:paraId="69D628FB">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一般工业固体废物</w:t>
            </w:r>
          </w:p>
          <w:p w14:paraId="1AB970E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①除尘灰</w:t>
            </w:r>
          </w:p>
          <w:p w14:paraId="1607C1E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物料平衡</w:t>
            </w:r>
            <w:r>
              <w:rPr>
                <w:rFonts w:hint="default" w:ascii="Times New Roman" w:hAnsi="Times New Roman" w:cs="Times New Roman"/>
                <w:color w:val="auto"/>
                <w:sz w:val="24"/>
              </w:rPr>
              <w:t>可知，本项目除尘器收集的粉尘量为</w:t>
            </w:r>
            <w:r>
              <w:rPr>
                <w:rFonts w:hint="eastAsia" w:ascii="Times New Roman" w:hAnsi="Times New Roman" w:cs="Times New Roman"/>
                <w:color w:val="auto"/>
                <w:sz w:val="24"/>
                <w:lang w:val="en-US" w:eastAsia="zh-CN"/>
              </w:rPr>
              <w:t>2.168</w:t>
            </w:r>
            <w:r>
              <w:rPr>
                <w:rFonts w:hint="default" w:ascii="Times New Roman" w:hAnsi="Times New Roman" w:cs="Times New Roman"/>
                <w:color w:val="auto"/>
                <w:sz w:val="24"/>
              </w:rPr>
              <w:t>t/a，集中收集后定期外售。</w:t>
            </w:r>
          </w:p>
          <w:p w14:paraId="46A6341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②</w:t>
            </w:r>
            <w:r>
              <w:rPr>
                <w:rFonts w:hint="default" w:ascii="Times New Roman" w:hAnsi="Times New Roman" w:cs="Times New Roman"/>
                <w:bCs/>
                <w:color w:val="auto"/>
                <w:sz w:val="24"/>
              </w:rPr>
              <w:t>废包装袋</w:t>
            </w:r>
          </w:p>
          <w:p w14:paraId="6C30780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废包装袋主要为外护管生产线聚乙烯树脂和色母的包装袋，年产生量约6t/a，属一般工业固废，</w:t>
            </w:r>
            <w:r>
              <w:rPr>
                <w:rFonts w:hint="default" w:ascii="Times New Roman" w:hAnsi="Times New Roman" w:cs="Times New Roman"/>
                <w:color w:val="auto"/>
                <w:sz w:val="24"/>
              </w:rPr>
              <w:t>集中收集后定期外售。</w:t>
            </w:r>
          </w:p>
          <w:p w14:paraId="6E51877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③</w:t>
            </w:r>
            <w:r>
              <w:rPr>
                <w:rFonts w:hint="default" w:ascii="Times New Roman" w:hAnsi="Times New Roman" w:cs="Times New Roman"/>
                <w:color w:val="auto"/>
                <w:sz w:val="24"/>
              </w:rPr>
              <w:t>废泡沫材料</w:t>
            </w:r>
          </w:p>
          <w:p w14:paraId="49AE1E8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工程分析计算可知，本项目保温管生产线发泡完成的清理管材工序会产生一定量的废泡沫材料，每根保温管生产约产生0.5kg的废泡沫，本项目保温管生产规模为5000根/年，则废泡沫材料产生量为2.5t/a，集中收集后定期外售。</w:t>
            </w:r>
          </w:p>
          <w:p w14:paraId="727FCC0E">
            <w:pPr>
              <w:pStyle w:val="4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④废边角料</w:t>
            </w:r>
          </w:p>
          <w:p w14:paraId="42BDA2A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eastAsia="宋体" w:cs="Times New Roman"/>
                <w:color w:val="auto"/>
                <w:kern w:val="2"/>
                <w:sz w:val="24"/>
                <w:szCs w:val="24"/>
                <w:lang w:val="en-US" w:eastAsia="zh-CN" w:bidi="ar-SA"/>
              </w:rPr>
              <w:t>聚乙烯外护管切割工序会产生废边角料，</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现有工程运行经验</w:t>
            </w:r>
            <w:r>
              <w:rPr>
                <w:rFonts w:hint="eastAsia" w:ascii="Times New Roman" w:hAnsi="Times New Roman" w:eastAsia="宋体" w:cs="Times New Roman"/>
                <w:color w:val="auto"/>
                <w:kern w:val="2"/>
                <w:sz w:val="24"/>
                <w:szCs w:val="24"/>
                <w:lang w:val="en-US" w:eastAsia="zh-CN" w:bidi="ar-SA"/>
              </w:rPr>
              <w:t>，废边角料产生量约为10t/a，</w:t>
            </w:r>
            <w:r>
              <w:rPr>
                <w:rFonts w:hint="default" w:ascii="Times New Roman" w:hAnsi="Times New Roman" w:cs="Times New Roman"/>
                <w:color w:val="auto"/>
                <w:sz w:val="24"/>
              </w:rPr>
              <w:t>集中收集后定期外售。</w:t>
            </w:r>
          </w:p>
          <w:p w14:paraId="04D2C3B3">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危险废物</w:t>
            </w:r>
          </w:p>
          <w:p w14:paraId="3E0F1F06">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ascii="Times New Roman" w:hAnsi="Times New Roman" w:cs="Times New Roman"/>
                <w:color w:val="auto"/>
                <w:sz w:val="24"/>
                <w:lang w:val="en-US" w:eastAsia="zh-CN"/>
              </w:rPr>
              <w:t>①</w:t>
            </w:r>
            <w:r>
              <w:rPr>
                <w:rFonts w:hint="eastAsia" w:cs="Times New Roman"/>
                <w:color w:val="auto"/>
                <w:sz w:val="24"/>
                <w:lang w:val="en-US" w:eastAsia="zh-CN"/>
              </w:rPr>
              <w:t>废机油</w:t>
            </w:r>
          </w:p>
          <w:p w14:paraId="06BEADDC">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现有工程运行经验</w:t>
            </w:r>
            <w:r>
              <w:rPr>
                <w:rFonts w:hint="default" w:ascii="Times New Roman" w:hAnsi="Times New Roman" w:cs="Times New Roman"/>
                <w:color w:val="auto"/>
                <w:sz w:val="24"/>
              </w:rPr>
              <w:t>，项目设备维护过程中产生的</w:t>
            </w:r>
            <w:r>
              <w:rPr>
                <w:rFonts w:hint="eastAsia" w:cs="Times New Roman"/>
                <w:color w:val="auto"/>
                <w:sz w:val="24"/>
                <w:lang w:val="en-US" w:eastAsia="zh-CN"/>
              </w:rPr>
              <w:t>废机油</w:t>
            </w:r>
            <w:r>
              <w:rPr>
                <w:rFonts w:hint="eastAsia"/>
                <w:color w:val="auto"/>
                <w:lang w:val="en-US" w:eastAsia="zh-CN"/>
              </w:rPr>
              <w:t>约0.5t/a，</w:t>
            </w:r>
            <w:r>
              <w:rPr>
                <w:rFonts w:hint="default" w:ascii="Times New Roman" w:hAnsi="Times New Roman" w:cs="Times New Roman"/>
                <w:color w:val="auto"/>
                <w:sz w:val="24"/>
              </w:rPr>
              <w:t>经专用收集桶收集后</w:t>
            </w:r>
            <w:r>
              <w:rPr>
                <w:color w:val="auto"/>
              </w:rPr>
              <w:t>暂存</w:t>
            </w:r>
            <w:r>
              <w:rPr>
                <w:rFonts w:hint="eastAsia"/>
                <w:color w:val="auto"/>
              </w:rPr>
              <w:t>于</w:t>
            </w:r>
            <w:r>
              <w:rPr>
                <w:rFonts w:hint="eastAsia"/>
                <w:color w:val="auto"/>
                <w:lang w:val="en-US" w:eastAsia="zh-CN"/>
              </w:rPr>
              <w:t>危废贮存库</w:t>
            </w:r>
            <w:r>
              <w:rPr>
                <w:rFonts w:hint="eastAsia"/>
                <w:color w:val="auto"/>
              </w:rPr>
              <w:t>，</w:t>
            </w:r>
            <w:r>
              <w:rPr>
                <w:rFonts w:hint="eastAsia"/>
                <w:color w:val="auto"/>
                <w:lang w:val="en-US" w:eastAsia="zh-CN"/>
              </w:rPr>
              <w:t>定期</w:t>
            </w:r>
            <w:r>
              <w:rPr>
                <w:rFonts w:hint="eastAsia"/>
                <w:color w:val="auto"/>
              </w:rPr>
              <w:t>委托有</w:t>
            </w:r>
            <w:r>
              <w:rPr>
                <w:color w:val="auto"/>
              </w:rPr>
              <w:t>资质单位处置。根据《国家危险废物名录》（202</w:t>
            </w:r>
            <w:r>
              <w:rPr>
                <w:rFonts w:hint="eastAsia"/>
                <w:color w:val="auto"/>
              </w:rPr>
              <w:t>5</w:t>
            </w:r>
            <w:r>
              <w:rPr>
                <w:color w:val="auto"/>
              </w:rPr>
              <w:t>年</w:t>
            </w:r>
            <w:r>
              <w:rPr>
                <w:rFonts w:hint="eastAsia"/>
                <w:color w:val="auto"/>
              </w:rPr>
              <w:t>版</w:t>
            </w:r>
            <w:r>
              <w:rPr>
                <w:color w:val="auto"/>
              </w:rPr>
              <w:t>），</w:t>
            </w:r>
            <w:r>
              <w:rPr>
                <w:rFonts w:hint="eastAsia" w:cs="Times New Roman"/>
                <w:color w:val="auto"/>
                <w:sz w:val="24"/>
                <w:lang w:val="en-US" w:eastAsia="zh-CN"/>
              </w:rPr>
              <w:t>废机油</w:t>
            </w:r>
            <w:r>
              <w:rPr>
                <w:color w:val="auto"/>
              </w:rPr>
              <w:t>属于危险废物，类别为</w:t>
            </w:r>
            <w:r>
              <w:rPr>
                <w:rFonts w:hint="eastAsia"/>
                <w:color w:val="auto"/>
                <w:lang w:eastAsia="zh-CN"/>
              </w:rPr>
              <w:t>“</w:t>
            </w:r>
            <w:r>
              <w:rPr>
                <w:color w:val="auto"/>
              </w:rPr>
              <w:t>HW08废矿物油与含矿物油废物</w:t>
            </w:r>
            <w:r>
              <w:rPr>
                <w:rFonts w:hint="eastAsia"/>
                <w:color w:val="auto"/>
                <w:lang w:eastAsia="zh-CN"/>
              </w:rPr>
              <w:t>”</w:t>
            </w:r>
            <w:r>
              <w:rPr>
                <w:color w:val="auto"/>
              </w:rPr>
              <w:t>，废物代码900-2</w:t>
            </w:r>
            <w:r>
              <w:rPr>
                <w:rFonts w:hint="eastAsia"/>
                <w:color w:val="auto"/>
                <w:lang w:val="en-US" w:eastAsia="zh-CN"/>
              </w:rPr>
              <w:t>14</w:t>
            </w:r>
            <w:r>
              <w:rPr>
                <w:color w:val="auto"/>
              </w:rPr>
              <w:t>-08。</w:t>
            </w:r>
          </w:p>
          <w:p w14:paraId="5D4D5809">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②废油桶</w:t>
            </w:r>
          </w:p>
          <w:p w14:paraId="3282906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olor w:val="auto"/>
                <w:lang w:val="en-US" w:eastAsia="zh-CN"/>
              </w:rPr>
              <w:t>本项目废油桶产生量约0.15t/a，</w:t>
            </w:r>
            <w:r>
              <w:rPr>
                <w:color w:val="auto"/>
              </w:rPr>
              <w:t>暂存</w:t>
            </w:r>
            <w:r>
              <w:rPr>
                <w:rFonts w:hint="eastAsia"/>
                <w:color w:val="auto"/>
              </w:rPr>
              <w:t>于</w:t>
            </w:r>
            <w:r>
              <w:rPr>
                <w:rFonts w:hint="eastAsia"/>
                <w:color w:val="auto"/>
                <w:lang w:val="en-US" w:eastAsia="zh-CN"/>
              </w:rPr>
              <w:t>危废贮存库</w:t>
            </w:r>
            <w:r>
              <w:rPr>
                <w:rFonts w:hint="eastAsia"/>
                <w:color w:val="auto"/>
              </w:rPr>
              <w:t>，</w:t>
            </w:r>
            <w:r>
              <w:rPr>
                <w:rFonts w:hint="eastAsia"/>
                <w:color w:val="auto"/>
                <w:lang w:val="en-US" w:eastAsia="zh-CN"/>
              </w:rPr>
              <w:t>定期</w:t>
            </w:r>
            <w:r>
              <w:rPr>
                <w:rFonts w:hint="eastAsia"/>
                <w:color w:val="auto"/>
              </w:rPr>
              <w:t>委托有</w:t>
            </w:r>
            <w:r>
              <w:rPr>
                <w:color w:val="auto"/>
              </w:rPr>
              <w:t>资质单位处置。根据</w:t>
            </w:r>
            <w:r>
              <w:rPr>
                <w:rFonts w:hint="eastAsia"/>
                <w:color w:val="auto"/>
              </w:rPr>
              <w:t>《国家危险废物名录》（2025年版）</w:t>
            </w:r>
            <w:r>
              <w:rPr>
                <w:color w:val="auto"/>
              </w:rPr>
              <w:t>，废</w:t>
            </w:r>
            <w:r>
              <w:rPr>
                <w:rFonts w:hint="eastAsia"/>
                <w:color w:val="auto"/>
              </w:rPr>
              <w:t>油桶</w:t>
            </w:r>
            <w:r>
              <w:rPr>
                <w:color w:val="auto"/>
              </w:rPr>
              <w:t>属于危险废物，类别为</w:t>
            </w:r>
            <w:r>
              <w:rPr>
                <w:rFonts w:hint="eastAsia"/>
                <w:color w:val="auto"/>
                <w:lang w:eastAsia="zh-CN"/>
              </w:rPr>
              <w:t>“</w:t>
            </w:r>
            <w:r>
              <w:rPr>
                <w:color w:val="auto"/>
              </w:rPr>
              <w:t>HW08废矿物油与含矿物油废物</w:t>
            </w:r>
            <w:r>
              <w:rPr>
                <w:rFonts w:hint="eastAsia"/>
                <w:color w:val="auto"/>
                <w:lang w:eastAsia="zh-CN"/>
              </w:rPr>
              <w:t>”</w:t>
            </w:r>
            <w:r>
              <w:rPr>
                <w:color w:val="auto"/>
              </w:rPr>
              <w:t>，废物代码900-2</w:t>
            </w:r>
            <w:r>
              <w:rPr>
                <w:rFonts w:hint="eastAsia"/>
                <w:color w:val="auto"/>
              </w:rPr>
              <w:t>49</w:t>
            </w:r>
            <w:r>
              <w:rPr>
                <w:color w:val="auto"/>
              </w:rPr>
              <w:t>-08。</w:t>
            </w:r>
          </w:p>
          <w:p w14:paraId="2EF33A33">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sz w:val="24"/>
                <w:lang w:val="en-US" w:eastAsia="zh-CN"/>
              </w:rPr>
              <w:t>③</w:t>
            </w:r>
            <w:r>
              <w:rPr>
                <w:rFonts w:hint="default" w:ascii="Times New Roman" w:hAnsi="Times New Roman" w:cs="Times New Roman"/>
                <w:color w:val="auto"/>
                <w:sz w:val="24"/>
              </w:rPr>
              <w:t>废含油抹布、手套</w:t>
            </w:r>
          </w:p>
          <w:p w14:paraId="7F2E54A4">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现有工程运行经验</w:t>
            </w:r>
            <w:r>
              <w:rPr>
                <w:rFonts w:hint="default" w:ascii="Times New Roman" w:hAnsi="Times New Roman" w:cs="Times New Roman"/>
                <w:color w:val="auto"/>
                <w:sz w:val="24"/>
              </w:rPr>
              <w:t>，</w:t>
            </w:r>
            <w:r>
              <w:rPr>
                <w:rFonts w:hint="eastAsia"/>
                <w:color w:val="auto"/>
                <w:lang w:val="en-US" w:eastAsia="zh-CN"/>
              </w:rPr>
              <w:t>项目运行过程中</w:t>
            </w:r>
            <w:r>
              <w:rPr>
                <w:rFonts w:hint="default" w:ascii="Times New Roman" w:hAnsi="Times New Roman" w:cs="Times New Roman"/>
                <w:color w:val="auto"/>
                <w:sz w:val="24"/>
              </w:rPr>
              <w:t>废含油抹布、手套</w:t>
            </w:r>
            <w:r>
              <w:rPr>
                <w:rFonts w:hint="eastAsia"/>
                <w:color w:val="auto"/>
                <w:lang w:val="en-US" w:eastAsia="zh-CN"/>
              </w:rPr>
              <w:t>产生量约0.02t/a，</w:t>
            </w:r>
            <w:r>
              <w:rPr>
                <w:color w:val="auto"/>
              </w:rPr>
              <w:t>暂存</w:t>
            </w:r>
            <w:r>
              <w:rPr>
                <w:rFonts w:hint="eastAsia"/>
                <w:color w:val="auto"/>
              </w:rPr>
              <w:t>于</w:t>
            </w:r>
            <w:r>
              <w:rPr>
                <w:rFonts w:hint="eastAsia"/>
                <w:color w:val="auto"/>
                <w:lang w:val="en-US" w:eastAsia="zh-CN"/>
              </w:rPr>
              <w:t>危废贮存库</w:t>
            </w:r>
            <w:r>
              <w:rPr>
                <w:rFonts w:hint="eastAsia"/>
                <w:color w:val="auto"/>
              </w:rPr>
              <w:t>，</w:t>
            </w:r>
            <w:r>
              <w:rPr>
                <w:rFonts w:hint="eastAsia"/>
                <w:color w:val="auto"/>
                <w:lang w:val="en-US" w:eastAsia="zh-CN"/>
              </w:rPr>
              <w:t>定期</w:t>
            </w:r>
            <w:r>
              <w:rPr>
                <w:rFonts w:hint="eastAsia"/>
                <w:color w:val="auto"/>
              </w:rPr>
              <w:t>委托有</w:t>
            </w:r>
            <w:r>
              <w:rPr>
                <w:color w:val="auto"/>
              </w:rPr>
              <w:t>资质单位处置。根据</w:t>
            </w:r>
            <w:r>
              <w:rPr>
                <w:rFonts w:hint="eastAsia"/>
                <w:color w:val="auto"/>
              </w:rPr>
              <w:t>《国家危险废物名录》（2025年版）</w:t>
            </w:r>
            <w:r>
              <w:rPr>
                <w:color w:val="auto"/>
              </w:rPr>
              <w:t>，废</w:t>
            </w:r>
            <w:r>
              <w:rPr>
                <w:rFonts w:hint="eastAsia" w:cs="Times New Roman"/>
                <w:color w:val="auto"/>
                <w:sz w:val="24"/>
                <w:lang w:val="en-US" w:eastAsia="zh-CN"/>
              </w:rPr>
              <w:t>抹布</w:t>
            </w:r>
            <w:r>
              <w:rPr>
                <w:color w:val="auto"/>
              </w:rPr>
              <w:t>属于危险废物，类别为</w:t>
            </w:r>
            <w:r>
              <w:rPr>
                <w:rFonts w:hint="eastAsia" w:ascii="Times New Roman" w:hAnsi="Times New Roman" w:cs="Times New Roman"/>
                <w:color w:val="auto"/>
                <w:sz w:val="24"/>
                <w:lang w:eastAsia="zh-CN"/>
              </w:rPr>
              <w:t>“</w:t>
            </w:r>
            <w:r>
              <w:rPr>
                <w:rFonts w:ascii="Times New Roman" w:hAnsi="Times New Roman" w:cs="Times New Roman"/>
                <w:color w:val="auto"/>
                <w:sz w:val="24"/>
              </w:rPr>
              <w:t>HW49</w:t>
            </w:r>
            <w:r>
              <w:rPr>
                <w:rFonts w:hint="eastAsia" w:ascii="Times New Roman" w:hAnsi="Times New Roman" w:cs="Times New Roman"/>
                <w:color w:val="auto"/>
                <w:sz w:val="24"/>
                <w:lang w:val="en-US" w:eastAsia="zh-CN"/>
              </w:rPr>
              <w:t>其他废物</w:t>
            </w:r>
            <w:r>
              <w:rPr>
                <w:rFonts w:hint="eastAsia" w:ascii="Times New Roman" w:hAnsi="Times New Roman" w:cs="Times New Roman"/>
                <w:color w:val="auto"/>
                <w:sz w:val="24"/>
                <w:lang w:eastAsia="zh-CN"/>
              </w:rPr>
              <w:t>”</w:t>
            </w:r>
            <w:r>
              <w:rPr>
                <w:rFonts w:ascii="Times New Roman" w:hAnsi="Times New Roman" w:cs="Times New Roman"/>
                <w:color w:val="auto"/>
                <w:sz w:val="24"/>
              </w:rPr>
              <w:t>，废物代码900-041-49</w:t>
            </w:r>
            <w:r>
              <w:rPr>
                <w:color w:val="auto"/>
              </w:rPr>
              <w:t>。</w:t>
            </w:r>
          </w:p>
          <w:p w14:paraId="75FEB1F2">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ascii="Times New Roman" w:hAnsi="Times New Roman" w:cs="Times New Roman"/>
                <w:color w:val="auto"/>
                <w:sz w:val="24"/>
                <w:lang w:val="en-US" w:eastAsia="zh-CN"/>
              </w:rPr>
              <w:t>④</w:t>
            </w:r>
            <w:r>
              <w:rPr>
                <w:rFonts w:hint="eastAsia" w:cs="Times New Roman"/>
                <w:color w:val="auto"/>
                <w:sz w:val="24"/>
                <w:lang w:val="en-US" w:eastAsia="zh-CN"/>
              </w:rPr>
              <w:t>废包装桶</w:t>
            </w:r>
          </w:p>
          <w:p w14:paraId="78E5B67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项目产生的废包装桶主要为废聚氨酯黑白料桶，根据建设单位提供资料，250kg塑料桶自重按10kg考虑，根据本项目桶装原辅料用量情况计算，本项目废包装桶的产生量约12t/a，属危险废物，</w:t>
            </w:r>
            <w:r>
              <w:rPr>
                <w:rFonts w:hint="eastAsia" w:ascii="Times New Roman" w:hAnsi="Times New Roman" w:cs="Times New Roman"/>
                <w:bCs/>
                <w:color w:val="auto"/>
                <w:sz w:val="24"/>
                <w:lang w:val="en-US" w:eastAsia="zh-CN"/>
              </w:rPr>
              <w:t>收集后由厂家回收。</w:t>
            </w:r>
          </w:p>
          <w:p w14:paraId="27059C67">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⑤废活性炭</w:t>
            </w:r>
          </w:p>
          <w:p w14:paraId="42519C14">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bCs/>
                <w:color w:val="auto"/>
                <w:sz w:val="24"/>
              </w:rPr>
              <w:t>本项目</w:t>
            </w:r>
            <w:r>
              <w:rPr>
                <w:rFonts w:hint="eastAsia"/>
                <w:bCs/>
                <w:color w:val="auto"/>
                <w:sz w:val="24"/>
              </w:rPr>
              <w:t>采用活性炭吸附装置吸附有机废气，</w:t>
            </w:r>
            <w:r>
              <w:rPr>
                <w:bCs/>
                <w:color w:val="auto"/>
                <w:sz w:val="24"/>
              </w:rPr>
              <w:t>活性炭吸附</w:t>
            </w:r>
            <w:r>
              <w:rPr>
                <w:rFonts w:hint="eastAsia"/>
                <w:bCs/>
                <w:color w:val="auto"/>
                <w:sz w:val="24"/>
              </w:rPr>
              <w:t>装置吸附</w:t>
            </w:r>
            <w:r>
              <w:rPr>
                <w:bCs/>
                <w:color w:val="auto"/>
                <w:sz w:val="24"/>
              </w:rPr>
              <w:t>的</w:t>
            </w:r>
            <w:r>
              <w:rPr>
                <w:rFonts w:hint="eastAsia"/>
                <w:bCs/>
                <w:color w:val="auto"/>
                <w:sz w:val="24"/>
              </w:rPr>
              <w:t>有机废气量</w:t>
            </w:r>
            <w:r>
              <w:rPr>
                <w:bCs/>
                <w:color w:val="auto"/>
                <w:sz w:val="24"/>
              </w:rPr>
              <w:t>为</w:t>
            </w:r>
            <w:r>
              <w:rPr>
                <w:rFonts w:hint="eastAsia"/>
                <w:bCs/>
                <w:color w:val="auto"/>
                <w:sz w:val="24"/>
                <w:lang w:val="en-US" w:eastAsia="zh-CN"/>
              </w:rPr>
              <w:t>0.27</w:t>
            </w:r>
            <w:r>
              <w:rPr>
                <w:bCs/>
                <w:color w:val="auto"/>
                <w:sz w:val="24"/>
              </w:rPr>
              <w:t>t/a，</w:t>
            </w:r>
            <w:r>
              <w:rPr>
                <w:color w:val="auto"/>
                <w:sz w:val="24"/>
              </w:rPr>
              <w:t>活性炭吸附装置中的活性炭需</w:t>
            </w:r>
            <w:r>
              <w:rPr>
                <w:rFonts w:hint="eastAsia"/>
                <w:color w:val="auto"/>
                <w:sz w:val="24"/>
              </w:rPr>
              <w:t>定期更换，</w:t>
            </w:r>
            <w:r>
              <w:rPr>
                <w:color w:val="auto"/>
                <w:sz w:val="24"/>
              </w:rPr>
              <w:t>更换下来的废活性炭为危险废物</w:t>
            </w:r>
            <w:r>
              <w:rPr>
                <w:rFonts w:hint="eastAsia"/>
                <w:color w:val="auto"/>
                <w:sz w:val="24"/>
              </w:rPr>
              <w:t>。</w:t>
            </w:r>
          </w:p>
          <w:p w14:paraId="1F113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highlight w:val="none"/>
              </w:rPr>
              <w:t>根据《广东工业大学工程研究》，活性炭有效吸附量为qe=0.25kg/kg-活性炭，</w:t>
            </w:r>
            <w:r>
              <w:rPr>
                <w:rFonts w:hint="eastAsia"/>
                <w:color w:val="auto"/>
                <w:sz w:val="24"/>
                <w:lang w:val="en-US" w:eastAsia="zh-CN"/>
              </w:rPr>
              <w:t>需要活性炭量为1.08t/a。环评要求</w:t>
            </w:r>
            <w:r>
              <w:rPr>
                <w:rFonts w:hint="eastAsia"/>
                <w:color w:val="auto"/>
                <w:sz w:val="24"/>
              </w:rPr>
              <w:t>：本项目有机废气处理拟采用蜂窝活性炭，活性炭碘值不低于600毫克/克，填充厚度＞500mm</w:t>
            </w:r>
            <w:r>
              <w:rPr>
                <w:rFonts w:hint="eastAsia"/>
                <w:color w:val="auto"/>
                <w:sz w:val="24"/>
                <w:lang w:eastAsia="zh-CN"/>
              </w:rPr>
              <w:t>；</w:t>
            </w:r>
            <w:r>
              <w:rPr>
                <w:rFonts w:hint="eastAsia" w:ascii="Times New Roman" w:hAnsi="Times New Roman" w:eastAsia="宋体" w:cs="Times New Roman"/>
                <w:color w:val="auto"/>
                <w:sz w:val="24"/>
                <w:lang w:val="en-US" w:eastAsia="zh-CN"/>
              </w:rPr>
              <w:t>活性炭每3个月更换一次</w:t>
            </w:r>
            <w:r>
              <w:rPr>
                <w:rFonts w:hint="eastAsia"/>
                <w:color w:val="auto"/>
                <w:sz w:val="24"/>
              </w:rPr>
              <w:t>，则废活性炭产生量为</w:t>
            </w:r>
            <w:r>
              <w:rPr>
                <w:rFonts w:hint="eastAsia"/>
                <w:color w:val="auto"/>
                <w:sz w:val="24"/>
                <w:lang w:val="en-US" w:eastAsia="zh-CN"/>
              </w:rPr>
              <w:t>1.35</w:t>
            </w:r>
            <w:r>
              <w:rPr>
                <w:rFonts w:hint="eastAsia"/>
                <w:color w:val="auto"/>
                <w:sz w:val="24"/>
              </w:rPr>
              <w:t>t/a（含有机废气量）。</w:t>
            </w:r>
          </w:p>
          <w:p w14:paraId="4306D7B6">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bCs/>
                <w:color w:val="auto"/>
                <w:sz w:val="24"/>
              </w:rPr>
              <w:t>根据《国家危险废物名录》（2025年版），废活性炭属危险废物，废物类别为“HW49其他废物”，废物代码为900-039-49〔烟气、VOCs治理过程（不包括餐饮行业油烟治理过程）产生的废活性炭〕。废活性炭收集后暂存于</w:t>
            </w:r>
            <w:r>
              <w:rPr>
                <w:rFonts w:hint="eastAsia"/>
                <w:bCs/>
                <w:color w:val="auto"/>
                <w:sz w:val="24"/>
                <w:lang w:eastAsia="zh-CN"/>
              </w:rPr>
              <w:t>危废贮存库</w:t>
            </w:r>
            <w:r>
              <w:rPr>
                <w:rFonts w:hint="eastAsia"/>
                <w:bCs/>
                <w:color w:val="auto"/>
                <w:sz w:val="24"/>
              </w:rPr>
              <w:t>，与其他危废分开存储，委托有资质单位处置。</w:t>
            </w:r>
          </w:p>
          <w:p w14:paraId="0FE4C8B9">
            <w:pPr>
              <w:pStyle w:val="6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Times New Roman" w:cs="Times New Roman"/>
                <w:b/>
                <w:bCs/>
                <w:color w:val="auto"/>
                <w:kern w:val="21"/>
                <w:szCs w:val="24"/>
              </w:rPr>
            </w:pPr>
            <w:r>
              <w:rPr>
                <w:rFonts w:hint="eastAsia" w:hAnsi="Times New Roman" w:cs="Times New Roman"/>
                <w:b/>
                <w:bCs/>
                <w:color w:val="auto"/>
                <w:kern w:val="21"/>
                <w:szCs w:val="24"/>
              </w:rPr>
              <w:t>表4-1</w:t>
            </w:r>
            <w:r>
              <w:rPr>
                <w:rFonts w:hint="eastAsia" w:hAnsi="Times New Roman" w:cs="Times New Roman"/>
                <w:b/>
                <w:bCs/>
                <w:color w:val="auto"/>
                <w:kern w:val="21"/>
                <w:szCs w:val="24"/>
                <w:lang w:val="en-US" w:eastAsia="zh-CN"/>
              </w:rPr>
              <w:t>0</w:t>
            </w:r>
            <w:r>
              <w:rPr>
                <w:rFonts w:hint="eastAsia" w:hAnsi="Times New Roman" w:cs="Times New Roman"/>
                <w:b/>
                <w:bCs/>
                <w:color w:val="auto"/>
                <w:kern w:val="21"/>
                <w:szCs w:val="24"/>
              </w:rPr>
              <w:t xml:space="preserve">  项目固废产排情况</w:t>
            </w:r>
          </w:p>
          <w:tbl>
            <w:tblPr>
              <w:tblStyle w:val="27"/>
              <w:tblW w:w="80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58"/>
              <w:gridCol w:w="401"/>
              <w:gridCol w:w="874"/>
              <w:gridCol w:w="750"/>
              <w:gridCol w:w="1050"/>
              <w:gridCol w:w="876"/>
              <w:gridCol w:w="454"/>
              <w:gridCol w:w="911"/>
              <w:gridCol w:w="978"/>
            </w:tblGrid>
            <w:tr w14:paraId="430F1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noWrap w:val="0"/>
                  <w:vAlign w:val="center"/>
                </w:tcPr>
                <w:p w14:paraId="58B39543">
                  <w:pPr>
                    <w:jc w:val="center"/>
                    <w:rPr>
                      <w:b/>
                      <w:bCs/>
                      <w:color w:val="auto"/>
                      <w:szCs w:val="21"/>
                    </w:rPr>
                  </w:pPr>
                  <w:r>
                    <w:rPr>
                      <w:rFonts w:hint="eastAsia"/>
                      <w:b/>
                      <w:bCs/>
                      <w:color w:val="auto"/>
                      <w:szCs w:val="21"/>
                    </w:rPr>
                    <w:t>产生环节</w:t>
                  </w:r>
                </w:p>
              </w:tc>
              <w:tc>
                <w:tcPr>
                  <w:tcW w:w="659" w:type="pct"/>
                  <w:noWrap w:val="0"/>
                  <w:vAlign w:val="center"/>
                </w:tcPr>
                <w:p w14:paraId="07805ED6">
                  <w:pPr>
                    <w:jc w:val="center"/>
                    <w:rPr>
                      <w:b/>
                      <w:bCs/>
                      <w:color w:val="auto"/>
                      <w:szCs w:val="21"/>
                    </w:rPr>
                  </w:pPr>
                  <w:r>
                    <w:rPr>
                      <w:rFonts w:hint="eastAsia"/>
                      <w:b/>
                      <w:bCs/>
                      <w:color w:val="auto"/>
                      <w:szCs w:val="21"/>
                    </w:rPr>
                    <w:t>名称</w:t>
                  </w:r>
                </w:p>
              </w:tc>
              <w:tc>
                <w:tcPr>
                  <w:tcW w:w="249" w:type="pct"/>
                  <w:noWrap w:val="0"/>
                  <w:vAlign w:val="center"/>
                </w:tcPr>
                <w:p w14:paraId="548AD26D">
                  <w:pPr>
                    <w:jc w:val="center"/>
                    <w:rPr>
                      <w:b/>
                      <w:bCs/>
                      <w:color w:val="auto"/>
                      <w:szCs w:val="21"/>
                    </w:rPr>
                  </w:pPr>
                  <w:r>
                    <w:rPr>
                      <w:rFonts w:hint="eastAsia"/>
                      <w:b/>
                      <w:bCs/>
                      <w:color w:val="auto"/>
                      <w:szCs w:val="21"/>
                    </w:rPr>
                    <w:t>属性</w:t>
                  </w:r>
                </w:p>
              </w:tc>
              <w:tc>
                <w:tcPr>
                  <w:tcW w:w="544" w:type="pct"/>
                  <w:noWrap w:val="0"/>
                  <w:vAlign w:val="center"/>
                </w:tcPr>
                <w:p w14:paraId="3453660B">
                  <w:pPr>
                    <w:jc w:val="center"/>
                    <w:rPr>
                      <w:b/>
                      <w:bCs/>
                      <w:color w:val="auto"/>
                      <w:szCs w:val="21"/>
                    </w:rPr>
                  </w:pPr>
                  <w:r>
                    <w:rPr>
                      <w:rFonts w:hint="eastAsia"/>
                      <w:b/>
                      <w:bCs/>
                      <w:color w:val="auto"/>
                      <w:szCs w:val="21"/>
                    </w:rPr>
                    <w:t>废物类别</w:t>
                  </w:r>
                </w:p>
              </w:tc>
              <w:tc>
                <w:tcPr>
                  <w:tcW w:w="467" w:type="pct"/>
                  <w:noWrap w:val="0"/>
                  <w:vAlign w:val="center"/>
                </w:tcPr>
                <w:p w14:paraId="78637C8E">
                  <w:pPr>
                    <w:jc w:val="center"/>
                    <w:rPr>
                      <w:b/>
                      <w:bCs/>
                      <w:color w:val="auto"/>
                      <w:szCs w:val="21"/>
                    </w:rPr>
                  </w:pPr>
                  <w:r>
                    <w:rPr>
                      <w:rFonts w:hint="eastAsia"/>
                      <w:b/>
                      <w:bCs/>
                      <w:color w:val="auto"/>
                      <w:szCs w:val="21"/>
                    </w:rPr>
                    <w:t>代码</w:t>
                  </w:r>
                </w:p>
              </w:tc>
              <w:tc>
                <w:tcPr>
                  <w:tcW w:w="654" w:type="pct"/>
                  <w:noWrap w:val="0"/>
                  <w:vAlign w:val="center"/>
                </w:tcPr>
                <w:p w14:paraId="10E3458C">
                  <w:pPr>
                    <w:jc w:val="center"/>
                    <w:rPr>
                      <w:b/>
                      <w:bCs/>
                      <w:color w:val="auto"/>
                      <w:szCs w:val="21"/>
                    </w:rPr>
                  </w:pPr>
                  <w:r>
                    <w:rPr>
                      <w:rFonts w:hint="eastAsia"/>
                      <w:b/>
                      <w:bCs/>
                      <w:color w:val="auto"/>
                      <w:szCs w:val="21"/>
                    </w:rPr>
                    <w:t>主要有毒有害物质名称</w:t>
                  </w:r>
                </w:p>
              </w:tc>
              <w:tc>
                <w:tcPr>
                  <w:tcW w:w="545" w:type="pct"/>
                  <w:noWrap w:val="0"/>
                  <w:vAlign w:val="center"/>
                </w:tcPr>
                <w:p w14:paraId="5F1B1AAD">
                  <w:pPr>
                    <w:jc w:val="center"/>
                    <w:rPr>
                      <w:b/>
                      <w:bCs/>
                      <w:color w:val="auto"/>
                      <w:szCs w:val="21"/>
                    </w:rPr>
                  </w:pPr>
                  <w:r>
                    <w:rPr>
                      <w:rFonts w:hint="eastAsia"/>
                      <w:b/>
                      <w:bCs/>
                      <w:color w:val="auto"/>
                      <w:szCs w:val="21"/>
                    </w:rPr>
                    <w:t>产生量（t/a）</w:t>
                  </w:r>
                </w:p>
              </w:tc>
              <w:tc>
                <w:tcPr>
                  <w:tcW w:w="282" w:type="pct"/>
                  <w:noWrap w:val="0"/>
                  <w:vAlign w:val="center"/>
                </w:tcPr>
                <w:p w14:paraId="6CACD802">
                  <w:pPr>
                    <w:jc w:val="center"/>
                    <w:rPr>
                      <w:b/>
                      <w:bCs/>
                      <w:color w:val="auto"/>
                      <w:szCs w:val="21"/>
                    </w:rPr>
                  </w:pPr>
                  <w:r>
                    <w:rPr>
                      <w:rFonts w:hint="eastAsia"/>
                      <w:b/>
                      <w:bCs/>
                      <w:color w:val="auto"/>
                      <w:szCs w:val="21"/>
                    </w:rPr>
                    <w:t>贮存方式</w:t>
                  </w:r>
                </w:p>
              </w:tc>
              <w:tc>
                <w:tcPr>
                  <w:tcW w:w="567" w:type="pct"/>
                  <w:noWrap w:val="0"/>
                  <w:vAlign w:val="center"/>
                </w:tcPr>
                <w:p w14:paraId="6F50FE0C">
                  <w:pPr>
                    <w:jc w:val="center"/>
                    <w:rPr>
                      <w:b/>
                      <w:bCs/>
                      <w:color w:val="auto"/>
                      <w:szCs w:val="21"/>
                    </w:rPr>
                  </w:pPr>
                  <w:r>
                    <w:rPr>
                      <w:rFonts w:hint="eastAsia"/>
                      <w:b/>
                      <w:bCs/>
                      <w:color w:val="auto"/>
                      <w:szCs w:val="21"/>
                    </w:rPr>
                    <w:t>利用处置方式和去向</w:t>
                  </w:r>
                </w:p>
              </w:tc>
              <w:tc>
                <w:tcPr>
                  <w:tcW w:w="609" w:type="pct"/>
                  <w:noWrap w:val="0"/>
                  <w:vAlign w:val="center"/>
                </w:tcPr>
                <w:p w14:paraId="77FDA767">
                  <w:pPr>
                    <w:jc w:val="center"/>
                    <w:rPr>
                      <w:b/>
                      <w:bCs/>
                      <w:color w:val="auto"/>
                      <w:szCs w:val="21"/>
                    </w:rPr>
                  </w:pPr>
                  <w:r>
                    <w:rPr>
                      <w:rFonts w:hint="eastAsia"/>
                      <w:b/>
                      <w:bCs/>
                      <w:color w:val="auto"/>
                      <w:szCs w:val="21"/>
                    </w:rPr>
                    <w:t>利用或处置量(t/a)</w:t>
                  </w:r>
                </w:p>
              </w:tc>
            </w:tr>
            <w:tr w14:paraId="01597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noWrap w:val="0"/>
                  <w:vAlign w:val="center"/>
                </w:tcPr>
                <w:p w14:paraId="5AE112AC">
                  <w:pPr>
                    <w:jc w:val="center"/>
                    <w:rPr>
                      <w:color w:val="auto"/>
                      <w:szCs w:val="21"/>
                    </w:rPr>
                  </w:pPr>
                  <w:r>
                    <w:rPr>
                      <w:rFonts w:hint="eastAsia"/>
                      <w:color w:val="auto"/>
                      <w:szCs w:val="21"/>
                    </w:rPr>
                    <w:t>生活办公</w:t>
                  </w:r>
                </w:p>
              </w:tc>
              <w:tc>
                <w:tcPr>
                  <w:tcW w:w="659" w:type="pct"/>
                  <w:noWrap w:val="0"/>
                  <w:vAlign w:val="center"/>
                </w:tcPr>
                <w:p w14:paraId="5F4F43D7">
                  <w:pPr>
                    <w:jc w:val="center"/>
                    <w:rPr>
                      <w:color w:val="auto"/>
                      <w:szCs w:val="21"/>
                    </w:rPr>
                  </w:pPr>
                  <w:r>
                    <w:rPr>
                      <w:rFonts w:hint="eastAsia"/>
                      <w:color w:val="auto"/>
                      <w:szCs w:val="21"/>
                    </w:rPr>
                    <w:t>生活垃圾</w:t>
                  </w:r>
                </w:p>
              </w:tc>
              <w:tc>
                <w:tcPr>
                  <w:tcW w:w="249" w:type="pct"/>
                  <w:noWrap w:val="0"/>
                  <w:vAlign w:val="center"/>
                </w:tcPr>
                <w:p w14:paraId="176E2847">
                  <w:pPr>
                    <w:jc w:val="center"/>
                    <w:rPr>
                      <w:color w:val="auto"/>
                      <w:szCs w:val="21"/>
                    </w:rPr>
                  </w:pPr>
                  <w:r>
                    <w:rPr>
                      <w:rFonts w:hint="eastAsia"/>
                      <w:color w:val="auto"/>
                      <w:szCs w:val="21"/>
                    </w:rPr>
                    <w:t>/</w:t>
                  </w:r>
                </w:p>
              </w:tc>
              <w:tc>
                <w:tcPr>
                  <w:tcW w:w="544" w:type="pct"/>
                  <w:noWrap w:val="0"/>
                  <w:vAlign w:val="center"/>
                </w:tcPr>
                <w:p w14:paraId="552A8217">
                  <w:pPr>
                    <w:jc w:val="center"/>
                    <w:rPr>
                      <w:color w:val="auto"/>
                      <w:szCs w:val="21"/>
                    </w:rPr>
                  </w:pPr>
                  <w:r>
                    <w:rPr>
                      <w:rFonts w:hint="eastAsia"/>
                      <w:color w:val="auto"/>
                      <w:szCs w:val="21"/>
                    </w:rPr>
                    <w:t>/</w:t>
                  </w:r>
                </w:p>
              </w:tc>
              <w:tc>
                <w:tcPr>
                  <w:tcW w:w="467" w:type="pct"/>
                  <w:noWrap w:val="0"/>
                  <w:vAlign w:val="center"/>
                </w:tcPr>
                <w:p w14:paraId="590034EA">
                  <w:pPr>
                    <w:jc w:val="center"/>
                    <w:rPr>
                      <w:color w:val="auto"/>
                      <w:szCs w:val="21"/>
                    </w:rPr>
                  </w:pPr>
                  <w:r>
                    <w:rPr>
                      <w:rFonts w:hint="eastAsia"/>
                      <w:color w:val="auto"/>
                      <w:szCs w:val="21"/>
                    </w:rPr>
                    <w:t>/</w:t>
                  </w:r>
                </w:p>
              </w:tc>
              <w:tc>
                <w:tcPr>
                  <w:tcW w:w="654" w:type="pct"/>
                  <w:noWrap w:val="0"/>
                  <w:vAlign w:val="center"/>
                </w:tcPr>
                <w:p w14:paraId="57F99E21">
                  <w:pPr>
                    <w:jc w:val="center"/>
                    <w:rPr>
                      <w:color w:val="auto"/>
                      <w:szCs w:val="21"/>
                    </w:rPr>
                  </w:pPr>
                  <w:r>
                    <w:rPr>
                      <w:rFonts w:hint="eastAsia"/>
                      <w:color w:val="auto"/>
                      <w:szCs w:val="21"/>
                    </w:rPr>
                    <w:t>/</w:t>
                  </w:r>
                </w:p>
              </w:tc>
              <w:tc>
                <w:tcPr>
                  <w:tcW w:w="545" w:type="pct"/>
                  <w:noWrap w:val="0"/>
                  <w:vAlign w:val="center"/>
                </w:tcPr>
                <w:p w14:paraId="60AD8189">
                  <w:pPr>
                    <w:jc w:val="center"/>
                    <w:rPr>
                      <w:rFonts w:hint="default" w:eastAsia="宋体"/>
                      <w:color w:val="auto"/>
                      <w:szCs w:val="21"/>
                      <w:lang w:val="en-US" w:eastAsia="zh-CN"/>
                    </w:rPr>
                  </w:pPr>
                  <w:r>
                    <w:rPr>
                      <w:rFonts w:hint="eastAsia"/>
                      <w:color w:val="auto"/>
                      <w:szCs w:val="21"/>
                      <w:lang w:val="en-US" w:eastAsia="zh-CN"/>
                    </w:rPr>
                    <w:t>2.25</w:t>
                  </w:r>
                </w:p>
              </w:tc>
              <w:tc>
                <w:tcPr>
                  <w:tcW w:w="282" w:type="pct"/>
                  <w:noWrap w:val="0"/>
                  <w:vAlign w:val="center"/>
                </w:tcPr>
                <w:p w14:paraId="2AF76071">
                  <w:pPr>
                    <w:jc w:val="center"/>
                    <w:rPr>
                      <w:color w:val="auto"/>
                      <w:szCs w:val="21"/>
                    </w:rPr>
                  </w:pPr>
                  <w:r>
                    <w:rPr>
                      <w:rFonts w:hint="eastAsia"/>
                      <w:color w:val="auto"/>
                      <w:szCs w:val="21"/>
                    </w:rPr>
                    <w:t>垃圾桶</w:t>
                  </w:r>
                </w:p>
              </w:tc>
              <w:tc>
                <w:tcPr>
                  <w:tcW w:w="567" w:type="pct"/>
                  <w:noWrap w:val="0"/>
                  <w:vAlign w:val="center"/>
                </w:tcPr>
                <w:p w14:paraId="7F04D894">
                  <w:pPr>
                    <w:jc w:val="center"/>
                    <w:rPr>
                      <w:color w:val="auto"/>
                      <w:szCs w:val="21"/>
                    </w:rPr>
                  </w:pPr>
                  <w:r>
                    <w:rPr>
                      <w:rFonts w:hint="eastAsia"/>
                      <w:color w:val="auto"/>
                      <w:szCs w:val="21"/>
                    </w:rPr>
                    <w:t>定期由环卫部门</w:t>
                  </w:r>
                  <w:r>
                    <w:rPr>
                      <w:rFonts w:hint="eastAsia"/>
                      <w:color w:val="auto"/>
                      <w:szCs w:val="21"/>
                      <w:lang w:val="en-US" w:eastAsia="zh-CN"/>
                    </w:rPr>
                    <w:t>统一</w:t>
                  </w:r>
                  <w:r>
                    <w:rPr>
                      <w:rFonts w:hint="eastAsia"/>
                      <w:color w:val="auto"/>
                      <w:szCs w:val="21"/>
                    </w:rPr>
                    <w:t>清运</w:t>
                  </w:r>
                </w:p>
              </w:tc>
              <w:tc>
                <w:tcPr>
                  <w:tcW w:w="609" w:type="pct"/>
                  <w:noWrap w:val="0"/>
                  <w:vAlign w:val="center"/>
                </w:tcPr>
                <w:p w14:paraId="61A01566">
                  <w:pPr>
                    <w:jc w:val="center"/>
                    <w:rPr>
                      <w:rFonts w:hint="default" w:eastAsia="宋体"/>
                      <w:color w:val="auto"/>
                      <w:szCs w:val="21"/>
                      <w:lang w:val="en-US" w:eastAsia="zh-CN"/>
                    </w:rPr>
                  </w:pPr>
                  <w:r>
                    <w:rPr>
                      <w:rFonts w:hint="eastAsia"/>
                      <w:color w:val="auto"/>
                      <w:szCs w:val="21"/>
                      <w:lang w:val="en-US" w:eastAsia="zh-CN"/>
                    </w:rPr>
                    <w:t>2.25</w:t>
                  </w:r>
                </w:p>
              </w:tc>
            </w:tr>
            <w:tr w14:paraId="092B0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restart"/>
                  <w:noWrap w:val="0"/>
                  <w:vAlign w:val="center"/>
                </w:tcPr>
                <w:p w14:paraId="3D4C9B5B">
                  <w:pPr>
                    <w:jc w:val="center"/>
                    <w:rPr>
                      <w:color w:val="auto"/>
                      <w:szCs w:val="21"/>
                    </w:rPr>
                  </w:pPr>
                  <w:r>
                    <w:rPr>
                      <w:rFonts w:hint="eastAsia"/>
                      <w:color w:val="auto"/>
                      <w:szCs w:val="21"/>
                    </w:rPr>
                    <w:t>生产</w:t>
                  </w:r>
                  <w:r>
                    <w:rPr>
                      <w:color w:val="auto"/>
                      <w:szCs w:val="21"/>
                    </w:rPr>
                    <w:t>活动</w:t>
                  </w:r>
                </w:p>
              </w:tc>
              <w:tc>
                <w:tcPr>
                  <w:tcW w:w="659" w:type="pct"/>
                  <w:noWrap w:val="0"/>
                  <w:vAlign w:val="center"/>
                </w:tcPr>
                <w:p w14:paraId="10BAEB72">
                  <w:pPr>
                    <w:jc w:val="center"/>
                    <w:rPr>
                      <w:rFonts w:hint="eastAsia" w:eastAsia="宋体"/>
                      <w:color w:val="auto"/>
                      <w:szCs w:val="21"/>
                      <w:lang w:val="en-US" w:eastAsia="zh-CN"/>
                    </w:rPr>
                  </w:pPr>
                  <w:r>
                    <w:rPr>
                      <w:rFonts w:hint="eastAsia"/>
                      <w:color w:val="auto"/>
                      <w:szCs w:val="21"/>
                      <w:lang w:val="en-US" w:eastAsia="zh-CN"/>
                    </w:rPr>
                    <w:t>除尘灰</w:t>
                  </w:r>
                </w:p>
              </w:tc>
              <w:tc>
                <w:tcPr>
                  <w:tcW w:w="249" w:type="pct"/>
                  <w:vMerge w:val="restart"/>
                  <w:noWrap w:val="0"/>
                  <w:vAlign w:val="center"/>
                </w:tcPr>
                <w:p w14:paraId="1C91CE86">
                  <w:pPr>
                    <w:pStyle w:val="46"/>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一般固废</w:t>
                  </w:r>
                </w:p>
              </w:tc>
              <w:tc>
                <w:tcPr>
                  <w:tcW w:w="544" w:type="pct"/>
                  <w:noWrap w:val="0"/>
                  <w:vAlign w:val="center"/>
                </w:tcPr>
                <w:p w14:paraId="53776919">
                  <w:pPr>
                    <w:pStyle w:val="46"/>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67" w:type="pct"/>
                  <w:noWrap w:val="0"/>
                  <w:vAlign w:val="center"/>
                </w:tcPr>
                <w:p w14:paraId="5E88E814">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54" w:type="pct"/>
                  <w:noWrap w:val="0"/>
                  <w:vAlign w:val="center"/>
                </w:tcPr>
                <w:p w14:paraId="0EBDD721">
                  <w:pPr>
                    <w:jc w:val="center"/>
                    <w:rPr>
                      <w:color w:val="auto"/>
                      <w:kern w:val="2"/>
                      <w:sz w:val="21"/>
                      <w:szCs w:val="21"/>
                      <w:lang w:val="en-US" w:eastAsia="zh-CN" w:bidi="ar-SA"/>
                    </w:rPr>
                  </w:pPr>
                  <w:r>
                    <w:rPr>
                      <w:rFonts w:hint="eastAsia"/>
                      <w:color w:val="auto"/>
                      <w:szCs w:val="21"/>
                    </w:rPr>
                    <w:t>/</w:t>
                  </w:r>
                </w:p>
              </w:tc>
              <w:tc>
                <w:tcPr>
                  <w:tcW w:w="545" w:type="pct"/>
                  <w:noWrap w:val="0"/>
                  <w:vAlign w:val="center"/>
                </w:tcPr>
                <w:p w14:paraId="27BAF9C2">
                  <w:pPr>
                    <w:jc w:val="center"/>
                    <w:rPr>
                      <w:rFonts w:hint="default" w:eastAsia="宋体"/>
                      <w:color w:val="auto"/>
                      <w:kern w:val="2"/>
                      <w:sz w:val="21"/>
                      <w:szCs w:val="21"/>
                      <w:lang w:val="en-US" w:eastAsia="zh-CN" w:bidi="ar-SA"/>
                    </w:rPr>
                  </w:pPr>
                  <w:r>
                    <w:rPr>
                      <w:rFonts w:hint="eastAsia"/>
                      <w:color w:val="auto"/>
                      <w:szCs w:val="21"/>
                      <w:lang w:val="en-US" w:eastAsia="zh-CN"/>
                    </w:rPr>
                    <w:t>2.168</w:t>
                  </w:r>
                </w:p>
              </w:tc>
              <w:tc>
                <w:tcPr>
                  <w:tcW w:w="850" w:type="pct"/>
                  <w:gridSpan w:val="2"/>
                  <w:vMerge w:val="restart"/>
                  <w:noWrap w:val="0"/>
                  <w:vAlign w:val="center"/>
                </w:tcPr>
                <w:p w14:paraId="5933FC29">
                  <w:pPr>
                    <w:jc w:val="center"/>
                    <w:rPr>
                      <w:color w:val="auto"/>
                      <w:szCs w:val="21"/>
                    </w:rPr>
                  </w:pPr>
                  <w:r>
                    <w:rPr>
                      <w:rFonts w:hint="eastAsia"/>
                      <w:color w:val="auto"/>
                      <w:szCs w:val="21"/>
                      <w:lang w:val="en-US" w:eastAsia="zh-CN"/>
                    </w:rPr>
                    <w:t>集中</w:t>
                  </w:r>
                  <w:r>
                    <w:rPr>
                      <w:rFonts w:hint="eastAsia"/>
                      <w:color w:val="auto"/>
                      <w:szCs w:val="21"/>
                    </w:rPr>
                    <w:t>收集后外售</w:t>
                  </w:r>
                </w:p>
              </w:tc>
              <w:tc>
                <w:tcPr>
                  <w:tcW w:w="609" w:type="pct"/>
                  <w:shd w:val="clear" w:color="auto" w:fill="auto"/>
                  <w:noWrap w:val="0"/>
                  <w:vAlign w:val="center"/>
                </w:tcPr>
                <w:p w14:paraId="721D30BF">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2.168</w:t>
                  </w:r>
                </w:p>
              </w:tc>
            </w:tr>
            <w:tr w14:paraId="225A7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2637BB43">
                  <w:pPr>
                    <w:jc w:val="center"/>
                    <w:rPr>
                      <w:color w:val="auto"/>
                      <w:szCs w:val="21"/>
                    </w:rPr>
                  </w:pPr>
                </w:p>
              </w:tc>
              <w:tc>
                <w:tcPr>
                  <w:tcW w:w="659" w:type="pct"/>
                  <w:noWrap w:val="0"/>
                  <w:vAlign w:val="center"/>
                </w:tcPr>
                <w:p w14:paraId="55B2967E">
                  <w:pPr>
                    <w:jc w:val="center"/>
                    <w:rPr>
                      <w:rFonts w:hint="default"/>
                      <w:color w:val="auto"/>
                      <w:szCs w:val="21"/>
                      <w:lang w:val="en-US" w:eastAsia="zh-CN"/>
                    </w:rPr>
                  </w:pPr>
                  <w:r>
                    <w:rPr>
                      <w:rFonts w:hint="eastAsia"/>
                      <w:color w:val="auto"/>
                      <w:szCs w:val="21"/>
                      <w:lang w:val="en-US" w:eastAsia="zh-CN"/>
                    </w:rPr>
                    <w:t>废包装袋</w:t>
                  </w:r>
                </w:p>
              </w:tc>
              <w:tc>
                <w:tcPr>
                  <w:tcW w:w="249" w:type="pct"/>
                  <w:vMerge w:val="continue"/>
                  <w:noWrap w:val="0"/>
                  <w:vAlign w:val="center"/>
                </w:tcPr>
                <w:p w14:paraId="70BA5BFD">
                  <w:pPr>
                    <w:pStyle w:val="46"/>
                    <w:jc w:val="center"/>
                    <w:rPr>
                      <w:rFonts w:ascii="Times New Roman" w:hAnsi="Times New Roman" w:cs="Times New Roman"/>
                      <w:color w:val="auto"/>
                      <w:sz w:val="21"/>
                      <w:szCs w:val="21"/>
                    </w:rPr>
                  </w:pPr>
                </w:p>
              </w:tc>
              <w:tc>
                <w:tcPr>
                  <w:tcW w:w="544" w:type="pct"/>
                  <w:noWrap w:val="0"/>
                  <w:vAlign w:val="center"/>
                </w:tcPr>
                <w:p w14:paraId="3D26EB62">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67" w:type="pct"/>
                  <w:noWrap w:val="0"/>
                  <w:vAlign w:val="center"/>
                </w:tcPr>
                <w:p w14:paraId="5F46E342">
                  <w:pPr>
                    <w:pStyle w:val="46"/>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54" w:type="pct"/>
                  <w:noWrap w:val="0"/>
                  <w:vAlign w:val="center"/>
                </w:tcPr>
                <w:p w14:paraId="31107C16">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w:t>
                  </w:r>
                </w:p>
              </w:tc>
              <w:tc>
                <w:tcPr>
                  <w:tcW w:w="545" w:type="pct"/>
                  <w:noWrap w:val="0"/>
                  <w:vAlign w:val="center"/>
                </w:tcPr>
                <w:p w14:paraId="1BBF9788">
                  <w:pPr>
                    <w:jc w:val="center"/>
                    <w:rPr>
                      <w:rFonts w:hint="eastAsia" w:eastAsia="宋体"/>
                      <w:color w:val="auto"/>
                      <w:szCs w:val="21"/>
                      <w:lang w:val="en-US" w:eastAsia="zh-CN"/>
                    </w:rPr>
                  </w:pPr>
                  <w:r>
                    <w:rPr>
                      <w:rFonts w:hint="eastAsia"/>
                      <w:color w:val="auto"/>
                      <w:szCs w:val="21"/>
                      <w:lang w:val="en-US" w:eastAsia="zh-CN"/>
                    </w:rPr>
                    <w:t>6</w:t>
                  </w:r>
                </w:p>
              </w:tc>
              <w:tc>
                <w:tcPr>
                  <w:tcW w:w="850" w:type="pct"/>
                  <w:gridSpan w:val="2"/>
                  <w:vMerge w:val="continue"/>
                  <w:noWrap w:val="0"/>
                  <w:vAlign w:val="center"/>
                </w:tcPr>
                <w:p w14:paraId="3A18ADE3">
                  <w:pPr>
                    <w:jc w:val="center"/>
                    <w:rPr>
                      <w:rFonts w:hint="eastAsia"/>
                      <w:color w:val="auto"/>
                      <w:szCs w:val="21"/>
                    </w:rPr>
                  </w:pPr>
                </w:p>
              </w:tc>
              <w:tc>
                <w:tcPr>
                  <w:tcW w:w="609" w:type="pct"/>
                  <w:shd w:val="clear" w:color="auto" w:fill="auto"/>
                  <w:noWrap w:val="0"/>
                  <w:vAlign w:val="center"/>
                </w:tcPr>
                <w:p w14:paraId="412A59D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p>
              </w:tc>
            </w:tr>
            <w:tr w14:paraId="14DF8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8" w:type="pct"/>
                  <w:vMerge w:val="continue"/>
                  <w:noWrap w:val="0"/>
                  <w:vAlign w:val="center"/>
                </w:tcPr>
                <w:p w14:paraId="580D2988">
                  <w:pPr>
                    <w:jc w:val="center"/>
                    <w:rPr>
                      <w:color w:val="auto"/>
                      <w:szCs w:val="21"/>
                    </w:rPr>
                  </w:pPr>
                </w:p>
              </w:tc>
              <w:tc>
                <w:tcPr>
                  <w:tcW w:w="659" w:type="pct"/>
                  <w:noWrap w:val="0"/>
                  <w:vAlign w:val="center"/>
                </w:tcPr>
                <w:p w14:paraId="3709BE32">
                  <w:pPr>
                    <w:jc w:val="center"/>
                    <w:rPr>
                      <w:rFonts w:hint="default"/>
                      <w:color w:val="auto"/>
                      <w:szCs w:val="21"/>
                      <w:lang w:val="en-US" w:eastAsia="zh-CN"/>
                    </w:rPr>
                  </w:pPr>
                  <w:r>
                    <w:rPr>
                      <w:rFonts w:hint="eastAsia"/>
                      <w:color w:val="auto"/>
                      <w:szCs w:val="21"/>
                      <w:lang w:val="en-US" w:eastAsia="zh-CN"/>
                    </w:rPr>
                    <w:t>废泡沫材料</w:t>
                  </w:r>
                </w:p>
              </w:tc>
              <w:tc>
                <w:tcPr>
                  <w:tcW w:w="249" w:type="pct"/>
                  <w:vMerge w:val="continue"/>
                  <w:noWrap w:val="0"/>
                  <w:vAlign w:val="center"/>
                </w:tcPr>
                <w:p w14:paraId="20BC8A88">
                  <w:pPr>
                    <w:pStyle w:val="46"/>
                    <w:jc w:val="center"/>
                    <w:rPr>
                      <w:rFonts w:ascii="Times New Roman" w:hAnsi="Times New Roman" w:cs="Times New Roman"/>
                      <w:color w:val="auto"/>
                      <w:sz w:val="21"/>
                      <w:szCs w:val="21"/>
                    </w:rPr>
                  </w:pPr>
                </w:p>
              </w:tc>
              <w:tc>
                <w:tcPr>
                  <w:tcW w:w="544" w:type="pct"/>
                  <w:noWrap w:val="0"/>
                  <w:vAlign w:val="center"/>
                </w:tcPr>
                <w:p w14:paraId="117A6BB6">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67" w:type="pct"/>
                  <w:noWrap w:val="0"/>
                  <w:vAlign w:val="center"/>
                </w:tcPr>
                <w:p w14:paraId="4973EF39">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54" w:type="pct"/>
                  <w:noWrap w:val="0"/>
                  <w:vAlign w:val="center"/>
                </w:tcPr>
                <w:p w14:paraId="5F8B95E7">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w:t>
                  </w:r>
                </w:p>
              </w:tc>
              <w:tc>
                <w:tcPr>
                  <w:tcW w:w="545" w:type="pct"/>
                  <w:noWrap w:val="0"/>
                  <w:vAlign w:val="center"/>
                </w:tcPr>
                <w:p w14:paraId="22E5BCA6">
                  <w:pPr>
                    <w:jc w:val="center"/>
                    <w:rPr>
                      <w:rFonts w:hint="default" w:eastAsia="宋体"/>
                      <w:color w:val="auto"/>
                      <w:szCs w:val="21"/>
                      <w:lang w:val="en-US" w:eastAsia="zh-CN"/>
                    </w:rPr>
                  </w:pPr>
                  <w:r>
                    <w:rPr>
                      <w:rFonts w:hint="eastAsia"/>
                      <w:color w:val="auto"/>
                      <w:szCs w:val="21"/>
                      <w:lang w:val="en-US" w:eastAsia="zh-CN"/>
                    </w:rPr>
                    <w:t>2.5</w:t>
                  </w:r>
                </w:p>
              </w:tc>
              <w:tc>
                <w:tcPr>
                  <w:tcW w:w="850" w:type="pct"/>
                  <w:gridSpan w:val="2"/>
                  <w:vMerge w:val="continue"/>
                  <w:noWrap w:val="0"/>
                  <w:vAlign w:val="center"/>
                </w:tcPr>
                <w:p w14:paraId="7276FEDD">
                  <w:pPr>
                    <w:jc w:val="center"/>
                    <w:rPr>
                      <w:rFonts w:hint="eastAsia"/>
                      <w:color w:val="auto"/>
                      <w:szCs w:val="21"/>
                    </w:rPr>
                  </w:pPr>
                </w:p>
              </w:tc>
              <w:tc>
                <w:tcPr>
                  <w:tcW w:w="609" w:type="pct"/>
                  <w:shd w:val="clear" w:color="auto" w:fill="auto"/>
                  <w:noWrap w:val="0"/>
                  <w:vAlign w:val="center"/>
                </w:tcPr>
                <w:p w14:paraId="2890110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p>
              </w:tc>
            </w:tr>
            <w:tr w14:paraId="3787F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7A2070BE">
                  <w:pPr>
                    <w:jc w:val="center"/>
                    <w:rPr>
                      <w:color w:val="auto"/>
                      <w:szCs w:val="21"/>
                    </w:rPr>
                  </w:pPr>
                </w:p>
              </w:tc>
              <w:tc>
                <w:tcPr>
                  <w:tcW w:w="659" w:type="pct"/>
                  <w:noWrap w:val="0"/>
                  <w:vAlign w:val="center"/>
                </w:tcPr>
                <w:p w14:paraId="1DDE0EF7">
                  <w:pPr>
                    <w:jc w:val="center"/>
                    <w:rPr>
                      <w:rFonts w:hint="eastAsia" w:eastAsia="宋体"/>
                      <w:color w:val="auto"/>
                      <w:kern w:val="2"/>
                      <w:sz w:val="21"/>
                      <w:szCs w:val="21"/>
                      <w:lang w:val="en-US" w:eastAsia="zh-CN" w:bidi="ar-SA"/>
                    </w:rPr>
                  </w:pPr>
                  <w:r>
                    <w:rPr>
                      <w:rFonts w:hint="eastAsia"/>
                      <w:color w:val="auto"/>
                      <w:szCs w:val="21"/>
                      <w:lang w:val="en-US" w:eastAsia="zh-CN"/>
                    </w:rPr>
                    <w:t>废边角料</w:t>
                  </w:r>
                </w:p>
              </w:tc>
              <w:tc>
                <w:tcPr>
                  <w:tcW w:w="249" w:type="pct"/>
                  <w:vMerge w:val="continue"/>
                  <w:noWrap w:val="0"/>
                  <w:vAlign w:val="center"/>
                </w:tcPr>
                <w:p w14:paraId="10B9704C">
                  <w:pPr>
                    <w:pStyle w:val="46"/>
                    <w:jc w:val="center"/>
                    <w:rPr>
                      <w:rFonts w:ascii="Times New Roman" w:hAnsi="Times New Roman" w:eastAsia="宋体" w:cs="Times New Roman"/>
                      <w:color w:val="auto"/>
                      <w:kern w:val="2"/>
                      <w:sz w:val="21"/>
                      <w:szCs w:val="21"/>
                      <w:lang w:val="en-US" w:eastAsia="zh-CN" w:bidi="ar-SA"/>
                    </w:rPr>
                  </w:pPr>
                </w:p>
              </w:tc>
              <w:tc>
                <w:tcPr>
                  <w:tcW w:w="544" w:type="pct"/>
                  <w:noWrap w:val="0"/>
                  <w:vAlign w:val="center"/>
                </w:tcPr>
                <w:p w14:paraId="71B17B42">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67" w:type="pct"/>
                  <w:noWrap w:val="0"/>
                  <w:vAlign w:val="center"/>
                </w:tcPr>
                <w:p w14:paraId="01EBBE90">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54" w:type="pct"/>
                  <w:noWrap w:val="0"/>
                  <w:vAlign w:val="center"/>
                </w:tcPr>
                <w:p w14:paraId="64A92819">
                  <w:pPr>
                    <w:jc w:val="center"/>
                    <w:rPr>
                      <w:rFonts w:hint="eastAsia"/>
                      <w:color w:val="auto"/>
                      <w:kern w:val="2"/>
                      <w:sz w:val="21"/>
                      <w:szCs w:val="21"/>
                      <w:lang w:val="en-US" w:eastAsia="zh-CN" w:bidi="ar-SA"/>
                    </w:rPr>
                  </w:pPr>
                  <w:r>
                    <w:rPr>
                      <w:rFonts w:hint="eastAsia"/>
                      <w:color w:val="auto"/>
                      <w:szCs w:val="21"/>
                    </w:rPr>
                    <w:t>/</w:t>
                  </w:r>
                </w:p>
              </w:tc>
              <w:tc>
                <w:tcPr>
                  <w:tcW w:w="545" w:type="pct"/>
                  <w:noWrap w:val="0"/>
                  <w:vAlign w:val="center"/>
                </w:tcPr>
                <w:p w14:paraId="7218668C">
                  <w:pPr>
                    <w:jc w:val="center"/>
                    <w:rPr>
                      <w:rFonts w:hint="default" w:eastAsia="宋体"/>
                      <w:color w:val="auto"/>
                      <w:kern w:val="2"/>
                      <w:sz w:val="21"/>
                      <w:szCs w:val="21"/>
                      <w:lang w:val="en-US" w:eastAsia="zh-CN" w:bidi="ar-SA"/>
                    </w:rPr>
                  </w:pPr>
                  <w:r>
                    <w:rPr>
                      <w:rFonts w:hint="eastAsia"/>
                      <w:color w:val="auto"/>
                      <w:szCs w:val="21"/>
                      <w:lang w:val="en-US" w:eastAsia="zh-CN"/>
                    </w:rPr>
                    <w:t>10</w:t>
                  </w:r>
                </w:p>
              </w:tc>
              <w:tc>
                <w:tcPr>
                  <w:tcW w:w="850" w:type="pct"/>
                  <w:gridSpan w:val="2"/>
                  <w:vMerge w:val="continue"/>
                  <w:noWrap w:val="0"/>
                  <w:vAlign w:val="center"/>
                </w:tcPr>
                <w:p w14:paraId="0A18E4ED">
                  <w:pPr>
                    <w:jc w:val="center"/>
                    <w:rPr>
                      <w:color w:val="auto"/>
                      <w:szCs w:val="21"/>
                    </w:rPr>
                  </w:pPr>
                </w:p>
              </w:tc>
              <w:tc>
                <w:tcPr>
                  <w:tcW w:w="609" w:type="pct"/>
                  <w:shd w:val="clear" w:color="auto" w:fill="auto"/>
                  <w:noWrap w:val="0"/>
                  <w:vAlign w:val="center"/>
                </w:tcPr>
                <w:p w14:paraId="201BD56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r>
            <w:tr w14:paraId="659C7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36336170">
                  <w:pPr>
                    <w:jc w:val="center"/>
                    <w:rPr>
                      <w:color w:val="auto"/>
                      <w:szCs w:val="21"/>
                    </w:rPr>
                  </w:pPr>
                </w:p>
              </w:tc>
              <w:tc>
                <w:tcPr>
                  <w:tcW w:w="659" w:type="pct"/>
                  <w:noWrap w:val="0"/>
                  <w:vAlign w:val="center"/>
                </w:tcPr>
                <w:p w14:paraId="75D3C6DE">
                  <w:pPr>
                    <w:jc w:val="center"/>
                    <w:rPr>
                      <w:rFonts w:hint="eastAsia" w:eastAsia="宋体"/>
                      <w:color w:val="auto"/>
                      <w:szCs w:val="21"/>
                      <w:lang w:eastAsia="zh-CN"/>
                    </w:rPr>
                  </w:pPr>
                  <w:r>
                    <w:rPr>
                      <w:rFonts w:hint="eastAsia"/>
                      <w:color w:val="auto"/>
                      <w:szCs w:val="21"/>
                      <w:lang w:val="en-US" w:eastAsia="zh-CN"/>
                    </w:rPr>
                    <w:t>废包装桶</w:t>
                  </w:r>
                </w:p>
              </w:tc>
              <w:tc>
                <w:tcPr>
                  <w:tcW w:w="249" w:type="pct"/>
                  <w:vMerge w:val="restart"/>
                  <w:noWrap w:val="0"/>
                  <w:vAlign w:val="center"/>
                </w:tcPr>
                <w:p w14:paraId="3FF23B3C">
                  <w:pPr>
                    <w:jc w:val="center"/>
                    <w:rPr>
                      <w:rFonts w:hint="eastAsia"/>
                      <w:color w:val="auto"/>
                      <w:szCs w:val="21"/>
                    </w:rPr>
                  </w:pPr>
                  <w:r>
                    <w:rPr>
                      <w:rFonts w:hint="eastAsia"/>
                      <w:color w:val="auto"/>
                      <w:szCs w:val="21"/>
                    </w:rPr>
                    <w:t>危险废物</w:t>
                  </w:r>
                </w:p>
              </w:tc>
              <w:tc>
                <w:tcPr>
                  <w:tcW w:w="544" w:type="pct"/>
                  <w:noWrap w:val="0"/>
                  <w:vAlign w:val="center"/>
                </w:tcPr>
                <w:p w14:paraId="01511023">
                  <w:pPr>
                    <w:pStyle w:val="46"/>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67" w:type="pct"/>
                  <w:noWrap w:val="0"/>
                  <w:vAlign w:val="center"/>
                </w:tcPr>
                <w:p w14:paraId="41D88F22">
                  <w:pPr>
                    <w:pStyle w:val="46"/>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654" w:type="pct"/>
                  <w:noWrap w:val="0"/>
                  <w:vAlign w:val="center"/>
                </w:tcPr>
                <w:p w14:paraId="7FC87063">
                  <w:pPr>
                    <w:jc w:val="center"/>
                    <w:rPr>
                      <w:rFonts w:hint="eastAsia" w:eastAsia="宋体"/>
                      <w:color w:val="auto"/>
                      <w:szCs w:val="21"/>
                      <w:lang w:val="en-US" w:eastAsia="zh-CN"/>
                    </w:rPr>
                  </w:pPr>
                  <w:r>
                    <w:rPr>
                      <w:rFonts w:hint="eastAsia"/>
                      <w:color w:val="auto"/>
                      <w:szCs w:val="21"/>
                      <w:lang w:val="en-US" w:eastAsia="zh-CN"/>
                    </w:rPr>
                    <w:t>/</w:t>
                  </w:r>
                </w:p>
              </w:tc>
              <w:tc>
                <w:tcPr>
                  <w:tcW w:w="545" w:type="pct"/>
                  <w:noWrap w:val="0"/>
                  <w:vAlign w:val="center"/>
                </w:tcPr>
                <w:p w14:paraId="1FAFCD20">
                  <w:pPr>
                    <w:jc w:val="center"/>
                    <w:rPr>
                      <w:rFonts w:hint="default"/>
                      <w:color w:val="auto"/>
                      <w:szCs w:val="21"/>
                      <w:lang w:val="en-US" w:eastAsia="zh-CN"/>
                    </w:rPr>
                  </w:pPr>
                  <w:r>
                    <w:rPr>
                      <w:rFonts w:hint="eastAsia"/>
                      <w:color w:val="auto"/>
                      <w:szCs w:val="21"/>
                      <w:lang w:val="en-US" w:eastAsia="zh-CN"/>
                    </w:rPr>
                    <w:t>12</w:t>
                  </w:r>
                </w:p>
              </w:tc>
              <w:tc>
                <w:tcPr>
                  <w:tcW w:w="850" w:type="pct"/>
                  <w:gridSpan w:val="2"/>
                  <w:noWrap w:val="0"/>
                  <w:vAlign w:val="center"/>
                </w:tcPr>
                <w:p w14:paraId="5F82F863">
                  <w:pPr>
                    <w:jc w:val="center"/>
                    <w:rPr>
                      <w:rFonts w:hint="default" w:eastAsia="宋体"/>
                      <w:color w:val="auto"/>
                      <w:szCs w:val="21"/>
                      <w:lang w:val="en-US" w:eastAsia="zh-CN"/>
                    </w:rPr>
                  </w:pPr>
                  <w:r>
                    <w:rPr>
                      <w:rFonts w:hint="eastAsia"/>
                      <w:color w:val="auto"/>
                      <w:szCs w:val="21"/>
                      <w:lang w:val="en-US" w:eastAsia="zh-CN"/>
                    </w:rPr>
                    <w:t>厂家回收</w:t>
                  </w:r>
                </w:p>
              </w:tc>
              <w:tc>
                <w:tcPr>
                  <w:tcW w:w="609" w:type="pct"/>
                  <w:shd w:val="clear" w:color="auto" w:fill="auto"/>
                  <w:noWrap w:val="0"/>
                  <w:vAlign w:val="center"/>
                </w:tcPr>
                <w:p w14:paraId="5CB61670">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w:t>
                  </w:r>
                </w:p>
              </w:tc>
            </w:tr>
            <w:tr w14:paraId="1E8E4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vMerge w:val="continue"/>
                  <w:noWrap w:val="0"/>
                  <w:vAlign w:val="center"/>
                </w:tcPr>
                <w:p w14:paraId="0085A232">
                  <w:pPr>
                    <w:jc w:val="center"/>
                    <w:rPr>
                      <w:color w:val="auto"/>
                      <w:szCs w:val="21"/>
                    </w:rPr>
                  </w:pPr>
                </w:p>
              </w:tc>
              <w:tc>
                <w:tcPr>
                  <w:tcW w:w="659" w:type="pct"/>
                  <w:noWrap w:val="0"/>
                  <w:vAlign w:val="center"/>
                </w:tcPr>
                <w:p w14:paraId="78D982FB">
                  <w:pPr>
                    <w:jc w:val="center"/>
                    <w:rPr>
                      <w:color w:val="auto"/>
                      <w:szCs w:val="21"/>
                    </w:rPr>
                  </w:pPr>
                  <w:r>
                    <w:rPr>
                      <w:rFonts w:hint="eastAsia"/>
                      <w:color w:val="auto"/>
                      <w:szCs w:val="21"/>
                    </w:rPr>
                    <w:t>废活性炭</w:t>
                  </w:r>
                </w:p>
              </w:tc>
              <w:tc>
                <w:tcPr>
                  <w:tcW w:w="249" w:type="pct"/>
                  <w:vMerge w:val="continue"/>
                  <w:noWrap w:val="0"/>
                  <w:vAlign w:val="center"/>
                </w:tcPr>
                <w:p w14:paraId="0F9A092C">
                  <w:pPr>
                    <w:jc w:val="center"/>
                    <w:rPr>
                      <w:color w:val="auto"/>
                      <w:szCs w:val="21"/>
                    </w:rPr>
                  </w:pPr>
                </w:p>
              </w:tc>
              <w:tc>
                <w:tcPr>
                  <w:tcW w:w="544" w:type="pct"/>
                  <w:vMerge w:val="restart"/>
                  <w:noWrap w:val="0"/>
                  <w:vAlign w:val="center"/>
                </w:tcPr>
                <w:p w14:paraId="1008F7DD">
                  <w:pPr>
                    <w:pStyle w:val="46"/>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HW49其他废物</w:t>
                  </w:r>
                </w:p>
              </w:tc>
              <w:tc>
                <w:tcPr>
                  <w:tcW w:w="467" w:type="pct"/>
                  <w:noWrap w:val="0"/>
                  <w:vAlign w:val="center"/>
                </w:tcPr>
                <w:p w14:paraId="5EB9FD1D">
                  <w:pPr>
                    <w:pStyle w:val="46"/>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900-039-49</w:t>
                  </w:r>
                </w:p>
              </w:tc>
              <w:tc>
                <w:tcPr>
                  <w:tcW w:w="654" w:type="pct"/>
                  <w:vMerge w:val="restart"/>
                  <w:noWrap w:val="0"/>
                  <w:vAlign w:val="center"/>
                </w:tcPr>
                <w:p w14:paraId="6414F373">
                  <w:pPr>
                    <w:jc w:val="center"/>
                    <w:rPr>
                      <w:color w:val="auto"/>
                      <w:szCs w:val="21"/>
                    </w:rPr>
                  </w:pPr>
                  <w:r>
                    <w:rPr>
                      <w:rFonts w:hint="eastAsia"/>
                      <w:color w:val="auto"/>
                      <w:szCs w:val="21"/>
                    </w:rPr>
                    <w:t>有机废气</w:t>
                  </w:r>
                </w:p>
              </w:tc>
              <w:tc>
                <w:tcPr>
                  <w:tcW w:w="545" w:type="pct"/>
                  <w:noWrap w:val="0"/>
                  <w:vAlign w:val="center"/>
                </w:tcPr>
                <w:p w14:paraId="2E4AA984">
                  <w:pPr>
                    <w:jc w:val="center"/>
                    <w:rPr>
                      <w:rFonts w:hint="default" w:eastAsia="宋体"/>
                      <w:color w:val="auto"/>
                      <w:szCs w:val="21"/>
                      <w:lang w:val="en-US" w:eastAsia="zh-CN"/>
                    </w:rPr>
                  </w:pPr>
                  <w:r>
                    <w:rPr>
                      <w:rFonts w:hint="eastAsia"/>
                      <w:color w:val="auto"/>
                      <w:szCs w:val="21"/>
                      <w:lang w:eastAsia="zh-CN"/>
                    </w:rPr>
                    <w:t>1</w:t>
                  </w:r>
                  <w:r>
                    <w:rPr>
                      <w:rFonts w:hint="eastAsia"/>
                      <w:color w:val="auto"/>
                      <w:szCs w:val="21"/>
                      <w:lang w:val="en-US" w:eastAsia="zh-CN"/>
                    </w:rPr>
                    <w:t>.35</w:t>
                  </w:r>
                </w:p>
              </w:tc>
              <w:tc>
                <w:tcPr>
                  <w:tcW w:w="850" w:type="pct"/>
                  <w:gridSpan w:val="2"/>
                  <w:vMerge w:val="restart"/>
                  <w:noWrap w:val="0"/>
                  <w:vAlign w:val="center"/>
                </w:tcPr>
                <w:p w14:paraId="4A65A419">
                  <w:pPr>
                    <w:jc w:val="center"/>
                    <w:rPr>
                      <w:color w:val="auto"/>
                      <w:szCs w:val="21"/>
                    </w:rPr>
                  </w:pPr>
                  <w:r>
                    <w:rPr>
                      <w:rFonts w:hint="eastAsia"/>
                      <w:color w:val="auto"/>
                      <w:szCs w:val="21"/>
                    </w:rPr>
                    <w:t>分类收集暂存，定期委托有资质单位处置</w:t>
                  </w:r>
                </w:p>
              </w:tc>
              <w:tc>
                <w:tcPr>
                  <w:tcW w:w="609" w:type="pct"/>
                  <w:shd w:val="clear" w:color="auto" w:fill="auto"/>
                  <w:noWrap w:val="0"/>
                  <w:vAlign w:val="center"/>
                </w:tcPr>
                <w:p w14:paraId="55E7E75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1</w:t>
                  </w:r>
                  <w:r>
                    <w:rPr>
                      <w:rFonts w:hint="eastAsia"/>
                      <w:color w:val="auto"/>
                      <w:szCs w:val="21"/>
                      <w:lang w:val="en-US" w:eastAsia="zh-CN"/>
                    </w:rPr>
                    <w:t>.35</w:t>
                  </w:r>
                </w:p>
              </w:tc>
            </w:tr>
            <w:tr w14:paraId="53FC0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14E3ABA0">
                  <w:pPr>
                    <w:jc w:val="center"/>
                    <w:rPr>
                      <w:color w:val="auto"/>
                      <w:szCs w:val="21"/>
                    </w:rPr>
                  </w:pPr>
                </w:p>
              </w:tc>
              <w:tc>
                <w:tcPr>
                  <w:tcW w:w="659" w:type="pct"/>
                  <w:shd w:val="clear" w:color="auto" w:fill="auto"/>
                  <w:noWrap w:val="0"/>
                  <w:vAlign w:val="center"/>
                </w:tcPr>
                <w:p w14:paraId="1CDA7CDC">
                  <w:pPr>
                    <w:jc w:val="center"/>
                    <w:rPr>
                      <w:rFonts w:hint="default"/>
                      <w:color w:val="auto"/>
                      <w:szCs w:val="21"/>
                      <w:lang w:val="en-US" w:eastAsia="zh-CN"/>
                    </w:rPr>
                  </w:pPr>
                  <w:r>
                    <w:rPr>
                      <w:rFonts w:hint="eastAsia"/>
                      <w:color w:val="auto"/>
                      <w:szCs w:val="21"/>
                      <w:lang w:val="en-US" w:eastAsia="zh-CN"/>
                    </w:rPr>
                    <w:t>废含油抹布、手套</w:t>
                  </w:r>
                </w:p>
              </w:tc>
              <w:tc>
                <w:tcPr>
                  <w:tcW w:w="249" w:type="pct"/>
                  <w:vMerge w:val="continue"/>
                  <w:shd w:val="clear" w:color="auto" w:fill="auto"/>
                  <w:noWrap w:val="0"/>
                  <w:vAlign w:val="center"/>
                </w:tcPr>
                <w:p w14:paraId="6D6AAF9D">
                  <w:pPr>
                    <w:jc w:val="center"/>
                    <w:rPr>
                      <w:rFonts w:hint="eastAsia" w:ascii="Times New Roman" w:hAnsi="Times New Roman" w:eastAsia="宋体" w:cs="Times New Roman"/>
                      <w:color w:val="auto"/>
                      <w:kern w:val="2"/>
                      <w:sz w:val="21"/>
                      <w:szCs w:val="21"/>
                      <w:lang w:val="en-US" w:eastAsia="zh-CN" w:bidi="ar-SA"/>
                    </w:rPr>
                  </w:pPr>
                </w:p>
              </w:tc>
              <w:tc>
                <w:tcPr>
                  <w:tcW w:w="544" w:type="pct"/>
                  <w:vMerge w:val="continue"/>
                  <w:shd w:val="clear" w:color="auto" w:fill="auto"/>
                  <w:noWrap w:val="0"/>
                  <w:vAlign w:val="center"/>
                </w:tcPr>
                <w:p w14:paraId="18C7B6DA">
                  <w:pPr>
                    <w:pStyle w:val="46"/>
                    <w:jc w:val="center"/>
                    <w:rPr>
                      <w:rFonts w:hint="eastAsia" w:ascii="Times New Roman" w:hAnsi="Times New Roman" w:eastAsia="宋体" w:cs="Times New Roman"/>
                      <w:color w:val="auto"/>
                      <w:kern w:val="2"/>
                      <w:sz w:val="21"/>
                      <w:szCs w:val="21"/>
                      <w:lang w:val="en-US" w:eastAsia="zh-CN" w:bidi="ar-SA"/>
                    </w:rPr>
                  </w:pPr>
                </w:p>
              </w:tc>
              <w:tc>
                <w:tcPr>
                  <w:tcW w:w="467" w:type="pct"/>
                  <w:shd w:val="clear" w:color="auto" w:fill="auto"/>
                  <w:noWrap w:val="0"/>
                  <w:vAlign w:val="center"/>
                </w:tcPr>
                <w:p w14:paraId="3424C26E">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900-041-49</w:t>
                  </w:r>
                </w:p>
              </w:tc>
              <w:tc>
                <w:tcPr>
                  <w:tcW w:w="654" w:type="pct"/>
                  <w:vMerge w:val="continue"/>
                  <w:shd w:val="clear" w:color="auto" w:fill="auto"/>
                  <w:noWrap w:val="0"/>
                  <w:vAlign w:val="center"/>
                </w:tcPr>
                <w:p w14:paraId="2BD49B92">
                  <w:pPr>
                    <w:jc w:val="center"/>
                    <w:rPr>
                      <w:rFonts w:hint="eastAsia" w:ascii="Times New Roman" w:hAnsi="Times New Roman" w:eastAsia="宋体" w:cs="Times New Roman"/>
                      <w:color w:val="auto"/>
                      <w:kern w:val="2"/>
                      <w:sz w:val="21"/>
                      <w:szCs w:val="21"/>
                      <w:lang w:val="en-US" w:eastAsia="zh-CN" w:bidi="ar-SA"/>
                    </w:rPr>
                  </w:pPr>
                </w:p>
              </w:tc>
              <w:tc>
                <w:tcPr>
                  <w:tcW w:w="545" w:type="pct"/>
                  <w:shd w:val="clear" w:color="auto" w:fill="auto"/>
                  <w:noWrap w:val="0"/>
                  <w:vAlign w:val="center"/>
                </w:tcPr>
                <w:p w14:paraId="0CE10510">
                  <w:pPr>
                    <w:jc w:val="center"/>
                    <w:rPr>
                      <w:rFonts w:hint="default"/>
                      <w:color w:val="auto"/>
                      <w:szCs w:val="21"/>
                      <w:lang w:val="en-US" w:eastAsia="zh-CN"/>
                    </w:rPr>
                  </w:pPr>
                  <w:r>
                    <w:rPr>
                      <w:rFonts w:hint="eastAsia"/>
                      <w:color w:val="auto"/>
                      <w:szCs w:val="21"/>
                      <w:lang w:val="en-US" w:eastAsia="zh-CN"/>
                    </w:rPr>
                    <w:t>0.02</w:t>
                  </w:r>
                </w:p>
              </w:tc>
              <w:tc>
                <w:tcPr>
                  <w:tcW w:w="850" w:type="pct"/>
                  <w:gridSpan w:val="2"/>
                  <w:vMerge w:val="continue"/>
                  <w:shd w:val="clear" w:color="auto" w:fill="auto"/>
                  <w:noWrap w:val="0"/>
                  <w:vAlign w:val="center"/>
                </w:tcPr>
                <w:p w14:paraId="2538100B">
                  <w:pPr>
                    <w:jc w:val="center"/>
                    <w:rPr>
                      <w:rFonts w:hint="eastAsia" w:ascii="Times New Roman" w:hAnsi="Times New Roman" w:eastAsia="宋体" w:cs="Times New Roman"/>
                      <w:color w:val="auto"/>
                      <w:kern w:val="2"/>
                      <w:sz w:val="21"/>
                      <w:szCs w:val="21"/>
                      <w:lang w:val="en-US" w:eastAsia="zh-CN" w:bidi="ar-SA"/>
                    </w:rPr>
                  </w:pPr>
                </w:p>
              </w:tc>
              <w:tc>
                <w:tcPr>
                  <w:tcW w:w="609" w:type="pct"/>
                  <w:shd w:val="clear" w:color="auto" w:fill="auto"/>
                  <w:noWrap w:val="0"/>
                  <w:vAlign w:val="center"/>
                </w:tcPr>
                <w:p w14:paraId="04292CE8">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0.02</w:t>
                  </w:r>
                </w:p>
              </w:tc>
            </w:tr>
            <w:tr w14:paraId="630EA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vMerge w:val="continue"/>
                  <w:noWrap w:val="0"/>
                  <w:vAlign w:val="center"/>
                </w:tcPr>
                <w:p w14:paraId="31BF77A7">
                  <w:pPr>
                    <w:jc w:val="center"/>
                    <w:rPr>
                      <w:color w:val="auto"/>
                      <w:szCs w:val="21"/>
                    </w:rPr>
                  </w:pPr>
                </w:p>
              </w:tc>
              <w:tc>
                <w:tcPr>
                  <w:tcW w:w="659" w:type="pct"/>
                  <w:noWrap w:val="0"/>
                  <w:vAlign w:val="center"/>
                </w:tcPr>
                <w:p w14:paraId="3092E382">
                  <w:pPr>
                    <w:jc w:val="center"/>
                    <w:rPr>
                      <w:rFonts w:hint="eastAsia" w:eastAsia="宋体"/>
                      <w:color w:val="auto"/>
                      <w:kern w:val="2"/>
                      <w:sz w:val="21"/>
                      <w:szCs w:val="21"/>
                      <w:lang w:val="en-US" w:eastAsia="zh-CN" w:bidi="ar-SA"/>
                    </w:rPr>
                  </w:pPr>
                  <w:r>
                    <w:rPr>
                      <w:rFonts w:hint="eastAsia"/>
                      <w:color w:val="auto"/>
                      <w:szCs w:val="21"/>
                    </w:rPr>
                    <w:t>废</w:t>
                  </w:r>
                  <w:r>
                    <w:rPr>
                      <w:rFonts w:hint="eastAsia"/>
                      <w:color w:val="auto"/>
                      <w:szCs w:val="21"/>
                      <w:lang w:val="en-US" w:eastAsia="zh-CN"/>
                    </w:rPr>
                    <w:t>机油</w:t>
                  </w:r>
                </w:p>
              </w:tc>
              <w:tc>
                <w:tcPr>
                  <w:tcW w:w="249" w:type="pct"/>
                  <w:vMerge w:val="continue"/>
                  <w:noWrap w:val="0"/>
                  <w:vAlign w:val="center"/>
                </w:tcPr>
                <w:p w14:paraId="33169052">
                  <w:pPr>
                    <w:jc w:val="center"/>
                    <w:rPr>
                      <w:color w:val="auto"/>
                      <w:szCs w:val="21"/>
                    </w:rPr>
                  </w:pPr>
                </w:p>
              </w:tc>
              <w:tc>
                <w:tcPr>
                  <w:tcW w:w="544" w:type="pct"/>
                  <w:vMerge w:val="restart"/>
                  <w:noWrap w:val="0"/>
                  <w:vAlign w:val="center"/>
                </w:tcPr>
                <w:p w14:paraId="3F526BE0">
                  <w:pPr>
                    <w:pStyle w:val="46"/>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HW08废矿物油和含矿物油废物</w:t>
                  </w:r>
                </w:p>
              </w:tc>
              <w:tc>
                <w:tcPr>
                  <w:tcW w:w="467" w:type="pct"/>
                  <w:noWrap w:val="0"/>
                  <w:vAlign w:val="center"/>
                </w:tcPr>
                <w:p w14:paraId="6FCA14B6">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900-214-08</w:t>
                  </w:r>
                </w:p>
              </w:tc>
              <w:tc>
                <w:tcPr>
                  <w:tcW w:w="654" w:type="pct"/>
                  <w:vMerge w:val="restart"/>
                  <w:noWrap w:val="0"/>
                  <w:vAlign w:val="center"/>
                </w:tcPr>
                <w:p w14:paraId="2EF50B19">
                  <w:pPr>
                    <w:jc w:val="center"/>
                    <w:rPr>
                      <w:color w:val="auto"/>
                      <w:szCs w:val="21"/>
                    </w:rPr>
                  </w:pPr>
                  <w:r>
                    <w:rPr>
                      <w:rFonts w:hint="eastAsia"/>
                      <w:color w:val="auto"/>
                      <w:szCs w:val="21"/>
                    </w:rPr>
                    <w:t>废矿物油</w:t>
                  </w:r>
                </w:p>
              </w:tc>
              <w:tc>
                <w:tcPr>
                  <w:tcW w:w="545" w:type="pct"/>
                  <w:noWrap w:val="0"/>
                  <w:vAlign w:val="center"/>
                </w:tcPr>
                <w:p w14:paraId="395A87FA">
                  <w:pPr>
                    <w:jc w:val="center"/>
                    <w:rPr>
                      <w:rFonts w:hint="default" w:eastAsia="宋体"/>
                      <w:color w:val="auto"/>
                      <w:szCs w:val="21"/>
                      <w:lang w:val="en-US" w:eastAsia="zh-CN"/>
                    </w:rPr>
                  </w:pPr>
                  <w:r>
                    <w:rPr>
                      <w:rFonts w:hint="eastAsia"/>
                      <w:color w:val="auto"/>
                      <w:szCs w:val="21"/>
                      <w:lang w:val="en-US" w:eastAsia="zh-CN"/>
                    </w:rPr>
                    <w:t>0.5</w:t>
                  </w:r>
                </w:p>
              </w:tc>
              <w:tc>
                <w:tcPr>
                  <w:tcW w:w="850" w:type="pct"/>
                  <w:gridSpan w:val="2"/>
                  <w:vMerge w:val="continue"/>
                  <w:noWrap w:val="0"/>
                  <w:vAlign w:val="center"/>
                </w:tcPr>
                <w:p w14:paraId="6A1A3C87">
                  <w:pPr>
                    <w:jc w:val="center"/>
                    <w:rPr>
                      <w:color w:val="auto"/>
                      <w:szCs w:val="21"/>
                    </w:rPr>
                  </w:pPr>
                </w:p>
              </w:tc>
              <w:tc>
                <w:tcPr>
                  <w:tcW w:w="609" w:type="pct"/>
                  <w:shd w:val="clear" w:color="auto" w:fill="auto"/>
                  <w:noWrap w:val="0"/>
                  <w:vAlign w:val="center"/>
                </w:tcPr>
                <w:p w14:paraId="02A592E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p>
              </w:tc>
            </w:tr>
            <w:tr w14:paraId="26087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8" w:type="pct"/>
                  <w:vMerge w:val="continue"/>
                  <w:noWrap w:val="0"/>
                  <w:vAlign w:val="center"/>
                </w:tcPr>
                <w:p w14:paraId="5FB008E4">
                  <w:pPr>
                    <w:jc w:val="center"/>
                    <w:rPr>
                      <w:color w:val="auto"/>
                      <w:szCs w:val="21"/>
                    </w:rPr>
                  </w:pPr>
                </w:p>
              </w:tc>
              <w:tc>
                <w:tcPr>
                  <w:tcW w:w="659" w:type="pct"/>
                  <w:noWrap w:val="0"/>
                  <w:vAlign w:val="center"/>
                </w:tcPr>
                <w:p w14:paraId="5858CDEB">
                  <w:pPr>
                    <w:jc w:val="center"/>
                    <w:rPr>
                      <w:rFonts w:hint="eastAsia"/>
                      <w:color w:val="auto"/>
                      <w:szCs w:val="21"/>
                    </w:rPr>
                  </w:pPr>
                  <w:r>
                    <w:rPr>
                      <w:rFonts w:hint="eastAsia"/>
                      <w:color w:val="auto"/>
                      <w:szCs w:val="21"/>
                    </w:rPr>
                    <w:t>废油桶</w:t>
                  </w:r>
                </w:p>
              </w:tc>
              <w:tc>
                <w:tcPr>
                  <w:tcW w:w="249" w:type="pct"/>
                  <w:vMerge w:val="continue"/>
                  <w:noWrap w:val="0"/>
                  <w:vAlign w:val="center"/>
                </w:tcPr>
                <w:p w14:paraId="6AF79D63">
                  <w:pPr>
                    <w:jc w:val="center"/>
                    <w:rPr>
                      <w:color w:val="auto"/>
                      <w:szCs w:val="21"/>
                    </w:rPr>
                  </w:pPr>
                </w:p>
              </w:tc>
              <w:tc>
                <w:tcPr>
                  <w:tcW w:w="544" w:type="pct"/>
                  <w:vMerge w:val="continue"/>
                  <w:noWrap w:val="0"/>
                  <w:vAlign w:val="center"/>
                </w:tcPr>
                <w:p w14:paraId="64EF77CA">
                  <w:pPr>
                    <w:pStyle w:val="46"/>
                    <w:jc w:val="center"/>
                    <w:rPr>
                      <w:rFonts w:ascii="Times New Roman" w:hAnsi="Times New Roman" w:eastAsia="宋体" w:cs="Times New Roman"/>
                      <w:color w:val="auto"/>
                      <w:sz w:val="21"/>
                      <w:szCs w:val="21"/>
                    </w:rPr>
                  </w:pPr>
                </w:p>
              </w:tc>
              <w:tc>
                <w:tcPr>
                  <w:tcW w:w="467" w:type="pct"/>
                  <w:noWrap w:val="0"/>
                  <w:vAlign w:val="center"/>
                </w:tcPr>
                <w:p w14:paraId="4877014A">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900-249-08</w:t>
                  </w:r>
                </w:p>
              </w:tc>
              <w:tc>
                <w:tcPr>
                  <w:tcW w:w="654" w:type="pct"/>
                  <w:vMerge w:val="continue"/>
                  <w:noWrap w:val="0"/>
                  <w:vAlign w:val="center"/>
                </w:tcPr>
                <w:p w14:paraId="55174502">
                  <w:pPr>
                    <w:jc w:val="center"/>
                    <w:rPr>
                      <w:color w:val="auto"/>
                      <w:szCs w:val="21"/>
                    </w:rPr>
                  </w:pPr>
                </w:p>
              </w:tc>
              <w:tc>
                <w:tcPr>
                  <w:tcW w:w="545" w:type="pct"/>
                  <w:noWrap w:val="0"/>
                  <w:vAlign w:val="center"/>
                </w:tcPr>
                <w:p w14:paraId="4C73F815">
                  <w:pPr>
                    <w:jc w:val="center"/>
                    <w:rPr>
                      <w:rFonts w:hint="default" w:eastAsia="宋体"/>
                      <w:color w:val="auto"/>
                      <w:kern w:val="2"/>
                      <w:sz w:val="21"/>
                      <w:szCs w:val="21"/>
                      <w:lang w:val="en-US" w:eastAsia="zh-CN" w:bidi="ar-SA"/>
                    </w:rPr>
                  </w:pPr>
                  <w:r>
                    <w:rPr>
                      <w:rFonts w:hint="eastAsia"/>
                      <w:color w:val="auto"/>
                      <w:szCs w:val="21"/>
                      <w:lang w:val="en-US" w:eastAsia="zh-CN"/>
                    </w:rPr>
                    <w:t>0.15</w:t>
                  </w:r>
                </w:p>
              </w:tc>
              <w:tc>
                <w:tcPr>
                  <w:tcW w:w="850" w:type="pct"/>
                  <w:gridSpan w:val="2"/>
                  <w:vMerge w:val="continue"/>
                  <w:noWrap w:val="0"/>
                  <w:vAlign w:val="center"/>
                </w:tcPr>
                <w:p w14:paraId="6DD9351F">
                  <w:pPr>
                    <w:jc w:val="center"/>
                    <w:rPr>
                      <w:color w:val="auto"/>
                      <w:kern w:val="2"/>
                      <w:sz w:val="21"/>
                      <w:szCs w:val="21"/>
                      <w:lang w:val="en-US" w:eastAsia="zh-CN" w:bidi="ar-SA"/>
                    </w:rPr>
                  </w:pPr>
                </w:p>
              </w:tc>
              <w:tc>
                <w:tcPr>
                  <w:tcW w:w="609" w:type="pct"/>
                  <w:shd w:val="clear" w:color="auto" w:fill="auto"/>
                  <w:noWrap w:val="0"/>
                  <w:vAlign w:val="center"/>
                </w:tcPr>
                <w:p w14:paraId="320A0FD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p>
              </w:tc>
            </w:tr>
          </w:tbl>
          <w:p w14:paraId="71E7FE1D">
            <w:pPr>
              <w:pStyle w:val="6"/>
              <w:keepNext w:val="0"/>
              <w:keepLines w:val="0"/>
              <w:pageBreakBefore w:val="0"/>
              <w:kinsoku/>
              <w:wordWrap/>
              <w:overflowPunct/>
              <w:topLinePunct w:val="0"/>
              <w:autoSpaceDE/>
              <w:autoSpaceDN/>
              <w:bidi w:val="0"/>
              <w:spacing w:before="120" w:beforeLines="50" w:line="360" w:lineRule="auto"/>
              <w:ind w:firstLine="480" w:firstLineChars="200"/>
              <w:textAlignment w:val="auto"/>
              <w:rPr>
                <w:color w:val="auto"/>
                <w:szCs w:val="24"/>
              </w:rPr>
            </w:pPr>
            <w:r>
              <w:rPr>
                <w:rFonts w:hint="eastAsia"/>
                <w:color w:val="auto"/>
                <w:szCs w:val="24"/>
              </w:rPr>
              <w:t>（</w:t>
            </w:r>
            <w:r>
              <w:rPr>
                <w:rFonts w:hint="eastAsia"/>
                <w:color w:val="auto"/>
                <w:szCs w:val="24"/>
                <w:lang w:val="en-US" w:eastAsia="zh-CN"/>
              </w:rPr>
              <w:t>2</w:t>
            </w:r>
            <w:r>
              <w:rPr>
                <w:rFonts w:hint="eastAsia"/>
                <w:color w:val="auto"/>
                <w:szCs w:val="24"/>
              </w:rPr>
              <w:t>）环境管理要求</w:t>
            </w:r>
          </w:p>
          <w:p w14:paraId="1C1A8B82">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1）一般固体废物</w:t>
            </w:r>
          </w:p>
          <w:p w14:paraId="0CBB4CA6">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本项目设置</w:t>
            </w:r>
            <w:r>
              <w:rPr>
                <w:rFonts w:hint="eastAsia" w:cs="Times New Roman"/>
                <w:bCs/>
                <w:color w:val="auto"/>
                <w:sz w:val="24"/>
                <w:lang w:val="en-US" w:eastAsia="zh-CN"/>
              </w:rPr>
              <w:t>废料区，</w:t>
            </w:r>
            <w:r>
              <w:rPr>
                <w:rFonts w:hint="eastAsia" w:ascii="Times New Roman" w:hAnsi="Times New Roman" w:eastAsia="宋体" w:cs="Times New Roman"/>
                <w:bCs/>
                <w:color w:val="auto"/>
                <w:sz w:val="24"/>
              </w:rPr>
              <w:t>位于厂房内，满足防风、防雨、防晒、防渗漏的要求。</w:t>
            </w:r>
          </w:p>
          <w:p w14:paraId="14AEA8C3">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2）危险废物</w:t>
            </w:r>
          </w:p>
          <w:p w14:paraId="39CBDD0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存储：建设单位应按照《危险废物贮存污染控制标准》（GB18597-2023）中的有关规定建设1座危废贮存库，初步选定位置为</w:t>
            </w:r>
            <w:r>
              <w:rPr>
                <w:rFonts w:hint="eastAsia" w:cs="Times New Roman"/>
                <w:color w:val="auto"/>
                <w:sz w:val="24"/>
                <w:szCs w:val="24"/>
                <w:lang w:val="en-US" w:eastAsia="zh-CN"/>
              </w:rPr>
              <w:t>生产车间西侧</w:t>
            </w:r>
            <w:r>
              <w:rPr>
                <w:rFonts w:hint="default" w:cs="宋体"/>
                <w:color w:val="auto"/>
                <w:kern w:val="0"/>
                <w:sz w:val="24"/>
                <w:highlight w:val="none"/>
                <w:lang w:val="en-US"/>
              </w:rPr>
              <w:t>，占地面积</w:t>
            </w:r>
            <w:r>
              <w:rPr>
                <w:rFonts w:hint="eastAsia" w:cs="宋体"/>
                <w:color w:val="auto"/>
                <w:kern w:val="0"/>
                <w:sz w:val="24"/>
                <w:highlight w:val="none"/>
                <w:lang w:val="en-US" w:eastAsia="zh-CN"/>
              </w:rPr>
              <w:t>10</w:t>
            </w:r>
            <w:r>
              <w:rPr>
                <w:rFonts w:hint="default" w:cs="宋体"/>
                <w:color w:val="auto"/>
                <w:kern w:val="0"/>
                <w:sz w:val="24"/>
                <w:highlight w:val="none"/>
                <w:lang w:val="en-US"/>
              </w:rPr>
              <w:t>m</w:t>
            </w:r>
            <w:r>
              <w:rPr>
                <w:rFonts w:hint="default" w:cs="宋体"/>
                <w:color w:val="auto"/>
                <w:kern w:val="0"/>
                <w:sz w:val="24"/>
                <w:highlight w:val="none"/>
                <w:vertAlign w:val="superscript"/>
                <w:lang w:val="en-US"/>
              </w:rPr>
              <w:t>2</w:t>
            </w:r>
            <w:r>
              <w:rPr>
                <w:rFonts w:hint="default" w:cs="宋体"/>
                <w:color w:val="auto"/>
                <w:kern w:val="0"/>
                <w:sz w:val="24"/>
                <w:highlight w:val="none"/>
                <w:lang w:val="en-US"/>
              </w:rPr>
              <w:t>，危废贮存库</w:t>
            </w:r>
            <w:r>
              <w:rPr>
                <w:rFonts w:hint="eastAsia" w:cs="宋体"/>
                <w:color w:val="auto"/>
                <w:kern w:val="0"/>
                <w:sz w:val="24"/>
                <w:highlight w:val="none"/>
                <w:lang w:val="en-US" w:eastAsia="zh-CN"/>
              </w:rPr>
              <w:t>位于生产车间内，</w:t>
            </w:r>
            <w:r>
              <w:rPr>
                <w:rFonts w:hint="default" w:cs="宋体"/>
                <w:color w:val="auto"/>
                <w:kern w:val="0"/>
                <w:sz w:val="24"/>
                <w:highlight w:val="none"/>
                <w:lang w:val="en-US"/>
              </w:rPr>
              <w:t>满足防风、防雨、防晒、防渗漏的要求，</w:t>
            </w:r>
            <w:r>
              <w:rPr>
                <w:rFonts w:hint="eastAsia" w:cs="宋体"/>
                <w:color w:val="auto"/>
                <w:kern w:val="0"/>
                <w:sz w:val="24"/>
                <w:highlight w:val="none"/>
                <w:lang w:val="en-US" w:eastAsia="zh-CN"/>
              </w:rPr>
              <w:t>环评要求</w:t>
            </w:r>
            <w:r>
              <w:rPr>
                <w:rFonts w:hint="default" w:cs="宋体"/>
                <w:color w:val="auto"/>
                <w:kern w:val="0"/>
                <w:sz w:val="24"/>
                <w:highlight w:val="none"/>
                <w:lang w:val="en-US"/>
              </w:rPr>
              <w:t>贮存设施或贮存分区内地面、墙面裙脚、堵截泄漏的围堰、接触危险废物的隔板和墙体等应采用坚固的材料建造，表面无裂缝。</w:t>
            </w:r>
          </w:p>
          <w:p w14:paraId="3087118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危险废物贮存容器应满足以下要求：应当使用符合标准的容器盛装危险废物；装载危险废物的容器及材质要满足相应的强度要求；装载危险废物的容器必须完好无损；盛装危险废物的容器材质和衬里要与危险废物不相容（不相互反应）。</w:t>
            </w:r>
          </w:p>
          <w:p w14:paraId="289C652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管理：危险危废存储时严禁与其他固废混合存放，堆放时宜按危废种类分类堆放。对危险废物进行密闭包装。并应严格按照《危险废物贮存污染控制标准》（GB18597-2023）和《危险废物转移管理办法》（部令第23号）中的规定，设管理制度，责任落实到具体负责人，并设台账进行管理和登记，记录上需注明危险废物的名称、来源、数量、特性和包装容器的类别、入库日期、存放库位、危废出库日期及接收单位名称，做好转移联单。</w:t>
            </w:r>
          </w:p>
          <w:p w14:paraId="217ACB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危险废物电子转移联单数据应当在信息系统中至少保存十年。因特殊原因无法运行危险废物电子转移联单的，可以先使用纸质转移联单，并于转移活动完成后十个工作日内在信息系统中补录电子转移联单。必须定期对所贮存的危险废物包装容器及贮存设施进行检查，发现破损，应及时采取措施清理更换。</w:t>
            </w:r>
          </w:p>
          <w:p w14:paraId="3B9272A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标识：危废贮存库和暂存危险废物的容器上必须粘贴符合《危险废物识别标志设置技术规范》（HJ1276-2022）所示的标签</w:t>
            </w:r>
            <w:r>
              <w:rPr>
                <w:rFonts w:hint="eastAsia" w:cs="宋体"/>
                <w:color w:val="auto"/>
                <w:kern w:val="0"/>
                <w:sz w:val="24"/>
                <w:highlight w:val="none"/>
                <w:lang w:val="en-US" w:eastAsia="zh-CN"/>
              </w:rPr>
              <w:t>，</w:t>
            </w:r>
            <w:r>
              <w:rPr>
                <w:rFonts w:hint="default" w:cs="宋体"/>
                <w:color w:val="auto"/>
                <w:kern w:val="0"/>
                <w:sz w:val="24"/>
                <w:highlight w:val="none"/>
                <w:lang w:val="en-US"/>
              </w:rPr>
              <w:t>详见图4-1。</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58"/>
              <w:gridCol w:w="3958"/>
            </w:tblGrid>
            <w:tr w14:paraId="569DF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3" w:hRule="atLeast"/>
                <w:jc w:val="center"/>
              </w:trPr>
              <w:tc>
                <w:tcPr>
                  <w:tcW w:w="2499" w:type="pct"/>
                  <w:noWrap w:val="0"/>
                  <w:vAlign w:val="center"/>
                </w:tcPr>
                <w:p w14:paraId="1A6EA52F">
                  <w:pPr>
                    <w:jc w:val="center"/>
                    <w:rPr>
                      <w:rFonts w:hint="eastAsia"/>
                      <w:color w:val="auto"/>
                      <w:sz w:val="24"/>
                    </w:rPr>
                  </w:pPr>
                  <w:r>
                    <w:rPr>
                      <w:rFonts w:hint="eastAsia"/>
                      <w:color w:val="auto"/>
                      <w:sz w:val="24"/>
                    </w:rPr>
                    <w:drawing>
                      <wp:inline distT="0" distB="0" distL="114300" distR="114300">
                        <wp:extent cx="2442210" cy="1548130"/>
                        <wp:effectExtent l="0" t="0" r="15240"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2442210" cy="1548130"/>
                                </a:xfrm>
                                <a:prstGeom prst="rect">
                                  <a:avLst/>
                                </a:prstGeom>
                                <a:noFill/>
                                <a:ln>
                                  <a:noFill/>
                                </a:ln>
                              </pic:spPr>
                            </pic:pic>
                          </a:graphicData>
                        </a:graphic>
                      </wp:inline>
                    </w:drawing>
                  </w:r>
                </w:p>
              </w:tc>
              <w:tc>
                <w:tcPr>
                  <w:tcW w:w="2500" w:type="pct"/>
                  <w:noWrap w:val="0"/>
                  <w:vAlign w:val="center"/>
                </w:tcPr>
                <w:p w14:paraId="639B6D10">
                  <w:pPr>
                    <w:jc w:val="center"/>
                    <w:rPr>
                      <w:rFonts w:hint="eastAsia"/>
                      <w:color w:val="auto"/>
                      <w:sz w:val="24"/>
                    </w:rPr>
                  </w:pPr>
                  <w:r>
                    <w:rPr>
                      <w:rFonts w:hint="eastAsia"/>
                      <w:color w:val="auto"/>
                      <w:sz w:val="24"/>
                    </w:rPr>
                    <w:drawing>
                      <wp:inline distT="0" distB="0" distL="114300" distR="114300">
                        <wp:extent cx="1767205" cy="1764030"/>
                        <wp:effectExtent l="0" t="0" r="444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1767205" cy="1764030"/>
                                </a:xfrm>
                                <a:prstGeom prst="rect">
                                  <a:avLst/>
                                </a:prstGeom>
                                <a:noFill/>
                                <a:ln>
                                  <a:noFill/>
                                </a:ln>
                              </pic:spPr>
                            </pic:pic>
                          </a:graphicData>
                        </a:graphic>
                      </wp:inline>
                    </w:drawing>
                  </w:r>
                </w:p>
              </w:tc>
            </w:tr>
            <w:tr w14:paraId="18209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99" w:type="pct"/>
                  <w:noWrap w:val="0"/>
                  <w:vAlign w:val="center"/>
                </w:tcPr>
                <w:p w14:paraId="02E3818A">
                  <w:pPr>
                    <w:jc w:val="center"/>
                    <w:rPr>
                      <w:rFonts w:hint="eastAsia"/>
                      <w:color w:val="auto"/>
                    </w:rPr>
                  </w:pPr>
                  <w:r>
                    <w:rPr>
                      <w:rFonts w:hint="eastAsia"/>
                      <w:color w:val="auto"/>
                    </w:rPr>
                    <w:t>危险废物贮存场所标识</w:t>
                  </w:r>
                </w:p>
              </w:tc>
              <w:tc>
                <w:tcPr>
                  <w:tcW w:w="2500" w:type="pct"/>
                  <w:noWrap w:val="0"/>
                  <w:vAlign w:val="center"/>
                </w:tcPr>
                <w:p w14:paraId="5AC5F2FA">
                  <w:pPr>
                    <w:jc w:val="center"/>
                    <w:rPr>
                      <w:rFonts w:hint="eastAsia"/>
                      <w:color w:val="auto"/>
                    </w:rPr>
                  </w:pPr>
                  <w:r>
                    <w:rPr>
                      <w:rFonts w:hint="eastAsia"/>
                      <w:color w:val="auto"/>
                    </w:rPr>
                    <w:t>危险废物标签标识</w:t>
                  </w:r>
                </w:p>
              </w:tc>
            </w:tr>
          </w:tbl>
          <w:p w14:paraId="35BC1EBA">
            <w:pPr>
              <w:spacing w:line="360" w:lineRule="auto"/>
              <w:jc w:val="center"/>
              <w:rPr>
                <w:b/>
                <w:color w:val="auto"/>
                <w:spacing w:val="-10"/>
                <w:sz w:val="24"/>
              </w:rPr>
            </w:pPr>
            <w:r>
              <w:rPr>
                <w:rFonts w:hint="eastAsia"/>
                <w:b/>
                <w:bCs/>
                <w:color w:val="auto"/>
                <w:sz w:val="24"/>
              </w:rPr>
              <w:t>图4-1  危险废物管理标识</w:t>
            </w:r>
          </w:p>
          <w:p w14:paraId="2BA9D2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rFonts w:hint="eastAsia"/>
                <w:b/>
                <w:bCs/>
                <w:color w:val="auto"/>
                <w:sz w:val="24"/>
              </w:rPr>
              <w:t>5、地下水、土壤</w:t>
            </w:r>
          </w:p>
          <w:p w14:paraId="2529564B">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（1）污染来源、类型及主要污染途径</w:t>
            </w:r>
          </w:p>
          <w:p w14:paraId="64472B4C">
            <w:pPr>
              <w:pStyle w:val="74"/>
              <w:adjustRightInd w:val="0"/>
              <w:snapToGrid w:val="0"/>
              <w:rPr>
                <w:rFonts w:hint="eastAsia" w:hAnsi="Times New Roman" w:eastAsia="宋体"/>
                <w:snapToGrid w:val="0"/>
                <w:color w:val="auto"/>
                <w:kern w:val="0"/>
                <w:szCs w:val="24"/>
                <w:lang w:eastAsia="zh-CN"/>
              </w:rPr>
            </w:pPr>
            <w:r>
              <w:rPr>
                <w:rFonts w:hint="eastAsia" w:hAnsi="Times New Roman"/>
                <w:snapToGrid w:val="0"/>
                <w:color w:val="auto"/>
                <w:kern w:val="0"/>
                <w:szCs w:val="24"/>
              </w:rPr>
              <w:t>本项目</w:t>
            </w:r>
            <w:r>
              <w:rPr>
                <w:rFonts w:hint="eastAsia" w:hAnsi="Times New Roman"/>
                <w:snapToGrid w:val="0"/>
                <w:color w:val="auto"/>
                <w:kern w:val="0"/>
                <w:szCs w:val="24"/>
                <w:lang w:val="en-US" w:eastAsia="zh-CN"/>
              </w:rPr>
              <w:t>原料存放区内异氰酸酯液态原辅料及机油、危废贮存库内</w:t>
            </w:r>
            <w:r>
              <w:rPr>
                <w:rFonts w:hint="eastAsia" w:hAnsi="Times New Roman"/>
                <w:snapToGrid w:val="0"/>
                <w:color w:val="auto"/>
                <w:kern w:val="0"/>
                <w:szCs w:val="24"/>
              </w:rPr>
              <w:t>废</w:t>
            </w:r>
            <w:r>
              <w:rPr>
                <w:rFonts w:hint="eastAsia" w:hAnsi="Times New Roman"/>
                <w:snapToGrid w:val="0"/>
                <w:color w:val="auto"/>
                <w:kern w:val="0"/>
                <w:szCs w:val="24"/>
                <w:lang w:val="en-US" w:eastAsia="zh-CN"/>
              </w:rPr>
              <w:t>机油等若存储不当发生</w:t>
            </w:r>
            <w:r>
              <w:rPr>
                <w:rFonts w:hint="eastAsia" w:hAnsi="Times New Roman"/>
                <w:snapToGrid w:val="0"/>
                <w:color w:val="auto"/>
                <w:kern w:val="0"/>
                <w:szCs w:val="24"/>
              </w:rPr>
              <w:t>泄漏，通过下渗污染土壤和地下水</w:t>
            </w:r>
            <w:r>
              <w:rPr>
                <w:rFonts w:hint="eastAsia" w:hAnsi="Times New Roman"/>
                <w:snapToGrid w:val="0"/>
                <w:color w:val="auto"/>
                <w:kern w:val="0"/>
                <w:szCs w:val="24"/>
                <w:lang w:eastAsia="zh-CN"/>
              </w:rPr>
              <w:t>。</w:t>
            </w:r>
          </w:p>
          <w:p w14:paraId="4A448252">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（2）防控措施</w:t>
            </w:r>
          </w:p>
          <w:p w14:paraId="48172FC6">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本项目主要污染单元为</w:t>
            </w:r>
            <w:r>
              <w:rPr>
                <w:rFonts w:hint="eastAsia" w:hAnsi="Times New Roman"/>
                <w:snapToGrid w:val="0"/>
                <w:color w:val="auto"/>
                <w:kern w:val="0"/>
                <w:szCs w:val="24"/>
                <w:lang w:eastAsia="zh-CN"/>
              </w:rPr>
              <w:t>危废贮存库</w:t>
            </w:r>
            <w:r>
              <w:rPr>
                <w:rFonts w:hint="eastAsia" w:hAnsi="Times New Roman"/>
                <w:snapToGrid w:val="0"/>
                <w:color w:val="auto"/>
                <w:kern w:val="0"/>
                <w:szCs w:val="24"/>
                <w:lang w:val="en-US" w:eastAsia="zh-CN"/>
              </w:rPr>
              <w:t>和原料存放区</w:t>
            </w:r>
            <w:r>
              <w:rPr>
                <w:rFonts w:hint="eastAsia" w:hAnsi="Times New Roman"/>
                <w:snapToGrid w:val="0"/>
                <w:color w:val="auto"/>
                <w:kern w:val="0"/>
                <w:szCs w:val="24"/>
              </w:rPr>
              <w:t>。要求企业通过</w:t>
            </w:r>
            <w:r>
              <w:rPr>
                <w:rFonts w:hint="eastAsia" w:hAnsi="Times New Roman"/>
                <w:snapToGrid w:val="0"/>
                <w:color w:val="auto"/>
                <w:kern w:val="0"/>
                <w:szCs w:val="24"/>
                <w:lang w:eastAsia="zh-CN"/>
              </w:rPr>
              <w:t>“</w:t>
            </w:r>
            <w:r>
              <w:rPr>
                <w:rFonts w:hint="eastAsia" w:hAnsi="Times New Roman"/>
                <w:snapToGrid w:val="0"/>
                <w:color w:val="auto"/>
                <w:kern w:val="0"/>
                <w:szCs w:val="24"/>
              </w:rPr>
              <w:t>源头控制，分区防治，应急响应</w:t>
            </w:r>
            <w:r>
              <w:rPr>
                <w:rFonts w:hint="eastAsia" w:hAnsi="Times New Roman"/>
                <w:snapToGrid w:val="0"/>
                <w:color w:val="auto"/>
                <w:kern w:val="0"/>
                <w:szCs w:val="24"/>
                <w:lang w:eastAsia="zh-CN"/>
              </w:rPr>
              <w:t>”</w:t>
            </w:r>
            <w:r>
              <w:rPr>
                <w:rFonts w:hint="eastAsia" w:hAnsi="Times New Roman"/>
                <w:snapToGrid w:val="0"/>
                <w:color w:val="auto"/>
                <w:kern w:val="0"/>
                <w:szCs w:val="24"/>
              </w:rPr>
              <w:t>及加强管理可避免地下水污染事故的发生。</w:t>
            </w:r>
          </w:p>
          <w:p w14:paraId="0285A4FF">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源头控制：</w:t>
            </w:r>
            <w:r>
              <w:rPr>
                <w:rFonts w:hAnsi="Times New Roman"/>
                <w:snapToGrid w:val="0"/>
                <w:color w:val="auto"/>
                <w:kern w:val="0"/>
                <w:szCs w:val="24"/>
              </w:rPr>
              <w:t>加强对</w:t>
            </w:r>
            <w:r>
              <w:rPr>
                <w:rFonts w:hint="eastAsia" w:hAnsi="Times New Roman"/>
                <w:snapToGrid w:val="0"/>
                <w:color w:val="auto"/>
                <w:kern w:val="0"/>
                <w:szCs w:val="24"/>
              </w:rPr>
              <w:t>原辅材料及危险废物</w:t>
            </w:r>
            <w:r>
              <w:rPr>
                <w:rFonts w:hAnsi="Times New Roman"/>
                <w:snapToGrid w:val="0"/>
                <w:color w:val="auto"/>
                <w:kern w:val="0"/>
                <w:szCs w:val="24"/>
              </w:rPr>
              <w:t>的管理</w:t>
            </w:r>
            <w:r>
              <w:rPr>
                <w:rFonts w:hint="eastAsia" w:hAnsi="Times New Roman"/>
                <w:snapToGrid w:val="0"/>
                <w:color w:val="auto"/>
                <w:kern w:val="0"/>
                <w:szCs w:val="24"/>
              </w:rPr>
              <w:t>，避免污染物跑、冒、滴、漏现象发生。</w:t>
            </w:r>
          </w:p>
          <w:p w14:paraId="4DAA12C4">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分区防治：危废贮存库作为重点关注单元，</w:t>
            </w:r>
            <w:r>
              <w:rPr>
                <w:rFonts w:hint="eastAsia" w:hAnsi="Times New Roman"/>
                <w:snapToGrid w:val="0"/>
                <w:color w:val="auto"/>
                <w:kern w:val="0"/>
                <w:szCs w:val="24"/>
                <w:lang w:val="en-US" w:eastAsia="zh-CN"/>
              </w:rPr>
              <w:t>企业应严格</w:t>
            </w:r>
            <w:r>
              <w:rPr>
                <w:rFonts w:hint="eastAsia" w:hAnsi="Times New Roman"/>
                <w:snapToGrid w:val="0"/>
                <w:color w:val="auto"/>
                <w:kern w:val="0"/>
                <w:szCs w:val="24"/>
              </w:rPr>
              <w:t>按照《危险废物贮存污染控制标准》（GB18597-2023）等要求进行重点防渗处理，等效黏土防渗层Mb≥6.0m，K≤1×10</w:t>
            </w:r>
            <w:r>
              <w:rPr>
                <w:rFonts w:hint="eastAsia" w:hAnsi="Times New Roman"/>
                <w:snapToGrid w:val="0"/>
                <w:color w:val="auto"/>
                <w:kern w:val="0"/>
                <w:szCs w:val="24"/>
                <w:vertAlign w:val="superscript"/>
              </w:rPr>
              <w:t>-7</w:t>
            </w:r>
            <w:r>
              <w:rPr>
                <w:rFonts w:hint="eastAsia" w:hAnsi="Times New Roman"/>
                <w:snapToGrid w:val="0"/>
                <w:color w:val="auto"/>
                <w:kern w:val="0"/>
                <w:szCs w:val="24"/>
              </w:rPr>
              <w:t>cm/s。原料暂存区位于生产车间内，企业应对其进行一般防渗或采取相关措施以达到一般防渗的效果，以防止液态原辅料泄漏导致土壤及地下水污染；</w:t>
            </w:r>
            <w:r>
              <w:rPr>
                <w:rFonts w:hAnsi="Times New Roman"/>
                <w:snapToGrid w:val="0"/>
                <w:color w:val="auto"/>
                <w:kern w:val="0"/>
                <w:szCs w:val="24"/>
              </w:rPr>
              <w:t>其他</w:t>
            </w:r>
            <w:r>
              <w:rPr>
                <w:rFonts w:hint="eastAsia" w:hAnsi="Times New Roman"/>
                <w:snapToGrid w:val="0"/>
                <w:color w:val="auto"/>
                <w:kern w:val="0"/>
                <w:szCs w:val="24"/>
              </w:rPr>
              <w:t>生产</w:t>
            </w:r>
            <w:r>
              <w:rPr>
                <w:rFonts w:hAnsi="Times New Roman"/>
                <w:snapToGrid w:val="0"/>
                <w:color w:val="auto"/>
                <w:kern w:val="0"/>
                <w:szCs w:val="24"/>
              </w:rPr>
              <w:t>区域进行简单防渗。</w:t>
            </w:r>
          </w:p>
          <w:p w14:paraId="61D78565">
            <w:pPr>
              <w:pStyle w:val="74"/>
              <w:adjustRightInd w:val="0"/>
              <w:snapToGrid w:val="0"/>
              <w:rPr>
                <w:rFonts w:hint="eastAsia" w:ascii="Times New Roman" w:hAnsi="Times New Roman" w:eastAsia="宋体" w:cs="Times New Roman"/>
                <w:snapToGrid w:val="0"/>
                <w:color w:val="auto"/>
                <w:kern w:val="0"/>
                <w:szCs w:val="24"/>
              </w:rPr>
            </w:pPr>
            <w:r>
              <w:rPr>
                <w:rFonts w:hint="eastAsia" w:ascii="Times New Roman" w:hAnsi="Times New Roman" w:eastAsia="宋体" w:cs="Times New Roman"/>
                <w:snapToGrid w:val="0"/>
                <w:color w:val="auto"/>
                <w:kern w:val="0"/>
                <w:szCs w:val="24"/>
              </w:rPr>
              <w:t>应急响应：发现发生泄漏后，应立即将泄漏设施内的物料转移至其他包装完好的容器中并进行紧急处置；及时向生态环境主管部门报告，随时就应急处置工作接受监督检查。</w:t>
            </w:r>
          </w:p>
          <w:p w14:paraId="5976C36E">
            <w:pPr>
              <w:pStyle w:val="74"/>
              <w:adjustRightInd w:val="0"/>
              <w:snapToGrid w:val="0"/>
              <w:rPr>
                <w:rFonts w:hint="eastAsia" w:ascii="Times New Roman" w:hAnsi="Times New Roman" w:eastAsia="宋体" w:cs="Times New Roman"/>
                <w:snapToGrid w:val="0"/>
                <w:color w:val="auto"/>
                <w:kern w:val="0"/>
                <w:szCs w:val="24"/>
              </w:rPr>
            </w:pPr>
            <w:r>
              <w:rPr>
                <w:rFonts w:hint="eastAsia" w:ascii="Times New Roman" w:hAnsi="Times New Roman" w:eastAsia="宋体" w:cs="Times New Roman"/>
                <w:snapToGrid w:val="0"/>
                <w:color w:val="auto"/>
                <w:kern w:val="0"/>
                <w:szCs w:val="24"/>
              </w:rPr>
              <w:t>经采取这些措施后，项目运营后不会对土壤及地下水环境产生影响</w:t>
            </w:r>
            <w:r>
              <w:rPr>
                <w:rFonts w:hint="eastAsia" w:ascii="Times New Roman" w:hAnsi="Times New Roman" w:eastAsia="宋体" w:cs="Times New Roman"/>
                <w:snapToGrid w:val="0"/>
                <w:color w:val="auto"/>
                <w:kern w:val="0"/>
                <w:szCs w:val="24"/>
                <w:lang w:eastAsia="zh-CN"/>
              </w:rPr>
              <w:t>，</w:t>
            </w:r>
            <w:r>
              <w:rPr>
                <w:rFonts w:hint="eastAsia" w:ascii="Times New Roman" w:hAnsi="Times New Roman" w:eastAsia="宋体" w:cs="Times New Roman"/>
                <w:snapToGrid w:val="0"/>
                <w:color w:val="auto"/>
                <w:kern w:val="0"/>
                <w:szCs w:val="24"/>
                <w:lang w:val="en-US" w:eastAsia="zh-CN"/>
              </w:rPr>
              <w:t>对</w:t>
            </w:r>
            <w:r>
              <w:rPr>
                <w:rFonts w:hint="eastAsia" w:hAnsi="Times New Roman" w:cs="Times New Roman"/>
                <w:snapToGrid w:val="0"/>
                <w:color w:val="auto"/>
                <w:kern w:val="0"/>
                <w:szCs w:val="24"/>
                <w:lang w:val="en-US" w:eastAsia="zh-CN"/>
              </w:rPr>
              <w:t>外</w:t>
            </w:r>
            <w:r>
              <w:rPr>
                <w:rFonts w:hint="eastAsia" w:ascii="Times New Roman" w:hAnsi="Times New Roman" w:eastAsia="宋体" w:cs="Times New Roman"/>
                <w:snapToGrid w:val="0"/>
                <w:color w:val="auto"/>
                <w:kern w:val="0"/>
                <w:szCs w:val="24"/>
                <w:lang w:val="en-US" w:eastAsia="zh-CN"/>
              </w:rPr>
              <w:t>环境影响较小</w:t>
            </w:r>
            <w:r>
              <w:rPr>
                <w:rFonts w:hint="eastAsia" w:ascii="Times New Roman" w:hAnsi="Times New Roman" w:eastAsia="宋体" w:cs="Times New Roman"/>
                <w:snapToGrid w:val="0"/>
                <w:color w:val="auto"/>
                <w:kern w:val="0"/>
                <w:szCs w:val="24"/>
              </w:rPr>
              <w:t>。</w:t>
            </w:r>
          </w:p>
          <w:p w14:paraId="0CE930FC">
            <w:pPr>
              <w:spacing w:line="360" w:lineRule="auto"/>
              <w:ind w:firstLine="482" w:firstLineChars="200"/>
              <w:rPr>
                <w:b/>
                <w:bCs/>
                <w:color w:val="auto"/>
                <w:sz w:val="24"/>
              </w:rPr>
            </w:pPr>
            <w:r>
              <w:rPr>
                <w:rFonts w:hint="eastAsia"/>
                <w:b/>
                <w:bCs/>
                <w:color w:val="auto"/>
                <w:sz w:val="24"/>
              </w:rPr>
              <w:t>6、环境风险</w:t>
            </w:r>
          </w:p>
          <w:p w14:paraId="71DEE3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bCs/>
                <w:color w:val="auto"/>
                <w:sz w:val="24"/>
              </w:rPr>
              <w:t>（1）</w:t>
            </w:r>
            <w:r>
              <w:rPr>
                <w:rFonts w:hint="eastAsia"/>
                <w:bCs/>
                <w:color w:val="auto"/>
                <w:sz w:val="24"/>
              </w:rPr>
              <w:t>危险物质</w:t>
            </w:r>
            <w:r>
              <w:rPr>
                <w:bCs/>
                <w:color w:val="auto"/>
                <w:sz w:val="24"/>
              </w:rPr>
              <w:t>识别</w:t>
            </w:r>
          </w:p>
          <w:p w14:paraId="4B62D9D9">
            <w:pPr>
              <w:adjustRightInd w:val="0"/>
              <w:snapToGrid w:val="0"/>
              <w:spacing w:line="360" w:lineRule="auto"/>
              <w:ind w:firstLine="480" w:firstLineChars="200"/>
              <w:rPr>
                <w:rFonts w:hint="eastAsia"/>
                <w:color w:val="auto"/>
                <w:sz w:val="24"/>
                <w:lang w:eastAsia="zh-CN"/>
              </w:rPr>
            </w:pPr>
            <w:r>
              <w:rPr>
                <w:bCs/>
                <w:color w:val="auto"/>
                <w:sz w:val="24"/>
              </w:rPr>
              <w:t>根据《建设项目环境风险评价技术导则》（HJ169-2018）</w:t>
            </w:r>
            <w:r>
              <w:rPr>
                <w:bCs/>
                <w:snapToGrid w:val="0"/>
                <w:color w:val="auto"/>
                <w:sz w:val="24"/>
              </w:rPr>
              <w:t>要求，</w:t>
            </w:r>
            <w:r>
              <w:rPr>
                <w:bCs/>
                <w:color w:val="auto"/>
                <w:sz w:val="24"/>
              </w:rPr>
              <w:t>对本项目使用的原辅料进行识别，</w:t>
            </w:r>
            <w:r>
              <w:rPr>
                <w:color w:val="auto"/>
                <w:sz w:val="24"/>
              </w:rPr>
              <w:t>本项目涉及的环境风险物质</w:t>
            </w:r>
            <w:r>
              <w:rPr>
                <w:rFonts w:hint="eastAsia"/>
                <w:color w:val="auto"/>
                <w:sz w:val="24"/>
                <w:lang w:val="en-US" w:eastAsia="zh-CN"/>
              </w:rPr>
              <w:t>主要</w:t>
            </w:r>
            <w:r>
              <w:rPr>
                <w:color w:val="auto"/>
                <w:sz w:val="24"/>
              </w:rPr>
              <w:t>为</w:t>
            </w:r>
            <w:r>
              <w:rPr>
                <w:rFonts w:hint="eastAsia"/>
                <w:color w:val="auto"/>
                <w:sz w:val="24"/>
              </w:rPr>
              <w:t>异氰酸酯</w:t>
            </w:r>
            <w:r>
              <w:rPr>
                <w:rFonts w:hint="eastAsia"/>
                <w:color w:val="auto"/>
                <w:sz w:val="24"/>
                <w:lang w:eastAsia="zh-CN"/>
              </w:rPr>
              <w:t>、</w:t>
            </w:r>
            <w:r>
              <w:rPr>
                <w:rFonts w:hint="eastAsia"/>
                <w:color w:val="auto"/>
                <w:sz w:val="24"/>
                <w:lang w:val="en-US" w:eastAsia="zh-CN"/>
              </w:rPr>
              <w:t>机油</w:t>
            </w:r>
            <w:r>
              <w:rPr>
                <w:rFonts w:hint="eastAsia"/>
                <w:color w:val="auto"/>
                <w:sz w:val="24"/>
              </w:rPr>
              <w:t>及</w:t>
            </w:r>
            <w:r>
              <w:rPr>
                <w:rFonts w:hint="eastAsia"/>
                <w:color w:val="auto"/>
                <w:sz w:val="24"/>
                <w:lang w:val="en-US" w:eastAsia="zh-CN"/>
              </w:rPr>
              <w:t>废机</w:t>
            </w:r>
            <w:r>
              <w:rPr>
                <w:rFonts w:hint="eastAsia"/>
                <w:color w:val="auto"/>
                <w:sz w:val="24"/>
              </w:rPr>
              <w:t>油</w:t>
            </w:r>
            <w:r>
              <w:rPr>
                <w:rFonts w:hint="eastAsia"/>
                <w:color w:val="auto"/>
                <w:sz w:val="24"/>
                <w:lang w:eastAsia="zh-CN"/>
              </w:rPr>
              <w:t>。</w:t>
            </w:r>
          </w:p>
          <w:p w14:paraId="05A4A028">
            <w:pPr>
              <w:adjustRightInd w:val="0"/>
              <w:snapToGrid w:val="0"/>
              <w:spacing w:line="360" w:lineRule="auto"/>
              <w:ind w:firstLine="480" w:firstLineChars="200"/>
              <w:rPr>
                <w:bCs/>
                <w:snapToGrid w:val="0"/>
                <w:color w:val="auto"/>
                <w:sz w:val="24"/>
              </w:rPr>
            </w:pPr>
            <w:r>
              <w:rPr>
                <w:rFonts w:hint="eastAsia"/>
                <w:color w:val="auto"/>
                <w:sz w:val="24"/>
                <w:lang w:val="en-US" w:eastAsia="zh-CN"/>
              </w:rPr>
              <w:t>根据企业提供的异氰酸酯监测报告，本项目所用异氰酸酯为</w:t>
            </w:r>
            <w:r>
              <w:rPr>
                <w:rFonts w:ascii="Segoe UI" w:hAnsi="Segoe UI" w:eastAsia="Segoe UI" w:cs="Segoe UI"/>
                <w:i w:val="0"/>
                <w:iCs w:val="0"/>
                <w:caps w:val="0"/>
                <w:color w:val="auto"/>
                <w:spacing w:val="0"/>
                <w:sz w:val="24"/>
                <w:szCs w:val="24"/>
                <w:shd w:val="clear" w:fill="FFFFFF"/>
              </w:rPr>
              <w:t>多亚甲基多苯基多异氰酸酯</w:t>
            </w:r>
            <w:r>
              <w:rPr>
                <w:rFonts w:hint="eastAsia"/>
                <w:color w:val="auto"/>
                <w:sz w:val="24"/>
                <w:lang w:val="en-US" w:eastAsia="zh-CN"/>
              </w:rPr>
              <w:t>，对照</w:t>
            </w:r>
            <w:r>
              <w:rPr>
                <w:color w:val="auto"/>
                <w:sz w:val="24"/>
              </w:rPr>
              <w:t>《建设项目环境风险评价技术导则》（HJ169-2018）</w:t>
            </w:r>
            <w:r>
              <w:rPr>
                <w:rFonts w:hint="eastAsia"/>
                <w:color w:val="auto"/>
                <w:sz w:val="24"/>
                <w:lang w:eastAsia="zh-CN"/>
              </w:rPr>
              <w:t>，</w:t>
            </w:r>
            <w:r>
              <w:rPr>
                <w:rFonts w:hint="eastAsia"/>
                <w:color w:val="auto"/>
                <w:sz w:val="24"/>
                <w:lang w:val="en-US" w:eastAsia="zh-CN"/>
              </w:rPr>
              <w:t>本项目所用异氰酸酯</w:t>
            </w:r>
            <w:r>
              <w:rPr>
                <w:rFonts w:ascii="Times New Roman" w:hAnsi="Times New Roman" w:cs="Times New Roman"/>
                <w:bCs/>
                <w:color w:val="auto"/>
                <w:sz w:val="24"/>
              </w:rPr>
              <w:t>参考健康危险急性毒性物质（类别2，类别3）推荐值为50t。废</w:t>
            </w:r>
            <w:r>
              <w:rPr>
                <w:rFonts w:hint="eastAsia" w:ascii="Times New Roman" w:hAnsi="Times New Roman" w:cs="Times New Roman"/>
                <w:bCs/>
                <w:color w:val="auto"/>
                <w:sz w:val="24"/>
                <w:lang w:val="en-US" w:eastAsia="zh-CN"/>
              </w:rPr>
              <w:t>机</w:t>
            </w:r>
            <w:r>
              <w:rPr>
                <w:rFonts w:ascii="Times New Roman" w:hAnsi="Times New Roman" w:cs="Times New Roman"/>
                <w:bCs/>
                <w:color w:val="auto"/>
                <w:sz w:val="24"/>
              </w:rPr>
              <w:t>油参考健康危险急性毒性物质（类别2，类别3）推荐值为50t。风险物质存在量及临界量见下表：</w:t>
            </w:r>
          </w:p>
          <w:p w14:paraId="715636AC">
            <w:pPr>
              <w:adjustRightInd w:val="0"/>
              <w:snapToGrid w:val="0"/>
              <w:jc w:val="center"/>
              <w:rPr>
                <w:rFonts w:eastAsia="黑体"/>
                <w:color w:val="auto"/>
                <w:sz w:val="24"/>
                <w:szCs w:val="20"/>
              </w:rPr>
            </w:pPr>
            <w:r>
              <w:rPr>
                <w:b/>
                <w:color w:val="auto"/>
                <w:sz w:val="24"/>
              </w:rPr>
              <w:t>表4-</w:t>
            </w:r>
            <w:r>
              <w:rPr>
                <w:rFonts w:hint="eastAsia"/>
                <w:b/>
                <w:color w:val="auto"/>
                <w:sz w:val="24"/>
              </w:rPr>
              <w:t>1</w:t>
            </w:r>
            <w:r>
              <w:rPr>
                <w:rFonts w:hint="eastAsia"/>
                <w:b/>
                <w:color w:val="auto"/>
                <w:sz w:val="24"/>
                <w:lang w:val="en-US" w:eastAsia="zh-CN"/>
              </w:rPr>
              <w:t>1</w:t>
            </w:r>
            <w:r>
              <w:rPr>
                <w:b/>
                <w:color w:val="auto"/>
                <w:sz w:val="24"/>
              </w:rPr>
              <w:t xml:space="preserve"> </w:t>
            </w:r>
            <w:r>
              <w:rPr>
                <w:rFonts w:hint="eastAsia"/>
                <w:b/>
                <w:color w:val="auto"/>
                <w:sz w:val="24"/>
              </w:rPr>
              <w:t xml:space="preserve"> 危险物质</w:t>
            </w:r>
            <w:r>
              <w:rPr>
                <w:b/>
                <w:color w:val="auto"/>
                <w:sz w:val="24"/>
              </w:rPr>
              <w:t>存在量一览表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1939"/>
              <w:gridCol w:w="1944"/>
              <w:gridCol w:w="1939"/>
            </w:tblGrid>
            <w:tr w14:paraId="3C6CF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6DC4B0C3">
                  <w:pPr>
                    <w:adjustRightInd w:val="0"/>
                    <w:snapToGrid w:val="0"/>
                    <w:jc w:val="center"/>
                    <w:rPr>
                      <w:b/>
                      <w:color w:val="auto"/>
                      <w:kern w:val="21"/>
                      <w:szCs w:val="21"/>
                    </w:rPr>
                  </w:pPr>
                  <w:r>
                    <w:rPr>
                      <w:b/>
                      <w:color w:val="auto"/>
                      <w:kern w:val="21"/>
                      <w:szCs w:val="21"/>
                    </w:rPr>
                    <w:t>类别</w:t>
                  </w:r>
                </w:p>
              </w:tc>
              <w:tc>
                <w:tcPr>
                  <w:tcW w:w="1220" w:type="pct"/>
                  <w:vAlign w:val="center"/>
                </w:tcPr>
                <w:p w14:paraId="50796BA8">
                  <w:pPr>
                    <w:adjustRightInd w:val="0"/>
                    <w:snapToGrid w:val="0"/>
                    <w:jc w:val="center"/>
                    <w:rPr>
                      <w:b/>
                      <w:color w:val="auto"/>
                      <w:szCs w:val="21"/>
                    </w:rPr>
                  </w:pPr>
                  <w:r>
                    <w:rPr>
                      <w:b/>
                      <w:color w:val="auto"/>
                      <w:kern w:val="21"/>
                      <w:szCs w:val="21"/>
                    </w:rPr>
                    <w:t>最大贮存量</w:t>
                  </w:r>
                  <w:r>
                    <w:rPr>
                      <w:rFonts w:hint="eastAsia"/>
                      <w:b/>
                      <w:color w:val="auto"/>
                      <w:szCs w:val="21"/>
                    </w:rPr>
                    <w:t>t</w:t>
                  </w:r>
                </w:p>
              </w:tc>
              <w:tc>
                <w:tcPr>
                  <w:tcW w:w="1223" w:type="pct"/>
                  <w:vAlign w:val="center"/>
                </w:tcPr>
                <w:p w14:paraId="11520A26">
                  <w:pPr>
                    <w:adjustRightInd w:val="0"/>
                    <w:snapToGrid w:val="0"/>
                    <w:jc w:val="center"/>
                    <w:rPr>
                      <w:b/>
                      <w:color w:val="auto"/>
                      <w:kern w:val="21"/>
                      <w:szCs w:val="21"/>
                    </w:rPr>
                  </w:pPr>
                  <w:r>
                    <w:rPr>
                      <w:b/>
                      <w:color w:val="auto"/>
                      <w:kern w:val="21"/>
                      <w:szCs w:val="21"/>
                    </w:rPr>
                    <w:t>临界量</w:t>
                  </w:r>
                  <w:r>
                    <w:rPr>
                      <w:b/>
                      <w:color w:val="auto"/>
                      <w:szCs w:val="21"/>
                    </w:rPr>
                    <w:t>t</w:t>
                  </w:r>
                </w:p>
              </w:tc>
              <w:tc>
                <w:tcPr>
                  <w:tcW w:w="1220" w:type="pct"/>
                  <w:vAlign w:val="center"/>
                </w:tcPr>
                <w:p w14:paraId="5BB120BE">
                  <w:pPr>
                    <w:adjustRightInd w:val="0"/>
                    <w:snapToGrid w:val="0"/>
                    <w:jc w:val="center"/>
                    <w:rPr>
                      <w:b/>
                      <w:color w:val="auto"/>
                      <w:kern w:val="21"/>
                      <w:szCs w:val="21"/>
                    </w:rPr>
                  </w:pPr>
                  <w:r>
                    <w:rPr>
                      <w:rFonts w:hint="eastAsia"/>
                      <w:b/>
                      <w:color w:val="auto"/>
                      <w:kern w:val="21"/>
                      <w:szCs w:val="21"/>
                    </w:rPr>
                    <w:t>Q值</w:t>
                  </w:r>
                </w:p>
              </w:tc>
            </w:tr>
            <w:tr w14:paraId="261BD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26021518">
                  <w:pPr>
                    <w:adjustRightInd w:val="0"/>
                    <w:snapToGrid w:val="0"/>
                    <w:jc w:val="center"/>
                    <w:rPr>
                      <w:rFonts w:hint="eastAsia"/>
                      <w:bCs/>
                      <w:color w:val="auto"/>
                      <w:kern w:val="21"/>
                      <w:szCs w:val="21"/>
                    </w:rPr>
                  </w:pPr>
                  <w:r>
                    <w:rPr>
                      <w:rFonts w:hint="eastAsia"/>
                      <w:bCs/>
                      <w:color w:val="auto"/>
                      <w:kern w:val="21"/>
                      <w:szCs w:val="21"/>
                    </w:rPr>
                    <w:t>异氰酸酯</w:t>
                  </w:r>
                </w:p>
              </w:tc>
              <w:tc>
                <w:tcPr>
                  <w:tcW w:w="1220" w:type="pct"/>
                  <w:vAlign w:val="center"/>
                </w:tcPr>
                <w:p w14:paraId="23D796AF">
                  <w:pPr>
                    <w:adjustRightInd w:val="0"/>
                    <w:snapToGrid w:val="0"/>
                    <w:jc w:val="center"/>
                    <w:rPr>
                      <w:rFonts w:hint="eastAsia" w:eastAsia="宋体"/>
                      <w:bCs/>
                      <w:color w:val="auto"/>
                      <w:kern w:val="21"/>
                      <w:szCs w:val="21"/>
                      <w:lang w:val="en-US" w:eastAsia="zh-CN"/>
                    </w:rPr>
                  </w:pPr>
                  <w:r>
                    <w:rPr>
                      <w:rFonts w:hint="eastAsia"/>
                      <w:bCs/>
                      <w:color w:val="auto"/>
                      <w:kern w:val="21"/>
                      <w:szCs w:val="21"/>
                      <w:lang w:val="en-US" w:eastAsia="zh-CN"/>
                    </w:rPr>
                    <w:t>3</w:t>
                  </w:r>
                </w:p>
              </w:tc>
              <w:tc>
                <w:tcPr>
                  <w:tcW w:w="1223" w:type="pct"/>
                  <w:vAlign w:val="center"/>
                </w:tcPr>
                <w:p w14:paraId="5E44FA03">
                  <w:pPr>
                    <w:adjustRightInd w:val="0"/>
                    <w:snapToGrid w:val="0"/>
                    <w:jc w:val="center"/>
                    <w:rPr>
                      <w:rFonts w:hint="default" w:eastAsia="宋体"/>
                      <w:bCs/>
                      <w:color w:val="auto"/>
                      <w:kern w:val="21"/>
                      <w:szCs w:val="21"/>
                      <w:lang w:val="en-US" w:eastAsia="zh-CN"/>
                    </w:rPr>
                  </w:pPr>
                  <w:r>
                    <w:rPr>
                      <w:rFonts w:hint="eastAsia"/>
                      <w:bCs/>
                      <w:color w:val="auto"/>
                      <w:kern w:val="21"/>
                      <w:szCs w:val="21"/>
                      <w:lang w:val="en-US" w:eastAsia="zh-CN"/>
                    </w:rPr>
                    <w:t>50</w:t>
                  </w:r>
                </w:p>
              </w:tc>
              <w:tc>
                <w:tcPr>
                  <w:tcW w:w="1220" w:type="pct"/>
                  <w:vAlign w:val="center"/>
                </w:tcPr>
                <w:p w14:paraId="3842AF96">
                  <w:pPr>
                    <w:adjustRightInd w:val="0"/>
                    <w:snapToGrid w:val="0"/>
                    <w:jc w:val="center"/>
                    <w:rPr>
                      <w:rFonts w:hint="default" w:eastAsia="宋体"/>
                      <w:bCs/>
                      <w:color w:val="auto"/>
                      <w:kern w:val="21"/>
                      <w:szCs w:val="21"/>
                      <w:lang w:val="en-US" w:eastAsia="zh-CN"/>
                    </w:rPr>
                  </w:pPr>
                  <w:r>
                    <w:rPr>
                      <w:rFonts w:hint="eastAsia"/>
                      <w:bCs/>
                      <w:color w:val="auto"/>
                      <w:kern w:val="21"/>
                      <w:szCs w:val="21"/>
                      <w:lang w:val="en-US" w:eastAsia="zh-CN"/>
                    </w:rPr>
                    <w:t>0.06</w:t>
                  </w:r>
                </w:p>
              </w:tc>
            </w:tr>
            <w:tr w14:paraId="32B2C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5AE79FC2">
                  <w:pPr>
                    <w:adjustRightInd w:val="0"/>
                    <w:snapToGrid w:val="0"/>
                    <w:jc w:val="center"/>
                    <w:rPr>
                      <w:bCs/>
                      <w:color w:val="auto"/>
                      <w:kern w:val="21"/>
                      <w:szCs w:val="21"/>
                    </w:rPr>
                  </w:pPr>
                  <w:r>
                    <w:rPr>
                      <w:rFonts w:hint="eastAsia"/>
                      <w:bCs/>
                      <w:color w:val="auto"/>
                      <w:kern w:val="21"/>
                      <w:szCs w:val="21"/>
                    </w:rPr>
                    <w:t>机油</w:t>
                  </w:r>
                </w:p>
              </w:tc>
              <w:tc>
                <w:tcPr>
                  <w:tcW w:w="1220" w:type="pct"/>
                  <w:vAlign w:val="center"/>
                </w:tcPr>
                <w:p w14:paraId="48154D47">
                  <w:pPr>
                    <w:adjustRightInd w:val="0"/>
                    <w:snapToGrid w:val="0"/>
                    <w:jc w:val="center"/>
                    <w:rPr>
                      <w:rFonts w:hint="eastAsia" w:eastAsia="宋体"/>
                      <w:bCs/>
                      <w:color w:val="auto"/>
                      <w:kern w:val="21"/>
                      <w:szCs w:val="21"/>
                      <w:lang w:val="en-US" w:eastAsia="zh-CN"/>
                    </w:rPr>
                  </w:pPr>
                  <w:r>
                    <w:rPr>
                      <w:rFonts w:hint="eastAsia"/>
                      <w:bCs/>
                      <w:color w:val="auto"/>
                      <w:kern w:val="21"/>
                      <w:szCs w:val="21"/>
                    </w:rPr>
                    <w:t>0.</w:t>
                  </w:r>
                  <w:r>
                    <w:rPr>
                      <w:rFonts w:hint="eastAsia"/>
                      <w:bCs/>
                      <w:color w:val="auto"/>
                      <w:kern w:val="21"/>
                      <w:szCs w:val="21"/>
                      <w:lang w:val="en-US" w:eastAsia="zh-CN"/>
                    </w:rPr>
                    <w:t>5</w:t>
                  </w:r>
                </w:p>
              </w:tc>
              <w:tc>
                <w:tcPr>
                  <w:tcW w:w="1223" w:type="pct"/>
                  <w:vAlign w:val="center"/>
                </w:tcPr>
                <w:p w14:paraId="6A1DDD13">
                  <w:pPr>
                    <w:adjustRightInd w:val="0"/>
                    <w:snapToGrid w:val="0"/>
                    <w:jc w:val="center"/>
                    <w:rPr>
                      <w:bCs/>
                      <w:color w:val="auto"/>
                      <w:kern w:val="21"/>
                      <w:szCs w:val="21"/>
                    </w:rPr>
                  </w:pPr>
                  <w:r>
                    <w:rPr>
                      <w:rFonts w:hint="eastAsia"/>
                      <w:bCs/>
                      <w:color w:val="auto"/>
                      <w:kern w:val="21"/>
                      <w:szCs w:val="21"/>
                    </w:rPr>
                    <w:t>2500</w:t>
                  </w:r>
                </w:p>
              </w:tc>
              <w:tc>
                <w:tcPr>
                  <w:tcW w:w="1220" w:type="pct"/>
                  <w:vAlign w:val="center"/>
                </w:tcPr>
                <w:p w14:paraId="71B09315">
                  <w:pPr>
                    <w:adjustRightInd w:val="0"/>
                    <w:snapToGrid w:val="0"/>
                    <w:jc w:val="center"/>
                    <w:rPr>
                      <w:rFonts w:hint="eastAsia" w:eastAsia="宋体"/>
                      <w:bCs/>
                      <w:color w:val="auto"/>
                      <w:kern w:val="21"/>
                      <w:szCs w:val="21"/>
                      <w:lang w:eastAsia="zh-CN"/>
                    </w:rPr>
                  </w:pPr>
                  <w:r>
                    <w:rPr>
                      <w:rFonts w:hint="eastAsia"/>
                      <w:bCs/>
                      <w:color w:val="auto"/>
                      <w:kern w:val="21"/>
                      <w:szCs w:val="21"/>
                      <w:lang w:val="en-US" w:eastAsia="zh-CN"/>
                    </w:rPr>
                    <w:t>2</w:t>
                  </w:r>
                  <w:r>
                    <w:rPr>
                      <w:rFonts w:hint="eastAsia"/>
                      <w:bCs/>
                      <w:color w:val="auto"/>
                      <w:kern w:val="21"/>
                      <w:szCs w:val="21"/>
                    </w:rPr>
                    <w:t>×10</w:t>
                  </w:r>
                  <w:r>
                    <w:rPr>
                      <w:rFonts w:hint="eastAsia"/>
                      <w:bCs/>
                      <w:color w:val="auto"/>
                      <w:kern w:val="21"/>
                      <w:szCs w:val="21"/>
                      <w:vertAlign w:val="superscript"/>
                    </w:rPr>
                    <w:t>-</w:t>
                  </w:r>
                  <w:r>
                    <w:rPr>
                      <w:rFonts w:hint="eastAsia"/>
                      <w:bCs/>
                      <w:color w:val="auto"/>
                      <w:kern w:val="21"/>
                      <w:szCs w:val="21"/>
                      <w:vertAlign w:val="superscript"/>
                      <w:lang w:val="en-US" w:eastAsia="zh-CN"/>
                    </w:rPr>
                    <w:t>4</w:t>
                  </w:r>
                </w:p>
              </w:tc>
            </w:tr>
            <w:tr w14:paraId="33BBF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530C3919">
                  <w:pPr>
                    <w:adjustRightInd w:val="0"/>
                    <w:snapToGrid w:val="0"/>
                    <w:jc w:val="center"/>
                    <w:rPr>
                      <w:bCs/>
                      <w:color w:val="auto"/>
                      <w:kern w:val="21"/>
                      <w:szCs w:val="21"/>
                    </w:rPr>
                  </w:pPr>
                  <w:r>
                    <w:rPr>
                      <w:rFonts w:hint="eastAsia"/>
                      <w:bCs/>
                      <w:color w:val="auto"/>
                      <w:kern w:val="21"/>
                      <w:szCs w:val="21"/>
                    </w:rPr>
                    <w:t>废机油</w:t>
                  </w:r>
                </w:p>
              </w:tc>
              <w:tc>
                <w:tcPr>
                  <w:tcW w:w="1220" w:type="pct"/>
                  <w:vAlign w:val="center"/>
                </w:tcPr>
                <w:p w14:paraId="43439FA5">
                  <w:pPr>
                    <w:adjustRightInd w:val="0"/>
                    <w:snapToGrid w:val="0"/>
                    <w:jc w:val="center"/>
                    <w:rPr>
                      <w:rFonts w:hint="eastAsia" w:eastAsia="宋体"/>
                      <w:bCs/>
                      <w:color w:val="auto"/>
                      <w:kern w:val="21"/>
                      <w:szCs w:val="21"/>
                      <w:lang w:val="en-US" w:eastAsia="zh-CN"/>
                    </w:rPr>
                  </w:pPr>
                  <w:r>
                    <w:rPr>
                      <w:rFonts w:hint="eastAsia"/>
                      <w:bCs/>
                      <w:color w:val="auto"/>
                      <w:kern w:val="21"/>
                      <w:szCs w:val="21"/>
                    </w:rPr>
                    <w:t>0.</w:t>
                  </w:r>
                  <w:r>
                    <w:rPr>
                      <w:rFonts w:hint="eastAsia"/>
                      <w:bCs/>
                      <w:color w:val="auto"/>
                      <w:kern w:val="21"/>
                      <w:szCs w:val="21"/>
                      <w:lang w:val="en-US" w:eastAsia="zh-CN"/>
                    </w:rPr>
                    <w:t>5</w:t>
                  </w:r>
                </w:p>
              </w:tc>
              <w:tc>
                <w:tcPr>
                  <w:tcW w:w="1223" w:type="pct"/>
                  <w:vAlign w:val="center"/>
                </w:tcPr>
                <w:p w14:paraId="0DCEC62D">
                  <w:pPr>
                    <w:adjustRightInd w:val="0"/>
                    <w:snapToGrid w:val="0"/>
                    <w:jc w:val="center"/>
                    <w:rPr>
                      <w:bCs/>
                      <w:color w:val="auto"/>
                      <w:kern w:val="21"/>
                      <w:szCs w:val="21"/>
                    </w:rPr>
                  </w:pPr>
                  <w:r>
                    <w:rPr>
                      <w:rFonts w:hint="eastAsia"/>
                      <w:bCs/>
                      <w:color w:val="auto"/>
                      <w:kern w:val="21"/>
                      <w:szCs w:val="21"/>
                    </w:rPr>
                    <w:t>50</w:t>
                  </w:r>
                </w:p>
              </w:tc>
              <w:tc>
                <w:tcPr>
                  <w:tcW w:w="1220" w:type="pct"/>
                  <w:vAlign w:val="center"/>
                </w:tcPr>
                <w:p w14:paraId="33A7B8FB">
                  <w:pPr>
                    <w:adjustRightInd w:val="0"/>
                    <w:snapToGrid w:val="0"/>
                    <w:jc w:val="center"/>
                    <w:rPr>
                      <w:rFonts w:hint="eastAsia" w:eastAsia="宋体"/>
                      <w:bCs/>
                      <w:color w:val="auto"/>
                      <w:kern w:val="21"/>
                      <w:szCs w:val="21"/>
                      <w:lang w:val="en-US" w:eastAsia="zh-CN"/>
                    </w:rPr>
                  </w:pPr>
                  <w:r>
                    <w:rPr>
                      <w:rFonts w:hint="eastAsia"/>
                      <w:bCs/>
                      <w:color w:val="auto"/>
                      <w:kern w:val="21"/>
                      <w:szCs w:val="21"/>
                    </w:rPr>
                    <w:t>0.0</w:t>
                  </w:r>
                  <w:r>
                    <w:rPr>
                      <w:rFonts w:hint="eastAsia"/>
                      <w:bCs/>
                      <w:color w:val="auto"/>
                      <w:kern w:val="21"/>
                      <w:szCs w:val="21"/>
                      <w:lang w:val="en-US" w:eastAsia="zh-CN"/>
                    </w:rPr>
                    <w:t>1</w:t>
                  </w:r>
                </w:p>
              </w:tc>
            </w:tr>
            <w:tr w14:paraId="7A819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9" w:type="pct"/>
                  <w:gridSpan w:val="3"/>
                  <w:vAlign w:val="center"/>
                </w:tcPr>
                <w:p w14:paraId="294C33DC">
                  <w:pPr>
                    <w:adjustRightInd w:val="0"/>
                    <w:snapToGrid w:val="0"/>
                    <w:jc w:val="center"/>
                    <w:rPr>
                      <w:bCs/>
                      <w:color w:val="auto"/>
                      <w:kern w:val="21"/>
                      <w:szCs w:val="21"/>
                    </w:rPr>
                  </w:pPr>
                  <w:r>
                    <w:rPr>
                      <w:rFonts w:hint="eastAsia"/>
                      <w:bCs/>
                      <w:color w:val="auto"/>
                      <w:kern w:val="21"/>
                      <w:szCs w:val="21"/>
                    </w:rPr>
                    <w:t>总计</w:t>
                  </w:r>
                </w:p>
              </w:tc>
              <w:tc>
                <w:tcPr>
                  <w:tcW w:w="1220" w:type="pct"/>
                  <w:vAlign w:val="center"/>
                </w:tcPr>
                <w:p w14:paraId="4A15A240">
                  <w:pPr>
                    <w:adjustRightInd w:val="0"/>
                    <w:snapToGrid w:val="0"/>
                    <w:jc w:val="center"/>
                    <w:rPr>
                      <w:rFonts w:hint="default" w:eastAsia="宋体"/>
                      <w:bCs/>
                      <w:color w:val="auto"/>
                      <w:kern w:val="21"/>
                      <w:szCs w:val="21"/>
                      <w:lang w:val="en-US" w:eastAsia="zh-CN"/>
                    </w:rPr>
                  </w:pPr>
                  <w:r>
                    <w:rPr>
                      <w:rFonts w:hint="eastAsia"/>
                      <w:bCs/>
                      <w:color w:val="auto"/>
                      <w:kern w:val="21"/>
                      <w:szCs w:val="21"/>
                    </w:rPr>
                    <w:t>0.0</w:t>
                  </w:r>
                  <w:r>
                    <w:rPr>
                      <w:rFonts w:hint="eastAsia"/>
                      <w:bCs/>
                      <w:color w:val="auto"/>
                      <w:kern w:val="21"/>
                      <w:szCs w:val="21"/>
                      <w:lang w:val="en-US" w:eastAsia="zh-CN"/>
                    </w:rPr>
                    <w:t>702</w:t>
                  </w:r>
                </w:p>
              </w:tc>
            </w:tr>
          </w:tbl>
          <w:p w14:paraId="72662D21">
            <w:pPr>
              <w:spacing w:before="120" w:beforeLines="50" w:line="360" w:lineRule="auto"/>
              <w:ind w:firstLine="480" w:firstLineChars="200"/>
              <w:rPr>
                <w:bCs/>
                <w:color w:val="auto"/>
                <w:sz w:val="24"/>
              </w:rPr>
            </w:pPr>
            <w:r>
              <w:rPr>
                <w:bCs/>
                <w:color w:val="auto"/>
                <w:sz w:val="24"/>
              </w:rPr>
              <w:t>经计算，本项目Q=</w:t>
            </w:r>
            <w:r>
              <w:rPr>
                <w:rFonts w:hint="eastAsia"/>
                <w:bCs/>
                <w:color w:val="auto"/>
                <w:sz w:val="24"/>
              </w:rPr>
              <w:t>0.0</w:t>
            </w:r>
            <w:r>
              <w:rPr>
                <w:rFonts w:hint="eastAsia"/>
                <w:bCs/>
                <w:color w:val="auto"/>
                <w:sz w:val="24"/>
                <w:lang w:val="en-US" w:eastAsia="zh-CN"/>
              </w:rPr>
              <w:t>702</w:t>
            </w:r>
            <w:r>
              <w:rPr>
                <w:bCs/>
                <w:color w:val="auto"/>
                <w:sz w:val="24"/>
              </w:rPr>
              <w:t>＜1，确定本项目环境风险潜势为I，不存在重大危险源。</w:t>
            </w:r>
          </w:p>
          <w:p w14:paraId="476EACC3">
            <w:pPr>
              <w:spacing w:line="360" w:lineRule="auto"/>
              <w:ind w:firstLine="480" w:firstLineChars="200"/>
              <w:rPr>
                <w:color w:val="auto"/>
                <w:sz w:val="24"/>
              </w:rPr>
            </w:pPr>
            <w:r>
              <w:rPr>
                <w:rFonts w:hint="eastAsia"/>
                <w:color w:val="auto"/>
                <w:sz w:val="24"/>
              </w:rPr>
              <w:t>（2）环境风险分析</w:t>
            </w:r>
          </w:p>
          <w:p w14:paraId="13F9279E">
            <w:pPr>
              <w:adjustRightInd w:val="0"/>
              <w:snapToGrid w:val="0"/>
              <w:spacing w:line="360" w:lineRule="auto"/>
              <w:ind w:firstLine="480" w:firstLineChars="200"/>
              <w:rPr>
                <w:rFonts w:hint="eastAsia"/>
                <w:color w:val="auto"/>
                <w:sz w:val="24"/>
              </w:rPr>
            </w:pPr>
            <w:r>
              <w:rPr>
                <w:rFonts w:hint="eastAsia"/>
                <w:color w:val="auto"/>
                <w:sz w:val="24"/>
              </w:rPr>
              <w:t>①本项目所涉及异氰酸酯</w:t>
            </w:r>
            <w:r>
              <w:rPr>
                <w:rFonts w:hint="eastAsia"/>
                <w:color w:val="auto"/>
                <w:sz w:val="24"/>
                <w:lang w:eastAsia="zh-CN"/>
              </w:rPr>
              <w:t>、</w:t>
            </w:r>
            <w:r>
              <w:rPr>
                <w:rFonts w:hint="eastAsia"/>
                <w:color w:val="auto"/>
                <w:sz w:val="24"/>
                <w:lang w:val="en-US" w:eastAsia="zh-CN"/>
              </w:rPr>
              <w:t>机油</w:t>
            </w:r>
            <w:r>
              <w:rPr>
                <w:rFonts w:hint="eastAsia"/>
                <w:color w:val="auto"/>
                <w:sz w:val="24"/>
              </w:rPr>
              <w:t>及废</w:t>
            </w:r>
            <w:r>
              <w:rPr>
                <w:rFonts w:hint="eastAsia"/>
                <w:color w:val="auto"/>
                <w:sz w:val="24"/>
                <w:lang w:val="en-US" w:eastAsia="zh-CN"/>
              </w:rPr>
              <w:t>机</w:t>
            </w:r>
            <w:r>
              <w:rPr>
                <w:rFonts w:hint="eastAsia"/>
                <w:color w:val="auto"/>
                <w:sz w:val="24"/>
              </w:rPr>
              <w:t>油在储存过程中若操作不当发生泄漏，可能会污染所在地的土壤环境和水环境。</w:t>
            </w:r>
          </w:p>
          <w:p w14:paraId="038209AD">
            <w:pPr>
              <w:adjustRightInd w:val="0"/>
              <w:snapToGrid w:val="0"/>
              <w:spacing w:line="360" w:lineRule="auto"/>
              <w:ind w:firstLine="480" w:firstLineChars="200"/>
              <w:rPr>
                <w:rFonts w:hint="eastAsia"/>
                <w:color w:val="auto"/>
                <w:sz w:val="24"/>
              </w:rPr>
            </w:pPr>
            <w:r>
              <w:rPr>
                <w:rFonts w:hint="eastAsia"/>
                <w:color w:val="auto"/>
                <w:sz w:val="24"/>
              </w:rPr>
              <w:t>②油类物质泄漏后遇明火或高温高压后燃烧产生的次生大气污染物。风险物质泄漏后，遇明火或高温高压燃烧或爆炸后产生的烟尘、一氧化碳、氮氧化物等次生大气污染物</w:t>
            </w:r>
            <w:r>
              <w:rPr>
                <w:rFonts w:hint="eastAsia"/>
                <w:color w:val="auto"/>
                <w:sz w:val="24"/>
                <w:lang w:eastAsia="zh-CN"/>
              </w:rPr>
              <w:t>，</w:t>
            </w:r>
            <w:r>
              <w:rPr>
                <w:rFonts w:hint="eastAsia"/>
                <w:color w:val="auto"/>
                <w:sz w:val="24"/>
              </w:rPr>
              <w:t>对周围环境空气会产生一定的影响。</w:t>
            </w:r>
          </w:p>
          <w:p w14:paraId="150AFDB0">
            <w:pPr>
              <w:adjustRightInd w:val="0"/>
              <w:snapToGrid w:val="0"/>
              <w:spacing w:line="360" w:lineRule="auto"/>
              <w:ind w:firstLine="480" w:firstLineChars="200"/>
              <w:rPr>
                <w:rFonts w:hint="eastAsia"/>
                <w:color w:val="auto"/>
                <w:sz w:val="24"/>
                <w:lang w:eastAsia="zh-CN"/>
              </w:rPr>
            </w:pPr>
            <w:r>
              <w:rPr>
                <w:rFonts w:hint="eastAsia"/>
                <w:color w:val="auto"/>
                <w:sz w:val="24"/>
                <w:lang w:val="en-US" w:eastAsia="zh-CN"/>
              </w:rPr>
              <w:t>③运行期间</w:t>
            </w:r>
            <w:r>
              <w:rPr>
                <w:rFonts w:hint="eastAsia"/>
                <w:color w:val="auto"/>
                <w:sz w:val="24"/>
              </w:rPr>
              <w:t>废气治理设施故障情况下会造成废气非正常排放</w:t>
            </w:r>
            <w:r>
              <w:rPr>
                <w:rFonts w:hint="eastAsia"/>
                <w:color w:val="auto"/>
                <w:sz w:val="24"/>
                <w:lang w:eastAsia="zh-CN"/>
              </w:rPr>
              <w:t>，</w:t>
            </w:r>
            <w:r>
              <w:rPr>
                <w:rFonts w:hint="eastAsia"/>
                <w:color w:val="auto"/>
                <w:sz w:val="24"/>
                <w:lang w:val="en-US" w:eastAsia="zh-CN"/>
              </w:rPr>
              <w:t>会污染所在地的大气环境</w:t>
            </w:r>
            <w:r>
              <w:rPr>
                <w:rFonts w:hint="eastAsia"/>
                <w:color w:val="auto"/>
                <w:sz w:val="24"/>
                <w:lang w:eastAsia="zh-CN"/>
              </w:rPr>
              <w:t>。</w:t>
            </w:r>
          </w:p>
          <w:p w14:paraId="26C55325">
            <w:pPr>
              <w:pStyle w:val="73"/>
              <w:snapToGrid w:val="0"/>
              <w:spacing w:line="360" w:lineRule="auto"/>
              <w:ind w:left="0" w:right="0" w:firstLine="480" w:firstLineChars="200"/>
              <w:contextualSpacing/>
              <w:jc w:val="both"/>
              <w:rPr>
                <w:color w:val="auto"/>
              </w:rPr>
            </w:pPr>
            <w:r>
              <w:rPr>
                <w:rFonts w:hint="eastAsia"/>
                <w:color w:val="auto"/>
              </w:rPr>
              <w:t>（3）</w:t>
            </w:r>
            <w:r>
              <w:rPr>
                <w:color w:val="auto"/>
              </w:rPr>
              <w:t>环境风险防范措施</w:t>
            </w:r>
            <w:r>
              <w:rPr>
                <w:rFonts w:hint="eastAsia"/>
                <w:color w:val="auto"/>
              </w:rPr>
              <w:t>及应急要求</w:t>
            </w:r>
          </w:p>
          <w:p w14:paraId="46FF3D77">
            <w:pPr>
              <w:adjustRightInd w:val="0"/>
              <w:snapToGrid w:val="0"/>
              <w:spacing w:line="360" w:lineRule="auto"/>
              <w:ind w:firstLine="480" w:firstLineChars="200"/>
              <w:rPr>
                <w:rFonts w:hint="eastAsia"/>
                <w:color w:val="auto"/>
                <w:sz w:val="24"/>
              </w:rPr>
            </w:pPr>
            <w:r>
              <w:rPr>
                <w:rFonts w:ascii="Times New Roman" w:hAnsi="Times New Roman" w:cs="Times New Roman"/>
                <w:bCs/>
                <w:color w:val="auto"/>
                <w:sz w:val="24"/>
              </w:rPr>
              <w:t>为使环境风险减小到最低限度，必须加强劳动安全管理，制定完备、有效的防范措施，尽可能降低项目环境风险事故发生的概率，采取如下措施：</w:t>
            </w:r>
          </w:p>
          <w:p w14:paraId="29439338">
            <w:pPr>
              <w:adjustRightInd w:val="0"/>
              <w:snapToGrid w:val="0"/>
              <w:spacing w:line="360" w:lineRule="auto"/>
              <w:ind w:firstLine="480" w:firstLineChars="200"/>
              <w:rPr>
                <w:rFonts w:hint="eastAsia"/>
                <w:color w:val="auto"/>
                <w:sz w:val="24"/>
              </w:rPr>
            </w:pPr>
            <w:r>
              <w:rPr>
                <w:rFonts w:hint="eastAsia"/>
                <w:color w:val="auto"/>
                <w:sz w:val="24"/>
                <w:lang w:val="en-US" w:eastAsia="zh-CN"/>
              </w:rPr>
              <w:t>①</w:t>
            </w:r>
            <w:r>
              <w:rPr>
                <w:rFonts w:hint="eastAsia"/>
                <w:color w:val="auto"/>
                <w:sz w:val="24"/>
              </w:rPr>
              <w:t>定期组织环境安全检查工作，各部门以自查为主，互查为辅，实时监控对环境可能构成危害的风险源。</w:t>
            </w:r>
          </w:p>
          <w:p w14:paraId="5044EA57">
            <w:pPr>
              <w:adjustRightInd w:val="0"/>
              <w:snapToGrid w:val="0"/>
              <w:spacing w:line="360" w:lineRule="auto"/>
              <w:ind w:firstLine="480" w:firstLineChars="200"/>
              <w:rPr>
                <w:rFonts w:hint="eastAsia"/>
                <w:color w:val="auto"/>
                <w:sz w:val="24"/>
              </w:rPr>
            </w:pPr>
            <w:r>
              <w:rPr>
                <w:rFonts w:hint="eastAsia"/>
                <w:color w:val="auto"/>
                <w:sz w:val="24"/>
                <w:lang w:val="en-US" w:eastAsia="zh-CN"/>
              </w:rPr>
              <w:t>②</w:t>
            </w:r>
            <w:r>
              <w:rPr>
                <w:rFonts w:hint="eastAsia"/>
                <w:color w:val="auto"/>
                <w:sz w:val="24"/>
              </w:rPr>
              <w:t>定期对职工开展环境风险和环境应急知识的宣传和培训。</w:t>
            </w:r>
          </w:p>
          <w:p w14:paraId="7F06EA79">
            <w:pPr>
              <w:adjustRightInd w:val="0"/>
              <w:snapToGrid w:val="0"/>
              <w:spacing w:line="360" w:lineRule="auto"/>
              <w:ind w:firstLine="480" w:firstLineChars="200"/>
              <w:rPr>
                <w:rFonts w:hint="eastAsia"/>
                <w:color w:val="auto"/>
                <w:sz w:val="24"/>
              </w:rPr>
            </w:pPr>
            <w:r>
              <w:rPr>
                <w:rFonts w:hint="eastAsia"/>
                <w:color w:val="auto"/>
                <w:sz w:val="24"/>
                <w:lang w:val="en-US" w:eastAsia="zh-CN"/>
              </w:rPr>
              <w:t>③</w:t>
            </w:r>
            <w:r>
              <w:rPr>
                <w:rFonts w:hint="eastAsia"/>
                <w:color w:val="auto"/>
                <w:sz w:val="24"/>
              </w:rPr>
              <w:t>定期对设备进行维护和检修。</w:t>
            </w:r>
          </w:p>
          <w:p w14:paraId="6945D8AD">
            <w:pPr>
              <w:adjustRightInd w:val="0"/>
              <w:snapToGrid w:val="0"/>
              <w:spacing w:line="360" w:lineRule="auto"/>
              <w:ind w:firstLine="480" w:firstLineChars="200"/>
              <w:rPr>
                <w:rFonts w:hint="eastAsia"/>
                <w:color w:val="auto"/>
                <w:sz w:val="24"/>
              </w:rPr>
            </w:pPr>
            <w:r>
              <w:rPr>
                <w:rFonts w:hint="eastAsia"/>
                <w:color w:val="auto"/>
                <w:sz w:val="24"/>
                <w:lang w:val="en-US" w:eastAsia="zh-CN"/>
              </w:rPr>
              <w:t>④</w:t>
            </w:r>
            <w:r>
              <w:rPr>
                <w:rFonts w:hint="eastAsia"/>
                <w:color w:val="auto"/>
                <w:sz w:val="24"/>
              </w:rPr>
              <w:t>配置灭火器，发生火灾时防止火势蔓延</w:t>
            </w:r>
            <w:r>
              <w:rPr>
                <w:rFonts w:hint="eastAsia"/>
                <w:color w:val="auto"/>
                <w:sz w:val="24"/>
                <w:lang w:eastAsia="zh-CN"/>
              </w:rPr>
              <w:t>，</w:t>
            </w:r>
            <w:r>
              <w:rPr>
                <w:rFonts w:hint="eastAsia"/>
                <w:color w:val="auto"/>
                <w:sz w:val="24"/>
              </w:rPr>
              <w:t>消防器材设置在明显和便于取用的地点，周围无堆放物品和杂物。</w:t>
            </w:r>
          </w:p>
          <w:p w14:paraId="64B6484C">
            <w:pPr>
              <w:adjustRightInd w:val="0"/>
              <w:snapToGrid w:val="0"/>
              <w:spacing w:line="360" w:lineRule="auto"/>
              <w:ind w:firstLine="480" w:firstLineChars="200"/>
              <w:rPr>
                <w:rFonts w:hint="eastAsia" w:eastAsia="宋体"/>
                <w:color w:val="auto"/>
                <w:sz w:val="24"/>
                <w:lang w:eastAsia="zh-CN"/>
              </w:rPr>
            </w:pPr>
            <w:r>
              <w:rPr>
                <w:rFonts w:hint="eastAsia" w:ascii="宋体" w:hAnsi="宋体" w:cs="宋体"/>
                <w:color w:val="auto"/>
                <w:sz w:val="24"/>
              </w:rPr>
              <w:t>⑤</w:t>
            </w:r>
            <w:r>
              <w:rPr>
                <w:rFonts w:hint="eastAsia"/>
                <w:color w:val="auto"/>
                <w:sz w:val="24"/>
              </w:rPr>
              <w:t>危险废物处理处置严格按照国家规定贮存、转移、处置</w:t>
            </w:r>
            <w:r>
              <w:rPr>
                <w:rFonts w:hint="eastAsia"/>
                <w:color w:val="auto"/>
                <w:sz w:val="24"/>
                <w:lang w:eastAsia="zh-CN"/>
              </w:rPr>
              <w:t>。</w:t>
            </w:r>
          </w:p>
          <w:p w14:paraId="2577F073">
            <w:pPr>
              <w:adjustRightInd w:val="0"/>
              <w:snapToGrid w:val="0"/>
              <w:spacing w:line="360" w:lineRule="auto"/>
              <w:ind w:firstLine="480" w:firstLineChars="200"/>
              <w:rPr>
                <w:rFonts w:hint="eastAsia" w:eastAsia="宋体"/>
                <w:color w:val="auto"/>
                <w:sz w:val="24"/>
                <w:lang w:eastAsia="zh-CN"/>
              </w:rPr>
            </w:pPr>
            <w:r>
              <w:rPr>
                <w:rFonts w:hint="eastAsia"/>
                <w:bCs/>
                <w:color w:val="auto"/>
                <w:sz w:val="24"/>
              </w:rPr>
              <w:t>⑥</w:t>
            </w:r>
            <w:r>
              <w:rPr>
                <w:rFonts w:hint="eastAsia"/>
                <w:color w:val="auto"/>
                <w:sz w:val="24"/>
              </w:rPr>
              <w:t>发生突发环境事件后进行相应的应急处置，尽可能缩小污染范围</w:t>
            </w:r>
            <w:r>
              <w:rPr>
                <w:rFonts w:hint="eastAsia"/>
                <w:color w:val="auto"/>
                <w:sz w:val="24"/>
                <w:lang w:eastAsia="zh-CN"/>
              </w:rPr>
              <w:t>。</w:t>
            </w:r>
          </w:p>
          <w:p w14:paraId="4AAD10E0">
            <w:pPr>
              <w:adjustRightInd w:val="0"/>
              <w:snapToGrid w:val="0"/>
              <w:spacing w:line="360" w:lineRule="auto"/>
              <w:ind w:firstLine="480" w:firstLineChars="200"/>
              <w:rPr>
                <w:color w:val="auto"/>
                <w:sz w:val="24"/>
              </w:rPr>
            </w:pPr>
            <w:r>
              <w:rPr>
                <w:rFonts w:hint="eastAsia"/>
                <w:color w:val="auto"/>
                <w:sz w:val="24"/>
              </w:rPr>
              <w:t>（</w:t>
            </w:r>
            <w:r>
              <w:rPr>
                <w:rFonts w:hint="eastAsia"/>
                <w:color w:val="auto"/>
                <w:sz w:val="24"/>
                <w:lang w:val="en-US" w:eastAsia="zh-CN"/>
              </w:rPr>
              <w:t>4</w:t>
            </w:r>
            <w:r>
              <w:rPr>
                <w:rFonts w:hint="eastAsia"/>
                <w:color w:val="auto"/>
                <w:sz w:val="24"/>
              </w:rPr>
              <w:t>）分析结论</w:t>
            </w:r>
          </w:p>
          <w:p w14:paraId="6F59D30D">
            <w:pPr>
              <w:widowControl/>
              <w:spacing w:line="360" w:lineRule="auto"/>
              <w:ind w:firstLine="480" w:firstLineChars="200"/>
              <w:rPr>
                <w:color w:val="auto"/>
                <w:sz w:val="24"/>
              </w:rPr>
            </w:pPr>
            <w:r>
              <w:rPr>
                <w:color w:val="auto"/>
                <w:sz w:val="24"/>
              </w:rPr>
              <w:t>通过采取以上环境风险防范措施，本项目环境风险能够控制在可接受范围之内。</w:t>
            </w:r>
          </w:p>
          <w:p w14:paraId="4C9071EA">
            <w:pPr>
              <w:widowControl/>
              <w:spacing w:line="360" w:lineRule="auto"/>
              <w:ind w:firstLine="482" w:firstLineChars="200"/>
              <w:rPr>
                <w:b/>
                <w:bCs/>
                <w:color w:val="auto"/>
                <w:sz w:val="24"/>
              </w:rPr>
            </w:pPr>
            <w:r>
              <w:rPr>
                <w:rFonts w:hint="eastAsia"/>
                <w:b/>
                <w:bCs/>
                <w:color w:val="auto"/>
                <w:sz w:val="24"/>
                <w:lang w:val="en-US" w:eastAsia="zh-CN"/>
              </w:rPr>
              <w:t>7</w:t>
            </w:r>
            <w:r>
              <w:rPr>
                <w:rFonts w:hint="eastAsia"/>
                <w:b/>
                <w:bCs/>
                <w:color w:val="auto"/>
                <w:sz w:val="24"/>
              </w:rPr>
              <w:t>、环保投资</w:t>
            </w:r>
          </w:p>
          <w:p w14:paraId="3AE9B8EC">
            <w:pPr>
              <w:pStyle w:val="6"/>
              <w:ind w:firstLine="0"/>
              <w:jc w:val="center"/>
              <w:rPr>
                <w:b/>
                <w:bCs/>
                <w:color w:val="auto"/>
                <w:szCs w:val="24"/>
              </w:rPr>
            </w:pPr>
            <w:r>
              <w:rPr>
                <w:b/>
                <w:bCs/>
                <w:color w:val="auto"/>
                <w:szCs w:val="24"/>
              </w:rPr>
              <w:t>表</w:t>
            </w:r>
            <w:r>
              <w:rPr>
                <w:rFonts w:hint="eastAsia"/>
                <w:b/>
                <w:bCs/>
                <w:color w:val="auto"/>
                <w:szCs w:val="24"/>
              </w:rPr>
              <w:t>4-1</w:t>
            </w:r>
            <w:r>
              <w:rPr>
                <w:rFonts w:hint="eastAsia"/>
                <w:b/>
                <w:bCs/>
                <w:color w:val="auto"/>
                <w:szCs w:val="24"/>
                <w:lang w:val="en-US" w:eastAsia="zh-CN"/>
              </w:rPr>
              <w:t>2</w:t>
            </w:r>
            <w:r>
              <w:rPr>
                <w:b/>
                <w:bCs/>
                <w:color w:val="auto"/>
                <w:szCs w:val="24"/>
              </w:rPr>
              <w:t xml:space="preserve">  环保投资一览表</w:t>
            </w:r>
          </w:p>
          <w:tbl>
            <w:tblPr>
              <w:tblStyle w:val="27"/>
              <w:tblW w:w="5049"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54"/>
              <w:gridCol w:w="3838"/>
              <w:gridCol w:w="836"/>
              <w:gridCol w:w="1515"/>
            </w:tblGrid>
            <w:tr w14:paraId="5F949F8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PrEx>
              <w:trPr>
                <w:trHeight w:val="510" w:hRule="atLeast"/>
                <w:jc w:val="center"/>
              </w:trPr>
              <w:tc>
                <w:tcPr>
                  <w:tcW w:w="424" w:type="pct"/>
                  <w:noWrap w:val="0"/>
                  <w:vAlign w:val="center"/>
                </w:tcPr>
                <w:p w14:paraId="5EB74C57">
                  <w:pPr>
                    <w:jc w:val="center"/>
                    <w:rPr>
                      <w:rFonts w:hint="eastAsia"/>
                      <w:b/>
                      <w:bCs/>
                      <w:color w:val="auto"/>
                      <w:szCs w:val="21"/>
                    </w:rPr>
                  </w:pPr>
                  <w:r>
                    <w:rPr>
                      <w:rFonts w:hint="eastAsia"/>
                      <w:b/>
                      <w:bCs/>
                      <w:color w:val="auto"/>
                      <w:szCs w:val="21"/>
                    </w:rPr>
                    <w:t>序号</w:t>
                  </w:r>
                </w:p>
              </w:tc>
              <w:tc>
                <w:tcPr>
                  <w:tcW w:w="719" w:type="pct"/>
                  <w:noWrap w:val="0"/>
                  <w:vAlign w:val="center"/>
                </w:tcPr>
                <w:p w14:paraId="11E30BC8">
                  <w:pPr>
                    <w:jc w:val="center"/>
                    <w:rPr>
                      <w:b/>
                      <w:bCs/>
                      <w:color w:val="auto"/>
                      <w:szCs w:val="21"/>
                    </w:rPr>
                  </w:pPr>
                  <w:r>
                    <w:rPr>
                      <w:b/>
                      <w:bCs/>
                      <w:color w:val="auto"/>
                      <w:szCs w:val="21"/>
                    </w:rPr>
                    <w:t>污染种类</w:t>
                  </w:r>
                </w:p>
              </w:tc>
              <w:tc>
                <w:tcPr>
                  <w:tcW w:w="2391" w:type="pct"/>
                  <w:noWrap w:val="0"/>
                  <w:vAlign w:val="center"/>
                </w:tcPr>
                <w:p w14:paraId="417A2EA5">
                  <w:pPr>
                    <w:jc w:val="center"/>
                    <w:rPr>
                      <w:b/>
                      <w:bCs/>
                      <w:color w:val="auto"/>
                      <w:szCs w:val="21"/>
                    </w:rPr>
                  </w:pPr>
                  <w:r>
                    <w:rPr>
                      <w:b/>
                      <w:bCs/>
                      <w:color w:val="auto"/>
                      <w:szCs w:val="21"/>
                    </w:rPr>
                    <w:t>设施名称</w:t>
                  </w:r>
                </w:p>
              </w:tc>
              <w:tc>
                <w:tcPr>
                  <w:tcW w:w="520" w:type="pct"/>
                  <w:noWrap w:val="0"/>
                  <w:vAlign w:val="center"/>
                </w:tcPr>
                <w:p w14:paraId="78E9824F">
                  <w:pPr>
                    <w:jc w:val="center"/>
                    <w:rPr>
                      <w:b/>
                      <w:bCs/>
                      <w:color w:val="auto"/>
                      <w:szCs w:val="21"/>
                    </w:rPr>
                  </w:pPr>
                  <w:r>
                    <w:rPr>
                      <w:b/>
                      <w:bCs/>
                      <w:color w:val="auto"/>
                      <w:szCs w:val="21"/>
                    </w:rPr>
                    <w:t>数量</w:t>
                  </w:r>
                </w:p>
              </w:tc>
              <w:tc>
                <w:tcPr>
                  <w:tcW w:w="944" w:type="pct"/>
                  <w:noWrap w:val="0"/>
                  <w:vAlign w:val="center"/>
                </w:tcPr>
                <w:p w14:paraId="316C368A">
                  <w:pPr>
                    <w:ind w:left="-105" w:leftChars="-50" w:right="-105" w:rightChars="-50"/>
                    <w:jc w:val="center"/>
                    <w:rPr>
                      <w:b/>
                      <w:bCs/>
                      <w:color w:val="auto"/>
                      <w:szCs w:val="21"/>
                    </w:rPr>
                  </w:pPr>
                  <w:r>
                    <w:rPr>
                      <w:b/>
                      <w:bCs/>
                      <w:color w:val="auto"/>
                      <w:szCs w:val="21"/>
                    </w:rPr>
                    <w:t>投资（万元）</w:t>
                  </w:r>
                </w:p>
              </w:tc>
            </w:tr>
            <w:tr w14:paraId="2FE7E36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noWrap w:val="0"/>
                  <w:vAlign w:val="center"/>
                </w:tcPr>
                <w:p w14:paraId="5717947C">
                  <w:pPr>
                    <w:adjustRightInd w:val="0"/>
                    <w:snapToGrid w:val="0"/>
                    <w:jc w:val="center"/>
                    <w:rPr>
                      <w:color w:val="auto"/>
                      <w:szCs w:val="21"/>
                    </w:rPr>
                  </w:pPr>
                  <w:r>
                    <w:rPr>
                      <w:rFonts w:hint="eastAsia"/>
                      <w:color w:val="auto"/>
                      <w:szCs w:val="21"/>
                    </w:rPr>
                    <w:t>1</w:t>
                  </w:r>
                </w:p>
              </w:tc>
              <w:tc>
                <w:tcPr>
                  <w:tcW w:w="719" w:type="pct"/>
                  <w:vMerge w:val="restart"/>
                  <w:noWrap w:val="0"/>
                  <w:vAlign w:val="center"/>
                </w:tcPr>
                <w:p w14:paraId="7194655C">
                  <w:pPr>
                    <w:adjustRightInd w:val="0"/>
                    <w:snapToGrid w:val="0"/>
                    <w:jc w:val="center"/>
                    <w:rPr>
                      <w:rFonts w:hint="eastAsia"/>
                      <w:color w:val="auto"/>
                      <w:szCs w:val="21"/>
                    </w:rPr>
                  </w:pPr>
                  <w:r>
                    <w:rPr>
                      <w:rFonts w:hint="eastAsia"/>
                      <w:color w:val="auto"/>
                      <w:szCs w:val="21"/>
                    </w:rPr>
                    <w:t>废气</w:t>
                  </w:r>
                </w:p>
              </w:tc>
              <w:tc>
                <w:tcPr>
                  <w:tcW w:w="2391" w:type="pct"/>
                  <w:noWrap w:val="0"/>
                  <w:vAlign w:val="center"/>
                </w:tcPr>
                <w:p w14:paraId="42483FFB">
                  <w:pPr>
                    <w:adjustRightInd w:val="0"/>
                    <w:snapToGrid w:val="0"/>
                    <w:jc w:val="center"/>
                    <w:rPr>
                      <w:rFonts w:hint="default" w:eastAsia="宋体"/>
                      <w:bCs/>
                      <w:color w:val="auto"/>
                      <w:szCs w:val="21"/>
                      <w:lang w:val="en-US" w:eastAsia="zh-CN"/>
                    </w:rPr>
                  </w:pPr>
                  <w:r>
                    <w:rPr>
                      <w:rFonts w:hint="eastAsia"/>
                      <w:bCs/>
                      <w:color w:val="auto"/>
                      <w:szCs w:val="21"/>
                      <w:lang w:val="en-US" w:eastAsia="zh-CN"/>
                    </w:rPr>
                    <w:t>二级活性炭+排气筒</w:t>
                  </w:r>
                </w:p>
              </w:tc>
              <w:tc>
                <w:tcPr>
                  <w:tcW w:w="520" w:type="pct"/>
                  <w:noWrap w:val="0"/>
                  <w:vAlign w:val="center"/>
                </w:tcPr>
                <w:p w14:paraId="32F66794">
                  <w:pPr>
                    <w:adjustRightInd w:val="0"/>
                    <w:snapToGrid w:val="0"/>
                    <w:jc w:val="center"/>
                    <w:rPr>
                      <w:rFonts w:hint="eastAsia"/>
                      <w:color w:val="auto"/>
                      <w:szCs w:val="21"/>
                    </w:rPr>
                  </w:pPr>
                  <w:r>
                    <w:rPr>
                      <w:rFonts w:hint="eastAsia"/>
                      <w:color w:val="auto"/>
                      <w:szCs w:val="21"/>
                      <w:lang w:val="en-US" w:eastAsia="zh-CN"/>
                    </w:rPr>
                    <w:t>2</w:t>
                  </w:r>
                  <w:r>
                    <w:rPr>
                      <w:rFonts w:hint="eastAsia"/>
                      <w:color w:val="auto"/>
                    </w:rPr>
                    <w:t>套</w:t>
                  </w:r>
                </w:p>
              </w:tc>
              <w:tc>
                <w:tcPr>
                  <w:tcW w:w="944" w:type="pct"/>
                  <w:noWrap w:val="0"/>
                  <w:vAlign w:val="center"/>
                </w:tcPr>
                <w:p w14:paraId="3761568A">
                  <w:pPr>
                    <w:adjustRightInd w:val="0"/>
                    <w:snapToGrid w:val="0"/>
                    <w:jc w:val="center"/>
                    <w:rPr>
                      <w:color w:val="auto"/>
                      <w:szCs w:val="21"/>
                    </w:rPr>
                  </w:pPr>
                  <w:r>
                    <w:rPr>
                      <w:rFonts w:hint="eastAsia"/>
                      <w:color w:val="auto"/>
                      <w:szCs w:val="21"/>
                      <w:lang w:val="en-US" w:eastAsia="zh-CN"/>
                    </w:rPr>
                    <w:t>11</w:t>
                  </w:r>
                  <w:r>
                    <w:rPr>
                      <w:rFonts w:hint="eastAsia"/>
                      <w:color w:val="auto"/>
                      <w:szCs w:val="21"/>
                    </w:rPr>
                    <w:t>.0</w:t>
                  </w:r>
                </w:p>
              </w:tc>
            </w:tr>
            <w:tr w14:paraId="41E4D95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noWrap w:val="0"/>
                  <w:vAlign w:val="center"/>
                </w:tcPr>
                <w:p w14:paraId="37BAA0E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719" w:type="pct"/>
                  <w:vMerge w:val="continue"/>
                  <w:noWrap w:val="0"/>
                  <w:vAlign w:val="center"/>
                </w:tcPr>
                <w:p w14:paraId="5938FCC2">
                  <w:pPr>
                    <w:adjustRightInd w:val="0"/>
                    <w:snapToGrid w:val="0"/>
                    <w:jc w:val="center"/>
                    <w:rPr>
                      <w:rFonts w:hint="eastAsia"/>
                      <w:color w:val="auto"/>
                      <w:szCs w:val="21"/>
                    </w:rPr>
                  </w:pPr>
                </w:p>
              </w:tc>
              <w:tc>
                <w:tcPr>
                  <w:tcW w:w="2391" w:type="pct"/>
                  <w:noWrap w:val="0"/>
                  <w:vAlign w:val="center"/>
                </w:tcPr>
                <w:p w14:paraId="614491F7">
                  <w:pPr>
                    <w:adjustRightInd w:val="0"/>
                    <w:snapToGrid w:val="0"/>
                    <w:jc w:val="center"/>
                    <w:rPr>
                      <w:rFonts w:hint="default" w:eastAsia="宋体"/>
                      <w:bCs/>
                      <w:color w:val="auto"/>
                      <w:szCs w:val="21"/>
                      <w:lang w:val="en-US" w:eastAsia="zh-CN"/>
                    </w:rPr>
                  </w:pPr>
                  <w:r>
                    <w:rPr>
                      <w:rFonts w:hint="eastAsia"/>
                      <w:bCs/>
                      <w:color w:val="auto"/>
                      <w:szCs w:val="21"/>
                      <w:lang w:val="en-US" w:eastAsia="zh-CN"/>
                    </w:rPr>
                    <w:t>布袋除尘器</w:t>
                  </w:r>
                </w:p>
              </w:tc>
              <w:tc>
                <w:tcPr>
                  <w:tcW w:w="520" w:type="pct"/>
                  <w:noWrap w:val="0"/>
                  <w:vAlign w:val="center"/>
                </w:tcPr>
                <w:p w14:paraId="4E72F976">
                  <w:pPr>
                    <w:adjustRightInd w:val="0"/>
                    <w:snapToGrid w:val="0"/>
                    <w:jc w:val="center"/>
                    <w:rPr>
                      <w:rFonts w:hint="default" w:eastAsia="宋体"/>
                      <w:color w:val="auto"/>
                      <w:szCs w:val="21"/>
                      <w:lang w:val="en-US" w:eastAsia="zh-CN"/>
                    </w:rPr>
                  </w:pPr>
                  <w:r>
                    <w:rPr>
                      <w:rFonts w:hint="eastAsia"/>
                      <w:color w:val="auto"/>
                      <w:szCs w:val="21"/>
                      <w:lang w:val="en-US" w:eastAsia="zh-CN"/>
                    </w:rPr>
                    <w:t>1套</w:t>
                  </w:r>
                </w:p>
              </w:tc>
              <w:tc>
                <w:tcPr>
                  <w:tcW w:w="944" w:type="pct"/>
                  <w:noWrap w:val="0"/>
                  <w:vAlign w:val="center"/>
                </w:tcPr>
                <w:p w14:paraId="36B430BD">
                  <w:pPr>
                    <w:adjustRightInd w:val="0"/>
                    <w:snapToGrid w:val="0"/>
                    <w:jc w:val="center"/>
                    <w:rPr>
                      <w:rFonts w:hint="default" w:eastAsia="宋体"/>
                      <w:color w:val="auto"/>
                      <w:szCs w:val="21"/>
                      <w:lang w:val="en-US" w:eastAsia="zh-CN"/>
                    </w:rPr>
                  </w:pPr>
                  <w:r>
                    <w:rPr>
                      <w:rFonts w:hint="eastAsia"/>
                      <w:color w:val="auto"/>
                      <w:szCs w:val="21"/>
                      <w:lang w:val="en-US" w:eastAsia="zh-CN"/>
                    </w:rPr>
                    <w:t>配套</w:t>
                  </w:r>
                </w:p>
              </w:tc>
            </w:tr>
            <w:tr w14:paraId="0B6EFCD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noWrap w:val="0"/>
                  <w:vAlign w:val="center"/>
                </w:tcPr>
                <w:p w14:paraId="4911C42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719" w:type="pct"/>
                  <w:noWrap w:val="0"/>
                  <w:vAlign w:val="center"/>
                </w:tcPr>
                <w:p w14:paraId="061FF6E8">
                  <w:pPr>
                    <w:adjustRightInd w:val="0"/>
                    <w:snapToGrid w:val="0"/>
                    <w:jc w:val="center"/>
                    <w:rPr>
                      <w:color w:val="auto"/>
                      <w:szCs w:val="21"/>
                    </w:rPr>
                  </w:pPr>
                  <w:r>
                    <w:rPr>
                      <w:color w:val="auto"/>
                      <w:szCs w:val="21"/>
                    </w:rPr>
                    <w:t>噪声</w:t>
                  </w:r>
                </w:p>
              </w:tc>
              <w:tc>
                <w:tcPr>
                  <w:tcW w:w="2391" w:type="pct"/>
                  <w:noWrap w:val="0"/>
                  <w:vAlign w:val="center"/>
                </w:tcPr>
                <w:p w14:paraId="687C7670">
                  <w:pPr>
                    <w:adjustRightInd w:val="0"/>
                    <w:snapToGrid w:val="0"/>
                    <w:jc w:val="center"/>
                    <w:rPr>
                      <w:color w:val="auto"/>
                      <w:szCs w:val="21"/>
                    </w:rPr>
                  </w:pPr>
                  <w:r>
                    <w:rPr>
                      <w:bCs/>
                      <w:color w:val="auto"/>
                      <w:szCs w:val="21"/>
                    </w:rPr>
                    <w:t>厂房隔声、加强设备保养</w:t>
                  </w:r>
                </w:p>
              </w:tc>
              <w:tc>
                <w:tcPr>
                  <w:tcW w:w="520" w:type="pct"/>
                  <w:noWrap w:val="0"/>
                  <w:vAlign w:val="center"/>
                </w:tcPr>
                <w:p w14:paraId="3F0CA9A5">
                  <w:pPr>
                    <w:adjustRightInd w:val="0"/>
                    <w:snapToGrid w:val="0"/>
                    <w:jc w:val="center"/>
                    <w:rPr>
                      <w:color w:val="auto"/>
                      <w:szCs w:val="21"/>
                    </w:rPr>
                  </w:pPr>
                  <w:r>
                    <w:rPr>
                      <w:color w:val="auto"/>
                      <w:szCs w:val="21"/>
                    </w:rPr>
                    <w:t>/</w:t>
                  </w:r>
                </w:p>
              </w:tc>
              <w:tc>
                <w:tcPr>
                  <w:tcW w:w="944" w:type="pct"/>
                  <w:noWrap w:val="0"/>
                  <w:vAlign w:val="center"/>
                </w:tcPr>
                <w:p w14:paraId="7B594E86">
                  <w:pPr>
                    <w:adjustRightInd w:val="0"/>
                    <w:snapToGrid w:val="0"/>
                    <w:jc w:val="center"/>
                    <w:rPr>
                      <w:color w:val="auto"/>
                      <w:szCs w:val="21"/>
                    </w:rPr>
                  </w:pPr>
                  <w:r>
                    <w:rPr>
                      <w:rFonts w:hint="eastAsia"/>
                      <w:color w:val="auto"/>
                      <w:szCs w:val="21"/>
                      <w:lang w:val="en-US" w:eastAsia="zh-CN"/>
                    </w:rPr>
                    <w:t>1</w:t>
                  </w:r>
                  <w:r>
                    <w:rPr>
                      <w:rFonts w:hint="eastAsia"/>
                      <w:color w:val="auto"/>
                      <w:szCs w:val="21"/>
                    </w:rPr>
                    <w:t>.0</w:t>
                  </w:r>
                </w:p>
              </w:tc>
            </w:tr>
            <w:tr w14:paraId="3AEC116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noWrap w:val="0"/>
                  <w:vAlign w:val="center"/>
                </w:tcPr>
                <w:p w14:paraId="28B48A1C">
                  <w:pPr>
                    <w:adjustRightInd w:val="0"/>
                    <w:snapToGrid w:val="0"/>
                    <w:jc w:val="center"/>
                    <w:rPr>
                      <w:rFonts w:hint="default" w:eastAsia="宋体"/>
                      <w:color w:val="auto"/>
                      <w:szCs w:val="21"/>
                      <w:lang w:val="en-US" w:eastAsia="zh-CN"/>
                    </w:rPr>
                  </w:pPr>
                  <w:r>
                    <w:rPr>
                      <w:rFonts w:hint="eastAsia"/>
                      <w:color w:val="auto"/>
                      <w:szCs w:val="21"/>
                      <w:lang w:val="en-US" w:eastAsia="zh-CN"/>
                    </w:rPr>
                    <w:t>4</w:t>
                  </w:r>
                </w:p>
              </w:tc>
              <w:tc>
                <w:tcPr>
                  <w:tcW w:w="719" w:type="pct"/>
                  <w:noWrap w:val="0"/>
                  <w:vAlign w:val="center"/>
                </w:tcPr>
                <w:p w14:paraId="3EC670A9">
                  <w:pPr>
                    <w:adjustRightInd w:val="0"/>
                    <w:snapToGrid w:val="0"/>
                    <w:jc w:val="center"/>
                    <w:rPr>
                      <w:color w:val="auto"/>
                      <w:szCs w:val="21"/>
                    </w:rPr>
                  </w:pPr>
                  <w:r>
                    <w:rPr>
                      <w:color w:val="auto"/>
                      <w:szCs w:val="21"/>
                    </w:rPr>
                    <w:t>废水</w:t>
                  </w:r>
                </w:p>
              </w:tc>
              <w:tc>
                <w:tcPr>
                  <w:tcW w:w="2391" w:type="pct"/>
                  <w:noWrap w:val="0"/>
                  <w:vAlign w:val="center"/>
                </w:tcPr>
                <w:p w14:paraId="06B0C643">
                  <w:pPr>
                    <w:adjustRightInd w:val="0"/>
                    <w:snapToGrid w:val="0"/>
                    <w:jc w:val="center"/>
                    <w:rPr>
                      <w:color w:val="auto"/>
                      <w:szCs w:val="21"/>
                    </w:rPr>
                  </w:pPr>
                  <w:r>
                    <w:rPr>
                      <w:color w:val="auto"/>
                      <w:szCs w:val="21"/>
                    </w:rPr>
                    <w:t>化粪池</w:t>
                  </w:r>
                </w:p>
              </w:tc>
              <w:tc>
                <w:tcPr>
                  <w:tcW w:w="520" w:type="pct"/>
                  <w:noWrap w:val="0"/>
                  <w:vAlign w:val="center"/>
                </w:tcPr>
                <w:p w14:paraId="00880992">
                  <w:pPr>
                    <w:adjustRightInd w:val="0"/>
                    <w:snapToGrid w:val="0"/>
                    <w:jc w:val="center"/>
                    <w:rPr>
                      <w:color w:val="auto"/>
                      <w:szCs w:val="21"/>
                    </w:rPr>
                  </w:pPr>
                  <w:r>
                    <w:rPr>
                      <w:rFonts w:hint="eastAsia"/>
                      <w:color w:val="auto"/>
                      <w:szCs w:val="21"/>
                    </w:rPr>
                    <w:t>1座</w:t>
                  </w:r>
                </w:p>
              </w:tc>
              <w:tc>
                <w:tcPr>
                  <w:tcW w:w="944" w:type="pct"/>
                  <w:noWrap w:val="0"/>
                  <w:vAlign w:val="center"/>
                </w:tcPr>
                <w:p w14:paraId="771B5E12">
                  <w:pPr>
                    <w:adjustRightInd w:val="0"/>
                    <w:snapToGrid w:val="0"/>
                    <w:jc w:val="center"/>
                    <w:rPr>
                      <w:color w:val="auto"/>
                      <w:szCs w:val="21"/>
                    </w:rPr>
                  </w:pPr>
                  <w:r>
                    <w:rPr>
                      <w:rFonts w:hint="eastAsia"/>
                      <w:color w:val="auto"/>
                      <w:szCs w:val="21"/>
                    </w:rPr>
                    <w:t>依托</w:t>
                  </w:r>
                </w:p>
              </w:tc>
            </w:tr>
            <w:tr w14:paraId="5B9D5CF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noWrap w:val="0"/>
                  <w:vAlign w:val="center"/>
                </w:tcPr>
                <w:p w14:paraId="6DEB39D9">
                  <w:pPr>
                    <w:adjustRightInd w:val="0"/>
                    <w:snapToGrid w:val="0"/>
                    <w:jc w:val="center"/>
                    <w:rPr>
                      <w:color w:val="auto"/>
                      <w:szCs w:val="21"/>
                    </w:rPr>
                  </w:pPr>
                  <w:r>
                    <w:rPr>
                      <w:rFonts w:hint="eastAsia"/>
                      <w:color w:val="auto"/>
                      <w:szCs w:val="21"/>
                    </w:rPr>
                    <w:t>5</w:t>
                  </w:r>
                </w:p>
              </w:tc>
              <w:tc>
                <w:tcPr>
                  <w:tcW w:w="719" w:type="pct"/>
                  <w:vMerge w:val="restart"/>
                  <w:noWrap w:val="0"/>
                  <w:vAlign w:val="center"/>
                </w:tcPr>
                <w:p w14:paraId="4CBB5502">
                  <w:pPr>
                    <w:adjustRightInd w:val="0"/>
                    <w:snapToGrid w:val="0"/>
                    <w:jc w:val="center"/>
                    <w:rPr>
                      <w:rFonts w:hint="eastAsia"/>
                      <w:color w:val="auto"/>
                      <w:szCs w:val="21"/>
                    </w:rPr>
                  </w:pPr>
                  <w:r>
                    <w:rPr>
                      <w:rFonts w:hint="eastAsia"/>
                      <w:color w:val="auto"/>
                      <w:szCs w:val="21"/>
                    </w:rPr>
                    <w:t>固废</w:t>
                  </w:r>
                </w:p>
              </w:tc>
              <w:tc>
                <w:tcPr>
                  <w:tcW w:w="2391" w:type="pct"/>
                  <w:noWrap w:val="0"/>
                  <w:vAlign w:val="center"/>
                </w:tcPr>
                <w:p w14:paraId="47EBE189">
                  <w:pPr>
                    <w:adjustRightInd w:val="0"/>
                    <w:snapToGrid w:val="0"/>
                    <w:jc w:val="center"/>
                    <w:rPr>
                      <w:color w:val="auto"/>
                      <w:szCs w:val="21"/>
                    </w:rPr>
                  </w:pPr>
                  <w:r>
                    <w:rPr>
                      <w:rFonts w:hint="eastAsia"/>
                      <w:color w:val="auto"/>
                      <w:szCs w:val="21"/>
                    </w:rPr>
                    <w:t>垃圾桶</w:t>
                  </w:r>
                </w:p>
              </w:tc>
              <w:tc>
                <w:tcPr>
                  <w:tcW w:w="520" w:type="pct"/>
                  <w:noWrap w:val="0"/>
                  <w:vAlign w:val="center"/>
                </w:tcPr>
                <w:p w14:paraId="51C3F01C">
                  <w:pPr>
                    <w:adjustRightInd w:val="0"/>
                    <w:snapToGrid w:val="0"/>
                    <w:jc w:val="center"/>
                    <w:rPr>
                      <w:color w:val="auto"/>
                      <w:szCs w:val="21"/>
                    </w:rPr>
                  </w:pPr>
                  <w:r>
                    <w:rPr>
                      <w:rFonts w:hint="eastAsia"/>
                      <w:color w:val="auto"/>
                      <w:szCs w:val="21"/>
                      <w:lang w:val="en-US" w:eastAsia="zh-CN"/>
                    </w:rPr>
                    <w:t>若干</w:t>
                  </w:r>
                </w:p>
              </w:tc>
              <w:tc>
                <w:tcPr>
                  <w:tcW w:w="944" w:type="pct"/>
                  <w:noWrap w:val="0"/>
                  <w:vAlign w:val="center"/>
                </w:tcPr>
                <w:p w14:paraId="3F8181CD">
                  <w:pPr>
                    <w:adjustRightInd w:val="0"/>
                    <w:snapToGrid w:val="0"/>
                    <w:jc w:val="center"/>
                    <w:rPr>
                      <w:color w:val="auto"/>
                      <w:szCs w:val="21"/>
                    </w:rPr>
                  </w:pPr>
                  <w:r>
                    <w:rPr>
                      <w:rFonts w:hint="eastAsia"/>
                      <w:color w:val="auto"/>
                      <w:szCs w:val="21"/>
                    </w:rPr>
                    <w:t>0.1</w:t>
                  </w:r>
                </w:p>
              </w:tc>
            </w:tr>
            <w:tr w14:paraId="1767764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noWrap w:val="0"/>
                  <w:vAlign w:val="center"/>
                </w:tcPr>
                <w:p w14:paraId="6296964E">
                  <w:pPr>
                    <w:adjustRightInd w:val="0"/>
                    <w:snapToGrid w:val="0"/>
                    <w:jc w:val="center"/>
                    <w:rPr>
                      <w:rFonts w:hint="eastAsia" w:eastAsia="宋体"/>
                      <w:color w:val="auto"/>
                      <w:szCs w:val="21"/>
                      <w:lang w:val="en-US" w:eastAsia="zh-CN"/>
                    </w:rPr>
                  </w:pPr>
                  <w:r>
                    <w:rPr>
                      <w:rFonts w:hint="eastAsia"/>
                      <w:color w:val="auto"/>
                      <w:szCs w:val="21"/>
                      <w:lang w:val="en-US" w:eastAsia="zh-CN"/>
                    </w:rPr>
                    <w:t>6</w:t>
                  </w:r>
                </w:p>
              </w:tc>
              <w:tc>
                <w:tcPr>
                  <w:tcW w:w="719" w:type="pct"/>
                  <w:vMerge w:val="continue"/>
                  <w:noWrap w:val="0"/>
                  <w:vAlign w:val="center"/>
                </w:tcPr>
                <w:p w14:paraId="1DF620A6">
                  <w:pPr>
                    <w:adjustRightInd w:val="0"/>
                    <w:snapToGrid w:val="0"/>
                    <w:jc w:val="center"/>
                    <w:rPr>
                      <w:color w:val="auto"/>
                      <w:szCs w:val="21"/>
                    </w:rPr>
                  </w:pPr>
                </w:p>
              </w:tc>
              <w:tc>
                <w:tcPr>
                  <w:tcW w:w="2391" w:type="pct"/>
                  <w:noWrap w:val="0"/>
                  <w:vAlign w:val="center"/>
                </w:tcPr>
                <w:p w14:paraId="19D82459">
                  <w:pPr>
                    <w:adjustRightInd w:val="0"/>
                    <w:snapToGrid w:val="0"/>
                    <w:jc w:val="center"/>
                    <w:rPr>
                      <w:rFonts w:hint="default" w:eastAsia="宋体"/>
                      <w:color w:val="auto"/>
                      <w:szCs w:val="21"/>
                      <w:lang w:val="en-US" w:eastAsia="zh-CN"/>
                    </w:rPr>
                  </w:pPr>
                  <w:r>
                    <w:rPr>
                      <w:rFonts w:hint="eastAsia"/>
                      <w:color w:val="auto"/>
                      <w:szCs w:val="21"/>
                    </w:rPr>
                    <w:t>危废贮存库</w:t>
                  </w:r>
                </w:p>
              </w:tc>
              <w:tc>
                <w:tcPr>
                  <w:tcW w:w="520" w:type="pct"/>
                  <w:noWrap w:val="0"/>
                  <w:vAlign w:val="center"/>
                </w:tcPr>
                <w:p w14:paraId="17755160">
                  <w:pPr>
                    <w:adjustRightInd w:val="0"/>
                    <w:snapToGrid w:val="0"/>
                    <w:jc w:val="center"/>
                    <w:rPr>
                      <w:rFonts w:hint="default" w:eastAsia="宋体"/>
                      <w:color w:val="auto"/>
                      <w:szCs w:val="21"/>
                      <w:lang w:val="en-US" w:eastAsia="zh-CN"/>
                    </w:rPr>
                  </w:pPr>
                  <w:r>
                    <w:rPr>
                      <w:rFonts w:hint="eastAsia"/>
                      <w:color w:val="auto"/>
                      <w:szCs w:val="21"/>
                      <w:lang w:val="en-US" w:eastAsia="zh-CN"/>
                    </w:rPr>
                    <w:t>1间</w:t>
                  </w:r>
                </w:p>
              </w:tc>
              <w:tc>
                <w:tcPr>
                  <w:tcW w:w="944" w:type="pct"/>
                  <w:noWrap w:val="0"/>
                  <w:vAlign w:val="center"/>
                </w:tcPr>
                <w:p w14:paraId="252EE4B8">
                  <w:pPr>
                    <w:adjustRightInd w:val="0"/>
                    <w:snapToGrid w:val="0"/>
                    <w:jc w:val="center"/>
                    <w:rPr>
                      <w:rFonts w:hint="default" w:eastAsia="宋体"/>
                      <w:color w:val="auto"/>
                      <w:szCs w:val="21"/>
                      <w:lang w:val="en-US" w:eastAsia="zh-CN"/>
                    </w:rPr>
                  </w:pPr>
                  <w:r>
                    <w:rPr>
                      <w:rFonts w:hint="eastAsia"/>
                      <w:color w:val="auto"/>
                      <w:szCs w:val="21"/>
                      <w:lang w:val="en-US" w:eastAsia="zh-CN"/>
                    </w:rPr>
                    <w:t>2</w:t>
                  </w:r>
                </w:p>
              </w:tc>
            </w:tr>
            <w:tr w14:paraId="411D15E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noWrap w:val="0"/>
                  <w:vAlign w:val="center"/>
                </w:tcPr>
                <w:p w14:paraId="32E2CFC9">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7</w:t>
                  </w:r>
                </w:p>
              </w:tc>
              <w:tc>
                <w:tcPr>
                  <w:tcW w:w="3631" w:type="pct"/>
                  <w:gridSpan w:val="3"/>
                  <w:noWrap w:val="0"/>
                  <w:vAlign w:val="center"/>
                </w:tcPr>
                <w:p w14:paraId="4DFD9705">
                  <w:pPr>
                    <w:adjustRightInd w:val="0"/>
                    <w:snapToGrid w:val="0"/>
                    <w:jc w:val="center"/>
                    <w:rPr>
                      <w:rFonts w:hint="eastAsia"/>
                      <w:color w:val="auto"/>
                      <w:szCs w:val="21"/>
                    </w:rPr>
                  </w:pPr>
                  <w:r>
                    <w:rPr>
                      <w:rFonts w:hint="eastAsia"/>
                      <w:color w:val="auto"/>
                      <w:szCs w:val="21"/>
                    </w:rPr>
                    <w:t>环境管理和监测费用</w:t>
                  </w:r>
                </w:p>
              </w:tc>
              <w:tc>
                <w:tcPr>
                  <w:tcW w:w="944" w:type="pct"/>
                  <w:noWrap w:val="0"/>
                  <w:vAlign w:val="center"/>
                </w:tcPr>
                <w:p w14:paraId="1312C11D">
                  <w:pPr>
                    <w:adjustRightInd w:val="0"/>
                    <w:snapToGrid w:val="0"/>
                    <w:jc w:val="center"/>
                    <w:rPr>
                      <w:rFonts w:hint="default"/>
                      <w:color w:val="auto"/>
                      <w:szCs w:val="21"/>
                      <w:lang w:val="en-US"/>
                    </w:rPr>
                  </w:pPr>
                  <w:r>
                    <w:rPr>
                      <w:rFonts w:hint="eastAsia"/>
                      <w:color w:val="auto"/>
                      <w:szCs w:val="21"/>
                      <w:lang w:val="en-US" w:eastAsia="zh-CN"/>
                    </w:rPr>
                    <w:t>1.5</w:t>
                  </w:r>
                </w:p>
              </w:tc>
            </w:tr>
            <w:tr w14:paraId="2D268A4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5" w:type="pct"/>
                  <w:gridSpan w:val="4"/>
                  <w:noWrap w:val="0"/>
                  <w:vAlign w:val="center"/>
                </w:tcPr>
                <w:p w14:paraId="47D36E89">
                  <w:pPr>
                    <w:adjustRightInd w:val="0"/>
                    <w:snapToGrid w:val="0"/>
                    <w:jc w:val="center"/>
                    <w:rPr>
                      <w:color w:val="auto"/>
                      <w:szCs w:val="21"/>
                    </w:rPr>
                  </w:pPr>
                  <w:r>
                    <w:rPr>
                      <w:color w:val="auto"/>
                      <w:szCs w:val="21"/>
                    </w:rPr>
                    <w:t>合计</w:t>
                  </w:r>
                </w:p>
              </w:tc>
              <w:tc>
                <w:tcPr>
                  <w:tcW w:w="944" w:type="pct"/>
                  <w:noWrap w:val="0"/>
                  <w:vAlign w:val="center"/>
                </w:tcPr>
                <w:p w14:paraId="4100B8DC">
                  <w:pPr>
                    <w:adjustRightInd w:val="0"/>
                    <w:snapToGrid w:val="0"/>
                    <w:jc w:val="center"/>
                    <w:rPr>
                      <w:rFonts w:hint="default"/>
                      <w:color w:val="auto"/>
                      <w:szCs w:val="21"/>
                      <w:lang w:val="en-US"/>
                    </w:rPr>
                  </w:pPr>
                  <w:r>
                    <w:rPr>
                      <w:rFonts w:hint="eastAsia"/>
                      <w:color w:val="auto"/>
                      <w:szCs w:val="21"/>
                      <w:lang w:val="en-US" w:eastAsia="zh-CN"/>
                    </w:rPr>
                    <w:t>15.6</w:t>
                  </w:r>
                </w:p>
              </w:tc>
            </w:tr>
          </w:tbl>
          <w:p w14:paraId="651046A6">
            <w:pPr>
              <w:pStyle w:val="46"/>
              <w:rPr>
                <w:rFonts w:hint="eastAsia"/>
                <w:color w:val="auto"/>
                <w:sz w:val="21"/>
                <w:szCs w:val="21"/>
              </w:rPr>
            </w:pPr>
          </w:p>
          <w:p w14:paraId="586277C9">
            <w:pPr>
              <w:pStyle w:val="46"/>
              <w:rPr>
                <w:rFonts w:hint="eastAsia"/>
                <w:color w:val="auto"/>
                <w:sz w:val="21"/>
                <w:szCs w:val="21"/>
              </w:rPr>
            </w:pPr>
          </w:p>
          <w:p w14:paraId="27240B5B">
            <w:pPr>
              <w:pStyle w:val="46"/>
              <w:rPr>
                <w:rFonts w:hint="eastAsia"/>
                <w:color w:val="auto"/>
                <w:sz w:val="21"/>
                <w:szCs w:val="21"/>
              </w:rPr>
            </w:pPr>
          </w:p>
          <w:p w14:paraId="19AA0BCC">
            <w:pPr>
              <w:pStyle w:val="46"/>
              <w:rPr>
                <w:rFonts w:hint="eastAsia"/>
                <w:color w:val="auto"/>
                <w:sz w:val="21"/>
                <w:szCs w:val="21"/>
              </w:rPr>
            </w:pPr>
          </w:p>
          <w:p w14:paraId="0ED63E86">
            <w:pPr>
              <w:pStyle w:val="46"/>
              <w:rPr>
                <w:rFonts w:hint="eastAsia"/>
                <w:color w:val="auto"/>
                <w:sz w:val="21"/>
                <w:szCs w:val="21"/>
              </w:rPr>
            </w:pPr>
          </w:p>
          <w:p w14:paraId="01BAAD01">
            <w:pPr>
              <w:pStyle w:val="6"/>
              <w:spacing w:line="360" w:lineRule="auto"/>
              <w:ind w:firstLine="0"/>
              <w:rPr>
                <w:rFonts w:hint="eastAsia"/>
                <w:color w:val="auto"/>
                <w:szCs w:val="24"/>
              </w:rPr>
            </w:pPr>
          </w:p>
        </w:tc>
      </w:tr>
    </w:tbl>
    <w:p w14:paraId="3C9FB630">
      <w:pPr>
        <w:pStyle w:val="11"/>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A93D33">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0" w:name="_Hlk54167917"/>
      <w:r>
        <w:rPr>
          <w:rFonts w:hint="eastAsia" w:ascii="黑体" w:hAnsi="黑体" w:eastAsia="黑体"/>
          <w:snapToGrid w:val="0"/>
          <w:color w:val="auto"/>
          <w:sz w:val="30"/>
          <w:szCs w:val="30"/>
        </w:rPr>
        <w:t>环境保护措施监督检查清单</w:t>
      </w:r>
      <w:bookmarkEnd w:id="4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512"/>
        <w:gridCol w:w="1442"/>
        <w:gridCol w:w="2163"/>
        <w:gridCol w:w="2427"/>
      </w:tblGrid>
      <w:tr w14:paraId="0DA2B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6" w:type="dxa"/>
            <w:tcBorders>
              <w:tl2br w:val="single" w:color="auto" w:sz="4" w:space="0"/>
            </w:tcBorders>
            <w:noWrap w:val="0"/>
            <w:vAlign w:val="top"/>
          </w:tcPr>
          <w:p w14:paraId="36DCDE61">
            <w:pPr>
              <w:adjustRightInd w:val="0"/>
              <w:snapToGrid w:val="0"/>
              <w:jc w:val="right"/>
              <w:rPr>
                <w:color w:val="auto"/>
                <w:szCs w:val="21"/>
              </w:rPr>
            </w:pPr>
            <w:r>
              <w:rPr>
                <w:color w:val="auto"/>
                <w:szCs w:val="21"/>
              </w:rPr>
              <w:t>内容</w:t>
            </w:r>
          </w:p>
          <w:p w14:paraId="1574E0EF">
            <w:pPr>
              <w:adjustRightInd w:val="0"/>
              <w:snapToGrid w:val="0"/>
              <w:rPr>
                <w:color w:val="auto"/>
                <w:szCs w:val="21"/>
              </w:rPr>
            </w:pPr>
          </w:p>
          <w:p w14:paraId="49EB84BF">
            <w:pPr>
              <w:adjustRightInd w:val="0"/>
              <w:snapToGrid w:val="0"/>
              <w:rPr>
                <w:color w:val="auto"/>
                <w:szCs w:val="21"/>
              </w:rPr>
            </w:pPr>
            <w:r>
              <w:rPr>
                <w:color w:val="auto"/>
                <w:szCs w:val="21"/>
              </w:rPr>
              <w:t>要素</w:t>
            </w:r>
          </w:p>
        </w:tc>
        <w:tc>
          <w:tcPr>
            <w:tcW w:w="1512" w:type="dxa"/>
            <w:noWrap w:val="0"/>
            <w:vAlign w:val="center"/>
          </w:tcPr>
          <w:p w14:paraId="0CC62406">
            <w:pPr>
              <w:adjustRightInd w:val="0"/>
              <w:snapToGrid w:val="0"/>
              <w:jc w:val="center"/>
              <w:rPr>
                <w:color w:val="auto"/>
                <w:szCs w:val="21"/>
              </w:rPr>
            </w:pPr>
            <w:r>
              <w:rPr>
                <w:color w:val="auto"/>
                <w:szCs w:val="21"/>
              </w:rPr>
              <w:t>排放口</w:t>
            </w:r>
            <w:r>
              <w:rPr>
                <w:rFonts w:hint="eastAsia"/>
                <w:color w:val="auto"/>
                <w:szCs w:val="21"/>
              </w:rPr>
              <w:t>（</w:t>
            </w:r>
            <w:r>
              <w:rPr>
                <w:color w:val="auto"/>
                <w:szCs w:val="21"/>
              </w:rPr>
              <w:t>编号、</w:t>
            </w:r>
          </w:p>
          <w:p w14:paraId="7428DD30">
            <w:pPr>
              <w:adjustRightInd w:val="0"/>
              <w:snapToGrid w:val="0"/>
              <w:jc w:val="center"/>
              <w:rPr>
                <w:color w:val="auto"/>
                <w:szCs w:val="21"/>
              </w:rPr>
            </w:pPr>
            <w:r>
              <w:rPr>
                <w:color w:val="auto"/>
                <w:szCs w:val="21"/>
              </w:rPr>
              <w:t>名称</w:t>
            </w:r>
            <w:r>
              <w:rPr>
                <w:rFonts w:hint="eastAsia"/>
                <w:color w:val="auto"/>
                <w:szCs w:val="21"/>
              </w:rPr>
              <w:t>）</w:t>
            </w:r>
            <w:r>
              <w:rPr>
                <w:color w:val="auto"/>
                <w:szCs w:val="21"/>
              </w:rPr>
              <w:t>/污染源</w:t>
            </w:r>
          </w:p>
        </w:tc>
        <w:tc>
          <w:tcPr>
            <w:tcW w:w="1442" w:type="dxa"/>
            <w:noWrap w:val="0"/>
            <w:vAlign w:val="center"/>
          </w:tcPr>
          <w:p w14:paraId="1A71C0DB">
            <w:pPr>
              <w:adjustRightInd w:val="0"/>
              <w:snapToGrid w:val="0"/>
              <w:jc w:val="center"/>
              <w:rPr>
                <w:color w:val="auto"/>
                <w:szCs w:val="21"/>
              </w:rPr>
            </w:pPr>
            <w:r>
              <w:rPr>
                <w:color w:val="auto"/>
                <w:szCs w:val="21"/>
              </w:rPr>
              <w:t>污染物项目</w:t>
            </w:r>
          </w:p>
        </w:tc>
        <w:tc>
          <w:tcPr>
            <w:tcW w:w="2163" w:type="dxa"/>
            <w:noWrap w:val="0"/>
            <w:vAlign w:val="center"/>
          </w:tcPr>
          <w:p w14:paraId="0B622E26">
            <w:pPr>
              <w:adjustRightInd w:val="0"/>
              <w:snapToGrid w:val="0"/>
              <w:jc w:val="center"/>
              <w:rPr>
                <w:color w:val="auto"/>
                <w:szCs w:val="21"/>
              </w:rPr>
            </w:pPr>
            <w:r>
              <w:rPr>
                <w:color w:val="auto"/>
                <w:szCs w:val="21"/>
              </w:rPr>
              <w:t>环境保护措施</w:t>
            </w:r>
          </w:p>
        </w:tc>
        <w:tc>
          <w:tcPr>
            <w:tcW w:w="2427" w:type="dxa"/>
            <w:noWrap w:val="0"/>
            <w:vAlign w:val="center"/>
          </w:tcPr>
          <w:p w14:paraId="45099842">
            <w:pPr>
              <w:adjustRightInd w:val="0"/>
              <w:snapToGrid w:val="0"/>
              <w:jc w:val="center"/>
              <w:rPr>
                <w:color w:val="auto"/>
                <w:szCs w:val="21"/>
              </w:rPr>
            </w:pPr>
            <w:r>
              <w:rPr>
                <w:color w:val="auto"/>
                <w:szCs w:val="21"/>
              </w:rPr>
              <w:t>执行标准</w:t>
            </w:r>
          </w:p>
        </w:tc>
      </w:tr>
      <w:tr w14:paraId="3C860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6" w:type="dxa"/>
            <w:vMerge w:val="restart"/>
            <w:noWrap w:val="0"/>
            <w:vAlign w:val="center"/>
          </w:tcPr>
          <w:p w14:paraId="41C347A5">
            <w:pPr>
              <w:adjustRightInd w:val="0"/>
              <w:snapToGrid w:val="0"/>
              <w:jc w:val="center"/>
              <w:rPr>
                <w:color w:val="auto"/>
                <w:szCs w:val="21"/>
              </w:rPr>
            </w:pPr>
            <w:r>
              <w:rPr>
                <w:color w:val="auto"/>
                <w:szCs w:val="21"/>
              </w:rPr>
              <w:t>大气环境</w:t>
            </w:r>
          </w:p>
        </w:tc>
        <w:tc>
          <w:tcPr>
            <w:tcW w:w="1512" w:type="dxa"/>
            <w:noWrap w:val="0"/>
            <w:vAlign w:val="center"/>
          </w:tcPr>
          <w:p w14:paraId="39A62308">
            <w:pPr>
              <w:ind w:left="-105" w:leftChars="-50" w:right="-105" w:rightChars="-50"/>
              <w:jc w:val="center"/>
              <w:rPr>
                <w:rFonts w:hint="eastAsia" w:eastAsia="宋体"/>
                <w:color w:val="auto"/>
                <w:kern w:val="2"/>
                <w:sz w:val="21"/>
                <w:szCs w:val="21"/>
                <w:lang w:val="en-US" w:eastAsia="zh-CN" w:bidi="ar-SA"/>
              </w:rPr>
            </w:pPr>
            <w:r>
              <w:rPr>
                <w:rFonts w:hint="eastAsia"/>
                <w:color w:val="auto"/>
                <w:szCs w:val="21"/>
                <w:lang w:val="en-US" w:eastAsia="zh-CN"/>
              </w:rPr>
              <w:t>排气筒DA001</w:t>
            </w:r>
          </w:p>
        </w:tc>
        <w:tc>
          <w:tcPr>
            <w:tcW w:w="1442" w:type="dxa"/>
            <w:vMerge w:val="restart"/>
            <w:noWrap w:val="0"/>
            <w:vAlign w:val="center"/>
          </w:tcPr>
          <w:p w14:paraId="6165FA9A">
            <w:pPr>
              <w:adjustRightInd w:val="0"/>
              <w:snapToGrid w:val="0"/>
              <w:jc w:val="center"/>
              <w:rPr>
                <w:rFonts w:hint="default"/>
                <w:color w:val="auto"/>
                <w:kern w:val="2"/>
                <w:sz w:val="21"/>
                <w:szCs w:val="21"/>
                <w:lang w:val="en-US" w:eastAsia="zh-CN" w:bidi="ar-SA"/>
              </w:rPr>
            </w:pPr>
            <w:r>
              <w:rPr>
                <w:rFonts w:hint="eastAsia"/>
                <w:color w:val="auto"/>
                <w:kern w:val="2"/>
                <w:sz w:val="21"/>
                <w:szCs w:val="21"/>
                <w:lang w:val="en-US" w:eastAsia="zh-CN" w:bidi="ar-SA"/>
              </w:rPr>
              <w:t>非甲烷总烃</w:t>
            </w:r>
          </w:p>
        </w:tc>
        <w:tc>
          <w:tcPr>
            <w:tcW w:w="2163" w:type="dxa"/>
            <w:noWrap w:val="0"/>
            <w:vAlign w:val="center"/>
          </w:tcPr>
          <w:p w14:paraId="09F62240">
            <w:pPr>
              <w:adjustRightInd w:val="0"/>
              <w:snapToGrid w:val="0"/>
              <w:jc w:val="center"/>
              <w:rPr>
                <w:color w:val="auto"/>
                <w:szCs w:val="21"/>
              </w:rPr>
            </w:pPr>
            <w:r>
              <w:rPr>
                <w:rFonts w:hint="default" w:ascii="Times New Roman" w:hAnsi="Times New Roman" w:cs="Times New Roman"/>
                <w:bCs/>
                <w:color w:val="auto"/>
                <w:sz w:val="21"/>
                <w:szCs w:val="21"/>
              </w:rPr>
              <w:t>集气罩</w:t>
            </w:r>
            <w:r>
              <w:rPr>
                <w:rFonts w:hint="eastAsia" w:cs="Times New Roman"/>
                <w:bCs/>
                <w:color w:val="auto"/>
                <w:sz w:val="21"/>
                <w:szCs w:val="21"/>
                <w:lang w:val="en-US" w:eastAsia="zh-CN"/>
              </w:rPr>
              <w:t>+软帘</w:t>
            </w:r>
            <w:r>
              <w:rPr>
                <w:rFonts w:hint="default" w:ascii="Times New Roman" w:hAnsi="Times New Roman" w:cs="Times New Roman"/>
                <w:bCs/>
                <w:color w:val="auto"/>
                <w:sz w:val="21"/>
                <w:szCs w:val="21"/>
              </w:rPr>
              <w:t>+</w:t>
            </w:r>
            <w:r>
              <w:rPr>
                <w:rFonts w:hint="eastAsia" w:cs="Times New Roman"/>
                <w:bCs/>
                <w:color w:val="auto"/>
                <w:sz w:val="21"/>
                <w:szCs w:val="21"/>
                <w:lang w:eastAsia="zh-CN"/>
              </w:rPr>
              <w:t>二级活性炭</w:t>
            </w:r>
            <w:r>
              <w:rPr>
                <w:rFonts w:hint="default" w:ascii="Times New Roman" w:hAnsi="Times New Roman" w:cs="Times New Roman"/>
                <w:bCs/>
                <w:color w:val="auto"/>
                <w:sz w:val="21"/>
                <w:szCs w:val="21"/>
              </w:rPr>
              <w:t>吸附+15m排气筒</w:t>
            </w:r>
          </w:p>
        </w:tc>
        <w:tc>
          <w:tcPr>
            <w:tcW w:w="2427" w:type="dxa"/>
            <w:vMerge w:val="restart"/>
            <w:noWrap w:val="0"/>
            <w:vAlign w:val="center"/>
          </w:tcPr>
          <w:p w14:paraId="044621A6">
            <w:pPr>
              <w:adjustRightInd w:val="0"/>
              <w:snapToGrid w:val="0"/>
              <w:jc w:val="center"/>
              <w:rPr>
                <w:rFonts w:hint="eastAsia" w:eastAsia="宋体"/>
                <w:color w:val="auto"/>
                <w:szCs w:val="21"/>
                <w:lang w:eastAsia="zh-CN"/>
              </w:rPr>
            </w:pPr>
            <w:r>
              <w:rPr>
                <w:rFonts w:hint="eastAsia"/>
                <w:color w:val="auto"/>
                <w:szCs w:val="21"/>
                <w:highlight w:val="none"/>
              </w:rPr>
              <w:t>《合成树脂工业污染物排放标准》（GB31572-2015）（含2024年修改清单）</w:t>
            </w:r>
          </w:p>
        </w:tc>
      </w:tr>
      <w:tr w14:paraId="65895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6" w:type="dxa"/>
            <w:vMerge w:val="continue"/>
            <w:noWrap w:val="0"/>
            <w:vAlign w:val="center"/>
          </w:tcPr>
          <w:p w14:paraId="5A7F825E">
            <w:pPr>
              <w:adjustRightInd w:val="0"/>
              <w:snapToGrid w:val="0"/>
              <w:jc w:val="center"/>
              <w:rPr>
                <w:color w:val="auto"/>
                <w:szCs w:val="21"/>
              </w:rPr>
            </w:pPr>
          </w:p>
        </w:tc>
        <w:tc>
          <w:tcPr>
            <w:tcW w:w="1512" w:type="dxa"/>
            <w:noWrap w:val="0"/>
            <w:vAlign w:val="center"/>
          </w:tcPr>
          <w:p w14:paraId="6EA46716">
            <w:pPr>
              <w:ind w:left="-105" w:leftChars="-50" w:right="-105" w:rightChars="-50"/>
              <w:jc w:val="center"/>
              <w:rPr>
                <w:rFonts w:hint="eastAsia" w:eastAsia="宋体"/>
                <w:color w:val="auto"/>
                <w:szCs w:val="21"/>
                <w:lang w:val="en-US" w:eastAsia="zh-CN"/>
              </w:rPr>
            </w:pPr>
            <w:r>
              <w:rPr>
                <w:rFonts w:hint="eastAsia"/>
                <w:color w:val="auto"/>
                <w:szCs w:val="21"/>
                <w:lang w:val="en-US" w:eastAsia="zh-CN"/>
              </w:rPr>
              <w:t>排气筒DA002</w:t>
            </w:r>
          </w:p>
        </w:tc>
        <w:tc>
          <w:tcPr>
            <w:tcW w:w="1442" w:type="dxa"/>
            <w:vMerge w:val="continue"/>
            <w:noWrap w:val="0"/>
            <w:vAlign w:val="center"/>
          </w:tcPr>
          <w:p w14:paraId="4224A6E9">
            <w:pPr>
              <w:adjustRightInd w:val="0"/>
              <w:snapToGrid w:val="0"/>
              <w:jc w:val="center"/>
              <w:rPr>
                <w:rFonts w:hint="eastAsia"/>
                <w:color w:val="auto"/>
                <w:szCs w:val="21"/>
                <w:lang w:val="en-US" w:eastAsia="zh-CN"/>
              </w:rPr>
            </w:pPr>
          </w:p>
        </w:tc>
        <w:tc>
          <w:tcPr>
            <w:tcW w:w="2163" w:type="dxa"/>
            <w:noWrap w:val="0"/>
            <w:vAlign w:val="center"/>
          </w:tcPr>
          <w:p w14:paraId="3857BB25">
            <w:pPr>
              <w:adjustRightInd w:val="0"/>
              <w:snapToGrid w:val="0"/>
              <w:jc w:val="center"/>
              <w:rPr>
                <w:rFonts w:hint="eastAsia"/>
                <w:color w:val="auto"/>
                <w:szCs w:val="21"/>
              </w:rPr>
            </w:pPr>
            <w:r>
              <w:rPr>
                <w:rFonts w:hint="default" w:ascii="Times New Roman" w:hAnsi="Times New Roman" w:cs="Times New Roman"/>
                <w:bCs/>
                <w:color w:val="auto"/>
                <w:sz w:val="21"/>
                <w:szCs w:val="21"/>
              </w:rPr>
              <w:t>集气罩</w:t>
            </w:r>
            <w:r>
              <w:rPr>
                <w:rFonts w:hint="eastAsia" w:cs="Times New Roman"/>
                <w:bCs/>
                <w:color w:val="auto"/>
                <w:sz w:val="21"/>
                <w:szCs w:val="21"/>
                <w:lang w:val="en-US" w:eastAsia="zh-CN"/>
              </w:rPr>
              <w:t>+软帘</w:t>
            </w:r>
            <w:r>
              <w:rPr>
                <w:rFonts w:hint="eastAsia" w:ascii="Times New Roman" w:hAnsi="Times New Roman" w:cs="Times New Roman"/>
                <w:bCs/>
                <w:color w:val="auto"/>
                <w:sz w:val="21"/>
                <w:szCs w:val="21"/>
                <w:lang w:val="en-US" w:eastAsia="zh-CN"/>
              </w:rPr>
              <w:t>+</w:t>
            </w:r>
            <w:r>
              <w:rPr>
                <w:rFonts w:hint="eastAsia" w:cs="Times New Roman"/>
                <w:bCs/>
                <w:color w:val="auto"/>
                <w:sz w:val="21"/>
                <w:szCs w:val="21"/>
                <w:lang w:eastAsia="zh-CN"/>
              </w:rPr>
              <w:t>二级活性炭</w:t>
            </w:r>
            <w:r>
              <w:rPr>
                <w:rFonts w:hint="default" w:ascii="Times New Roman" w:hAnsi="Times New Roman" w:cs="Times New Roman"/>
                <w:bCs/>
                <w:color w:val="auto"/>
                <w:sz w:val="21"/>
                <w:szCs w:val="21"/>
              </w:rPr>
              <w:t>吸附+15m排气筒</w:t>
            </w:r>
          </w:p>
        </w:tc>
        <w:tc>
          <w:tcPr>
            <w:tcW w:w="2427" w:type="dxa"/>
            <w:vMerge w:val="continue"/>
            <w:noWrap w:val="0"/>
            <w:vAlign w:val="center"/>
          </w:tcPr>
          <w:p w14:paraId="7BF2F81B">
            <w:pPr>
              <w:adjustRightInd w:val="0"/>
              <w:snapToGrid w:val="0"/>
              <w:jc w:val="center"/>
              <w:rPr>
                <w:rFonts w:hint="eastAsia"/>
                <w:bCs/>
                <w:color w:val="auto"/>
                <w:szCs w:val="21"/>
              </w:rPr>
            </w:pPr>
          </w:p>
        </w:tc>
      </w:tr>
      <w:tr w14:paraId="55465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6" w:type="dxa"/>
            <w:vMerge w:val="continue"/>
            <w:noWrap w:val="0"/>
            <w:vAlign w:val="center"/>
          </w:tcPr>
          <w:p w14:paraId="05F3090B">
            <w:pPr>
              <w:adjustRightInd w:val="0"/>
              <w:snapToGrid w:val="0"/>
              <w:jc w:val="center"/>
              <w:rPr>
                <w:color w:val="auto"/>
                <w:szCs w:val="21"/>
              </w:rPr>
            </w:pPr>
          </w:p>
        </w:tc>
        <w:tc>
          <w:tcPr>
            <w:tcW w:w="1512" w:type="dxa"/>
            <w:noWrap w:val="0"/>
            <w:vAlign w:val="center"/>
          </w:tcPr>
          <w:p w14:paraId="55B1A31F">
            <w:pPr>
              <w:ind w:left="-105" w:leftChars="-50" w:right="-105" w:rightChars="-50"/>
              <w:jc w:val="center"/>
              <w:rPr>
                <w:rFonts w:hint="eastAsia" w:eastAsia="宋体"/>
                <w:color w:val="auto"/>
                <w:kern w:val="2"/>
                <w:sz w:val="21"/>
                <w:szCs w:val="21"/>
                <w:lang w:val="en-US" w:eastAsia="zh-CN" w:bidi="ar-SA"/>
              </w:rPr>
            </w:pPr>
            <w:r>
              <w:rPr>
                <w:rFonts w:hint="eastAsia"/>
                <w:color w:val="auto"/>
                <w:szCs w:val="21"/>
                <w:lang w:val="en-US" w:eastAsia="zh-CN"/>
              </w:rPr>
              <w:t>排气筒DA003</w:t>
            </w:r>
          </w:p>
        </w:tc>
        <w:tc>
          <w:tcPr>
            <w:tcW w:w="1442" w:type="dxa"/>
            <w:noWrap w:val="0"/>
            <w:vAlign w:val="center"/>
          </w:tcPr>
          <w:p w14:paraId="5F70D325">
            <w:pPr>
              <w:adjustRightInd w:val="0"/>
              <w:snapToGrid w:val="0"/>
              <w:jc w:val="center"/>
              <w:rPr>
                <w:rFonts w:hint="eastAsia"/>
                <w:color w:val="auto"/>
                <w:kern w:val="2"/>
                <w:sz w:val="21"/>
                <w:szCs w:val="21"/>
                <w:lang w:val="en-US" w:eastAsia="zh-CN" w:bidi="ar-SA"/>
              </w:rPr>
            </w:pPr>
            <w:r>
              <w:rPr>
                <w:rFonts w:hint="eastAsia"/>
                <w:color w:val="auto"/>
                <w:kern w:val="2"/>
                <w:sz w:val="21"/>
                <w:szCs w:val="21"/>
                <w:lang w:val="en-US" w:eastAsia="zh-CN" w:bidi="ar-SA"/>
              </w:rPr>
              <w:t>颗粒物</w:t>
            </w:r>
          </w:p>
        </w:tc>
        <w:tc>
          <w:tcPr>
            <w:tcW w:w="2163" w:type="dxa"/>
            <w:noWrap w:val="0"/>
            <w:vAlign w:val="center"/>
          </w:tcPr>
          <w:p w14:paraId="59FD7820">
            <w:pPr>
              <w:adjustRightInd w:val="0"/>
              <w:snapToGrid w:val="0"/>
              <w:jc w:val="center"/>
              <w:rPr>
                <w:rFonts w:hint="eastAsia" w:eastAsia="宋体"/>
                <w:color w:val="auto"/>
                <w:szCs w:val="21"/>
                <w:lang w:eastAsia="zh-CN"/>
              </w:rPr>
            </w:pPr>
            <w:r>
              <w:rPr>
                <w:rFonts w:hint="default" w:ascii="Times New Roman" w:hAnsi="Times New Roman" w:cs="Times New Roman"/>
                <w:bCs/>
                <w:color w:val="auto"/>
                <w:sz w:val="21"/>
                <w:szCs w:val="21"/>
              </w:rPr>
              <w:t>布袋除尘器+</w:t>
            </w:r>
            <w:r>
              <w:rPr>
                <w:rFonts w:hint="eastAsia" w:cs="Times New Roman"/>
                <w:bCs/>
                <w:color w:val="auto"/>
                <w:sz w:val="21"/>
                <w:szCs w:val="21"/>
                <w:lang w:eastAsia="zh-CN"/>
              </w:rPr>
              <w:t>15m</w:t>
            </w:r>
            <w:r>
              <w:rPr>
                <w:rFonts w:hint="default" w:ascii="Times New Roman" w:hAnsi="Times New Roman" w:cs="Times New Roman"/>
                <w:bCs/>
                <w:color w:val="auto"/>
                <w:sz w:val="21"/>
                <w:szCs w:val="21"/>
              </w:rPr>
              <w:t>排气筒</w:t>
            </w:r>
          </w:p>
        </w:tc>
        <w:tc>
          <w:tcPr>
            <w:tcW w:w="2427" w:type="dxa"/>
            <w:noWrap w:val="0"/>
            <w:vAlign w:val="center"/>
          </w:tcPr>
          <w:p w14:paraId="4A34E616">
            <w:pPr>
              <w:adjustRightInd w:val="0"/>
              <w:snapToGrid w:val="0"/>
              <w:jc w:val="center"/>
              <w:rPr>
                <w:rFonts w:hint="eastAsia"/>
                <w:bCs/>
                <w:color w:val="auto"/>
                <w:szCs w:val="21"/>
              </w:rPr>
            </w:pPr>
            <w:r>
              <w:rPr>
                <w:color w:val="auto"/>
                <w:szCs w:val="21"/>
                <w:highlight w:val="none"/>
              </w:rPr>
              <w:t>《大气污染物综合排放标准》（GB16297-1996）</w:t>
            </w:r>
          </w:p>
        </w:tc>
      </w:tr>
      <w:tr w14:paraId="3740C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56" w:type="dxa"/>
            <w:vMerge w:val="restart"/>
            <w:noWrap w:val="0"/>
            <w:vAlign w:val="center"/>
          </w:tcPr>
          <w:p w14:paraId="609B3FD0">
            <w:pPr>
              <w:adjustRightInd w:val="0"/>
              <w:snapToGrid w:val="0"/>
              <w:jc w:val="center"/>
              <w:rPr>
                <w:color w:val="auto"/>
                <w:szCs w:val="21"/>
              </w:rPr>
            </w:pPr>
            <w:r>
              <w:rPr>
                <w:color w:val="auto"/>
                <w:szCs w:val="21"/>
              </w:rPr>
              <w:t>地表水环境</w:t>
            </w:r>
          </w:p>
        </w:tc>
        <w:tc>
          <w:tcPr>
            <w:tcW w:w="1512" w:type="dxa"/>
            <w:noWrap w:val="0"/>
            <w:vAlign w:val="center"/>
          </w:tcPr>
          <w:p w14:paraId="1FE1BDC2">
            <w:pPr>
              <w:adjustRightInd w:val="0"/>
              <w:snapToGrid w:val="0"/>
              <w:jc w:val="center"/>
              <w:rPr>
                <w:color w:val="auto"/>
                <w:szCs w:val="21"/>
              </w:rPr>
            </w:pPr>
            <w:r>
              <w:rPr>
                <w:color w:val="auto"/>
                <w:szCs w:val="21"/>
              </w:rPr>
              <w:t>生活污水</w:t>
            </w:r>
          </w:p>
        </w:tc>
        <w:tc>
          <w:tcPr>
            <w:tcW w:w="1442" w:type="dxa"/>
            <w:noWrap w:val="0"/>
            <w:vAlign w:val="center"/>
          </w:tcPr>
          <w:p w14:paraId="52372927">
            <w:pPr>
              <w:adjustRightInd w:val="0"/>
              <w:snapToGrid w:val="0"/>
              <w:jc w:val="center"/>
              <w:rPr>
                <w:color w:val="auto"/>
                <w:szCs w:val="21"/>
              </w:rPr>
            </w:pPr>
            <w:r>
              <w:rPr>
                <w:color w:val="auto"/>
                <w:szCs w:val="21"/>
              </w:rPr>
              <w:t>COD</w:t>
            </w:r>
            <w:r>
              <w:rPr>
                <w:rFonts w:hint="eastAsia"/>
                <w:color w:val="auto"/>
                <w:szCs w:val="21"/>
              </w:rPr>
              <w:t>、</w:t>
            </w:r>
            <w:r>
              <w:rPr>
                <w:color w:val="auto"/>
                <w:szCs w:val="21"/>
              </w:rPr>
              <w:t>BOD</w:t>
            </w:r>
            <w:r>
              <w:rPr>
                <w:color w:val="auto"/>
                <w:szCs w:val="21"/>
                <w:vertAlign w:val="subscript"/>
              </w:rPr>
              <w:t>5</w:t>
            </w:r>
            <w:r>
              <w:rPr>
                <w:rFonts w:hint="eastAsia"/>
                <w:color w:val="auto"/>
                <w:szCs w:val="21"/>
              </w:rPr>
              <w:t>、</w:t>
            </w:r>
            <w:r>
              <w:rPr>
                <w:color w:val="auto"/>
                <w:szCs w:val="21"/>
              </w:rPr>
              <w:t>SS</w:t>
            </w:r>
            <w:r>
              <w:rPr>
                <w:rFonts w:hint="eastAsia"/>
                <w:color w:val="auto"/>
                <w:szCs w:val="21"/>
              </w:rPr>
              <w:t>、</w:t>
            </w:r>
            <w:r>
              <w:rPr>
                <w:color w:val="auto"/>
                <w:szCs w:val="21"/>
              </w:rPr>
              <w:t>NH</w:t>
            </w:r>
            <w:r>
              <w:rPr>
                <w:color w:val="auto"/>
                <w:szCs w:val="21"/>
                <w:vertAlign w:val="subscript"/>
              </w:rPr>
              <w:t>3</w:t>
            </w:r>
            <w:r>
              <w:rPr>
                <w:color w:val="auto"/>
                <w:szCs w:val="21"/>
              </w:rPr>
              <w:t>-N</w:t>
            </w:r>
            <w:r>
              <w:rPr>
                <w:rFonts w:hint="eastAsia"/>
                <w:color w:val="auto"/>
                <w:szCs w:val="21"/>
              </w:rPr>
              <w:t>、TN、TP</w:t>
            </w:r>
          </w:p>
        </w:tc>
        <w:tc>
          <w:tcPr>
            <w:tcW w:w="2163" w:type="dxa"/>
            <w:noWrap w:val="0"/>
            <w:vAlign w:val="center"/>
          </w:tcPr>
          <w:p w14:paraId="786A486E">
            <w:pPr>
              <w:adjustRightInd w:val="0"/>
              <w:snapToGrid w:val="0"/>
              <w:jc w:val="center"/>
              <w:rPr>
                <w:rFonts w:hint="eastAsia"/>
                <w:color w:val="auto"/>
                <w:szCs w:val="21"/>
              </w:rPr>
            </w:pPr>
            <w:r>
              <w:rPr>
                <w:rFonts w:hint="default" w:ascii="Times New Roman" w:hAnsi="Times New Roman" w:cs="Times New Roman"/>
                <w:color w:val="auto"/>
                <w:szCs w:val="21"/>
                <w:lang w:eastAsia="zh-CN"/>
              </w:rPr>
              <w:t>依托</w:t>
            </w:r>
            <w:r>
              <w:rPr>
                <w:rFonts w:hint="eastAsia" w:ascii="Times New Roman" w:hAnsi="Times New Roman" w:cs="Times New Roman"/>
                <w:color w:val="auto"/>
                <w:szCs w:val="21"/>
                <w:lang w:val="en-US" w:eastAsia="zh-CN"/>
              </w:rPr>
              <w:t>租赁</w:t>
            </w:r>
            <w:r>
              <w:rPr>
                <w:rFonts w:hint="default" w:ascii="Times New Roman" w:hAnsi="Times New Roman" w:cs="Times New Roman"/>
                <w:color w:val="auto"/>
                <w:szCs w:val="21"/>
                <w:lang w:eastAsia="zh-CN"/>
              </w:rPr>
              <w:t>厂区化粪池处理后</w:t>
            </w:r>
            <w:r>
              <w:rPr>
                <w:rFonts w:hint="eastAsia" w:ascii="Times New Roman" w:hAnsi="Times New Roman" w:cs="Times New Roman"/>
                <w:color w:val="auto"/>
                <w:szCs w:val="21"/>
                <w:lang w:val="en-US" w:eastAsia="zh-CN"/>
              </w:rPr>
              <w:t>排入泾河新城第二污水处理厂</w:t>
            </w:r>
          </w:p>
        </w:tc>
        <w:tc>
          <w:tcPr>
            <w:tcW w:w="2427" w:type="dxa"/>
            <w:noWrap w:val="0"/>
            <w:vAlign w:val="center"/>
          </w:tcPr>
          <w:p w14:paraId="7010A190">
            <w:pPr>
              <w:adjustRightInd w:val="0"/>
              <w:snapToGrid w:val="0"/>
              <w:jc w:val="center"/>
              <w:rPr>
                <w:rFonts w:hint="eastAsia"/>
                <w:color w:val="auto"/>
                <w:szCs w:val="21"/>
              </w:rPr>
            </w:pPr>
            <w:r>
              <w:rPr>
                <w:rFonts w:hint="eastAsia"/>
                <w:color w:val="auto"/>
                <w:szCs w:val="21"/>
              </w:rPr>
              <w:t>《污水综合排放标准》（GB8978-1996）三级标准及《污水排入城镇下水道水质标准》（GB/T 31962-2015）B级标准</w:t>
            </w:r>
          </w:p>
        </w:tc>
      </w:tr>
      <w:tr w14:paraId="7E251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6" w:type="dxa"/>
            <w:vMerge w:val="continue"/>
            <w:noWrap w:val="0"/>
            <w:vAlign w:val="center"/>
          </w:tcPr>
          <w:p w14:paraId="04BCBA29">
            <w:pPr>
              <w:adjustRightInd w:val="0"/>
              <w:snapToGrid w:val="0"/>
              <w:jc w:val="center"/>
              <w:rPr>
                <w:color w:val="auto"/>
                <w:szCs w:val="21"/>
              </w:rPr>
            </w:pPr>
          </w:p>
        </w:tc>
        <w:tc>
          <w:tcPr>
            <w:tcW w:w="1512" w:type="dxa"/>
            <w:shd w:val="clear" w:color="auto" w:fill="auto"/>
            <w:noWrap w:val="0"/>
            <w:vAlign w:val="center"/>
          </w:tcPr>
          <w:p w14:paraId="6046D58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生产废水</w:t>
            </w:r>
          </w:p>
        </w:tc>
        <w:tc>
          <w:tcPr>
            <w:tcW w:w="1442" w:type="dxa"/>
            <w:shd w:val="clear" w:color="auto" w:fill="auto"/>
            <w:noWrap w:val="0"/>
            <w:vAlign w:val="center"/>
          </w:tcPr>
          <w:p w14:paraId="1EF2975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SS</w:t>
            </w:r>
          </w:p>
        </w:tc>
        <w:tc>
          <w:tcPr>
            <w:tcW w:w="2163" w:type="dxa"/>
            <w:shd w:val="clear" w:color="auto" w:fill="auto"/>
            <w:noWrap w:val="0"/>
            <w:vAlign w:val="center"/>
          </w:tcPr>
          <w:p w14:paraId="19544FE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洒水降尘</w:t>
            </w:r>
          </w:p>
        </w:tc>
        <w:tc>
          <w:tcPr>
            <w:tcW w:w="2427" w:type="dxa"/>
            <w:noWrap w:val="0"/>
            <w:vAlign w:val="center"/>
          </w:tcPr>
          <w:p w14:paraId="5AFE6D8A">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7CD38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6" w:type="dxa"/>
            <w:noWrap w:val="0"/>
            <w:vAlign w:val="center"/>
          </w:tcPr>
          <w:p w14:paraId="7424AAAE">
            <w:pPr>
              <w:adjustRightInd w:val="0"/>
              <w:snapToGrid w:val="0"/>
              <w:jc w:val="center"/>
              <w:rPr>
                <w:color w:val="auto"/>
                <w:szCs w:val="21"/>
              </w:rPr>
            </w:pPr>
            <w:r>
              <w:rPr>
                <w:color w:val="auto"/>
                <w:szCs w:val="21"/>
              </w:rPr>
              <w:t>声环境</w:t>
            </w:r>
          </w:p>
        </w:tc>
        <w:tc>
          <w:tcPr>
            <w:tcW w:w="1512" w:type="dxa"/>
            <w:noWrap w:val="0"/>
            <w:vAlign w:val="center"/>
          </w:tcPr>
          <w:p w14:paraId="5A162FE3">
            <w:pPr>
              <w:adjustRightInd w:val="0"/>
              <w:snapToGrid w:val="0"/>
              <w:jc w:val="center"/>
              <w:rPr>
                <w:color w:val="auto"/>
                <w:szCs w:val="21"/>
              </w:rPr>
            </w:pPr>
            <w:r>
              <w:rPr>
                <w:rFonts w:hint="eastAsia"/>
                <w:color w:val="auto"/>
                <w:szCs w:val="21"/>
              </w:rPr>
              <w:t>设备噪声</w:t>
            </w:r>
          </w:p>
        </w:tc>
        <w:tc>
          <w:tcPr>
            <w:tcW w:w="1442" w:type="dxa"/>
            <w:noWrap w:val="0"/>
            <w:vAlign w:val="center"/>
          </w:tcPr>
          <w:p w14:paraId="13D2755C">
            <w:pPr>
              <w:adjustRightInd w:val="0"/>
              <w:snapToGrid w:val="0"/>
              <w:jc w:val="center"/>
              <w:rPr>
                <w:rFonts w:hint="eastAsia"/>
                <w:color w:val="auto"/>
                <w:szCs w:val="21"/>
              </w:rPr>
            </w:pPr>
            <w:r>
              <w:rPr>
                <w:rFonts w:hint="eastAsia"/>
                <w:color w:val="auto"/>
                <w:kern w:val="0"/>
                <w:szCs w:val="21"/>
              </w:rPr>
              <w:t>等效连续A声级</w:t>
            </w:r>
          </w:p>
        </w:tc>
        <w:tc>
          <w:tcPr>
            <w:tcW w:w="2163" w:type="dxa"/>
            <w:noWrap w:val="0"/>
            <w:vAlign w:val="center"/>
          </w:tcPr>
          <w:p w14:paraId="47F18A31">
            <w:pPr>
              <w:adjustRightInd w:val="0"/>
              <w:snapToGrid w:val="0"/>
              <w:jc w:val="center"/>
              <w:rPr>
                <w:color w:val="auto"/>
                <w:szCs w:val="21"/>
              </w:rPr>
            </w:pPr>
            <w:r>
              <w:rPr>
                <w:rFonts w:hint="eastAsia"/>
                <w:color w:val="auto"/>
                <w:kern w:val="0"/>
                <w:szCs w:val="21"/>
              </w:rPr>
              <w:t>选用低噪设备、厂房隔声、合理布局等措施降噪</w:t>
            </w:r>
          </w:p>
        </w:tc>
        <w:tc>
          <w:tcPr>
            <w:tcW w:w="2427" w:type="dxa"/>
            <w:noWrap w:val="0"/>
            <w:vAlign w:val="center"/>
          </w:tcPr>
          <w:p w14:paraId="45CAD27E">
            <w:pPr>
              <w:adjustRightInd w:val="0"/>
              <w:snapToGrid w:val="0"/>
              <w:jc w:val="center"/>
              <w:rPr>
                <w:color w:val="auto"/>
                <w:szCs w:val="21"/>
              </w:rPr>
            </w:pPr>
            <w:r>
              <w:rPr>
                <w:bCs/>
                <w:color w:val="auto"/>
                <w:szCs w:val="21"/>
              </w:rPr>
              <w:t>《工业企业厂界环境噪声排放标准》</w:t>
            </w:r>
            <w:r>
              <w:rPr>
                <w:color w:val="auto"/>
                <w:szCs w:val="21"/>
              </w:rPr>
              <w:t>（</w:t>
            </w:r>
            <w:r>
              <w:rPr>
                <w:bCs/>
                <w:color w:val="auto"/>
                <w:szCs w:val="21"/>
              </w:rPr>
              <w:t>GB12348-2008）</w:t>
            </w:r>
            <w:r>
              <w:rPr>
                <w:color w:val="auto"/>
                <w:spacing w:val="6"/>
                <w:szCs w:val="21"/>
              </w:rPr>
              <w:t>中的</w:t>
            </w:r>
            <w:r>
              <w:rPr>
                <w:rFonts w:hint="eastAsia"/>
                <w:color w:val="auto"/>
                <w:spacing w:val="6"/>
                <w:szCs w:val="21"/>
                <w:lang w:val="en-US" w:eastAsia="zh-CN"/>
              </w:rPr>
              <w:t>3</w:t>
            </w:r>
            <w:r>
              <w:rPr>
                <w:color w:val="auto"/>
                <w:spacing w:val="6"/>
                <w:szCs w:val="21"/>
              </w:rPr>
              <w:t>类标准</w:t>
            </w:r>
          </w:p>
        </w:tc>
      </w:tr>
      <w:tr w14:paraId="122BD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6" w:type="dxa"/>
            <w:noWrap w:val="0"/>
            <w:vAlign w:val="center"/>
          </w:tcPr>
          <w:p w14:paraId="5A867157">
            <w:pPr>
              <w:adjustRightInd w:val="0"/>
              <w:snapToGrid w:val="0"/>
              <w:jc w:val="center"/>
              <w:rPr>
                <w:color w:val="auto"/>
                <w:szCs w:val="21"/>
              </w:rPr>
            </w:pPr>
            <w:r>
              <w:rPr>
                <w:color w:val="auto"/>
                <w:szCs w:val="21"/>
              </w:rPr>
              <w:t>电磁辐射</w:t>
            </w:r>
          </w:p>
        </w:tc>
        <w:tc>
          <w:tcPr>
            <w:tcW w:w="1512" w:type="dxa"/>
            <w:noWrap w:val="0"/>
            <w:vAlign w:val="center"/>
          </w:tcPr>
          <w:p w14:paraId="43F6DAFC">
            <w:pPr>
              <w:adjustRightInd w:val="0"/>
              <w:snapToGrid w:val="0"/>
              <w:jc w:val="center"/>
              <w:rPr>
                <w:color w:val="auto"/>
                <w:szCs w:val="21"/>
              </w:rPr>
            </w:pPr>
            <w:r>
              <w:rPr>
                <w:color w:val="auto"/>
                <w:szCs w:val="21"/>
              </w:rPr>
              <w:t>/</w:t>
            </w:r>
          </w:p>
        </w:tc>
        <w:tc>
          <w:tcPr>
            <w:tcW w:w="1442" w:type="dxa"/>
            <w:noWrap w:val="0"/>
            <w:vAlign w:val="center"/>
          </w:tcPr>
          <w:p w14:paraId="6EEE4D61">
            <w:pPr>
              <w:adjustRightInd w:val="0"/>
              <w:snapToGrid w:val="0"/>
              <w:jc w:val="center"/>
              <w:rPr>
                <w:color w:val="auto"/>
                <w:szCs w:val="21"/>
              </w:rPr>
            </w:pPr>
            <w:r>
              <w:rPr>
                <w:color w:val="auto"/>
                <w:szCs w:val="21"/>
              </w:rPr>
              <w:t>/</w:t>
            </w:r>
          </w:p>
        </w:tc>
        <w:tc>
          <w:tcPr>
            <w:tcW w:w="2163" w:type="dxa"/>
            <w:noWrap w:val="0"/>
            <w:vAlign w:val="center"/>
          </w:tcPr>
          <w:p w14:paraId="1170F1A2">
            <w:pPr>
              <w:adjustRightInd w:val="0"/>
              <w:snapToGrid w:val="0"/>
              <w:jc w:val="center"/>
              <w:rPr>
                <w:color w:val="auto"/>
                <w:szCs w:val="21"/>
              </w:rPr>
            </w:pPr>
            <w:r>
              <w:rPr>
                <w:color w:val="auto"/>
                <w:szCs w:val="21"/>
              </w:rPr>
              <w:t>/</w:t>
            </w:r>
          </w:p>
        </w:tc>
        <w:tc>
          <w:tcPr>
            <w:tcW w:w="2427" w:type="dxa"/>
            <w:noWrap w:val="0"/>
            <w:vAlign w:val="center"/>
          </w:tcPr>
          <w:p w14:paraId="57FDD220">
            <w:pPr>
              <w:adjustRightInd w:val="0"/>
              <w:snapToGrid w:val="0"/>
              <w:jc w:val="center"/>
              <w:rPr>
                <w:color w:val="auto"/>
                <w:szCs w:val="21"/>
              </w:rPr>
            </w:pPr>
            <w:r>
              <w:rPr>
                <w:color w:val="auto"/>
                <w:szCs w:val="21"/>
              </w:rPr>
              <w:t>/</w:t>
            </w:r>
          </w:p>
        </w:tc>
      </w:tr>
      <w:tr w14:paraId="06485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restart"/>
            <w:noWrap w:val="0"/>
            <w:vAlign w:val="center"/>
          </w:tcPr>
          <w:p w14:paraId="0ED24C6E">
            <w:pPr>
              <w:adjustRightInd w:val="0"/>
              <w:snapToGrid w:val="0"/>
              <w:jc w:val="center"/>
              <w:rPr>
                <w:color w:val="auto"/>
                <w:szCs w:val="21"/>
              </w:rPr>
            </w:pPr>
            <w:r>
              <w:rPr>
                <w:color w:val="auto"/>
                <w:szCs w:val="21"/>
              </w:rPr>
              <w:t>固体废物</w:t>
            </w:r>
          </w:p>
        </w:tc>
        <w:tc>
          <w:tcPr>
            <w:tcW w:w="1512" w:type="dxa"/>
            <w:tcBorders>
              <w:bottom w:val="single" w:color="auto" w:sz="4" w:space="0"/>
              <w:right w:val="single" w:color="000000" w:sz="6" w:space="0"/>
            </w:tcBorders>
            <w:noWrap w:val="0"/>
            <w:vAlign w:val="center"/>
          </w:tcPr>
          <w:p w14:paraId="60AD732D">
            <w:pPr>
              <w:jc w:val="center"/>
              <w:rPr>
                <w:color w:val="auto"/>
                <w:szCs w:val="21"/>
              </w:rPr>
            </w:pPr>
            <w:r>
              <w:rPr>
                <w:color w:val="auto"/>
                <w:szCs w:val="21"/>
              </w:rPr>
              <w:t>生活办公</w:t>
            </w:r>
          </w:p>
        </w:tc>
        <w:tc>
          <w:tcPr>
            <w:tcW w:w="1442" w:type="dxa"/>
            <w:tcBorders>
              <w:left w:val="single" w:color="000000" w:sz="6" w:space="0"/>
              <w:bottom w:val="single" w:color="auto" w:sz="4" w:space="0"/>
              <w:right w:val="single" w:color="000000" w:sz="6" w:space="0"/>
            </w:tcBorders>
            <w:noWrap w:val="0"/>
            <w:vAlign w:val="center"/>
          </w:tcPr>
          <w:p w14:paraId="61862462">
            <w:pPr>
              <w:jc w:val="center"/>
              <w:rPr>
                <w:color w:val="auto"/>
                <w:szCs w:val="21"/>
              </w:rPr>
            </w:pPr>
            <w:r>
              <w:rPr>
                <w:color w:val="auto"/>
                <w:szCs w:val="21"/>
              </w:rPr>
              <w:t>生活垃圾</w:t>
            </w:r>
          </w:p>
        </w:tc>
        <w:tc>
          <w:tcPr>
            <w:tcW w:w="2163" w:type="dxa"/>
            <w:tcBorders>
              <w:left w:val="single" w:color="000000" w:sz="6" w:space="0"/>
              <w:right w:val="single" w:color="000000" w:sz="6" w:space="0"/>
            </w:tcBorders>
            <w:noWrap w:val="0"/>
            <w:vAlign w:val="center"/>
          </w:tcPr>
          <w:p w14:paraId="2C0663A5">
            <w:pPr>
              <w:jc w:val="center"/>
              <w:rPr>
                <w:rFonts w:hint="eastAsia"/>
                <w:color w:val="auto"/>
                <w:szCs w:val="21"/>
              </w:rPr>
            </w:pPr>
            <w:r>
              <w:rPr>
                <w:color w:val="auto"/>
                <w:szCs w:val="21"/>
              </w:rPr>
              <w:t>环卫部门</w:t>
            </w:r>
            <w:r>
              <w:rPr>
                <w:rFonts w:hint="eastAsia"/>
                <w:color w:val="auto"/>
                <w:szCs w:val="21"/>
              </w:rPr>
              <w:t>统一清运</w:t>
            </w:r>
          </w:p>
        </w:tc>
        <w:tc>
          <w:tcPr>
            <w:tcW w:w="2427" w:type="dxa"/>
            <w:tcBorders>
              <w:left w:val="single" w:color="000000" w:sz="6" w:space="0"/>
              <w:bottom w:val="single" w:color="auto" w:sz="4" w:space="0"/>
            </w:tcBorders>
            <w:noWrap w:val="0"/>
            <w:vAlign w:val="center"/>
          </w:tcPr>
          <w:p w14:paraId="328C19A2">
            <w:pPr>
              <w:adjustRightInd w:val="0"/>
              <w:snapToGrid w:val="0"/>
              <w:jc w:val="center"/>
              <w:rPr>
                <w:color w:val="auto"/>
                <w:szCs w:val="21"/>
              </w:rPr>
            </w:pPr>
            <w:r>
              <w:rPr>
                <w:color w:val="auto"/>
                <w:szCs w:val="21"/>
              </w:rPr>
              <w:t>/</w:t>
            </w:r>
          </w:p>
        </w:tc>
      </w:tr>
      <w:tr w14:paraId="0C474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2F4D017D">
            <w:pPr>
              <w:adjustRightInd w:val="0"/>
              <w:snapToGrid w:val="0"/>
              <w:jc w:val="center"/>
              <w:rPr>
                <w:color w:val="auto"/>
                <w:szCs w:val="21"/>
              </w:rPr>
            </w:pPr>
          </w:p>
        </w:tc>
        <w:tc>
          <w:tcPr>
            <w:tcW w:w="1512" w:type="dxa"/>
            <w:vMerge w:val="restart"/>
            <w:tcBorders>
              <w:right w:val="single" w:color="000000" w:sz="6" w:space="0"/>
            </w:tcBorders>
            <w:noWrap w:val="0"/>
            <w:vAlign w:val="center"/>
          </w:tcPr>
          <w:p w14:paraId="76A380ED">
            <w:pPr>
              <w:jc w:val="center"/>
              <w:rPr>
                <w:color w:val="auto"/>
                <w:szCs w:val="21"/>
              </w:rPr>
            </w:pPr>
            <w:r>
              <w:rPr>
                <w:color w:val="auto"/>
                <w:szCs w:val="21"/>
              </w:rPr>
              <w:t>生产活动</w:t>
            </w:r>
          </w:p>
        </w:tc>
        <w:tc>
          <w:tcPr>
            <w:tcW w:w="1442" w:type="dxa"/>
            <w:tcBorders>
              <w:left w:val="single" w:color="000000" w:sz="6" w:space="0"/>
              <w:bottom w:val="single" w:color="auto" w:sz="4" w:space="0"/>
              <w:right w:val="single" w:color="000000" w:sz="6" w:space="0"/>
            </w:tcBorders>
            <w:shd w:val="clear" w:color="auto" w:fill="auto"/>
            <w:noWrap w:val="0"/>
            <w:vAlign w:val="center"/>
          </w:tcPr>
          <w:p w14:paraId="7BCE290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除尘</w:t>
            </w:r>
            <w:r>
              <w:rPr>
                <w:rFonts w:hint="eastAsia" w:ascii="Times New Roman" w:hAnsi="Times New Roman" w:eastAsia="宋体" w:cs="Times New Roman"/>
                <w:color w:val="auto"/>
                <w:szCs w:val="21"/>
                <w:lang w:val="en-US" w:eastAsia="zh-CN"/>
              </w:rPr>
              <w:t>灰</w:t>
            </w:r>
          </w:p>
        </w:tc>
        <w:tc>
          <w:tcPr>
            <w:tcW w:w="2163" w:type="dxa"/>
            <w:vMerge w:val="restart"/>
            <w:tcBorders>
              <w:left w:val="single" w:color="000000" w:sz="6" w:space="0"/>
              <w:right w:val="single" w:color="000000" w:sz="6" w:space="0"/>
            </w:tcBorders>
            <w:noWrap w:val="0"/>
            <w:vAlign w:val="center"/>
          </w:tcPr>
          <w:p w14:paraId="57B7A273">
            <w:pPr>
              <w:jc w:val="center"/>
              <w:rPr>
                <w:rFonts w:hint="eastAsia"/>
                <w:color w:val="auto"/>
                <w:szCs w:val="21"/>
              </w:rPr>
            </w:pPr>
            <w:r>
              <w:rPr>
                <w:rFonts w:hint="eastAsia"/>
                <w:color w:val="auto"/>
                <w:szCs w:val="21"/>
                <w:lang w:val="en-US" w:eastAsia="zh-CN"/>
              </w:rPr>
              <w:t>收集后定期外售</w:t>
            </w:r>
          </w:p>
        </w:tc>
        <w:tc>
          <w:tcPr>
            <w:tcW w:w="2427" w:type="dxa"/>
            <w:vMerge w:val="restart"/>
            <w:tcBorders>
              <w:left w:val="single" w:color="000000" w:sz="6" w:space="0"/>
            </w:tcBorders>
            <w:noWrap w:val="0"/>
            <w:vAlign w:val="center"/>
          </w:tcPr>
          <w:p w14:paraId="21E4E95F">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5A6C1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00E9E963">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3FCA1C6A">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52CD863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废泡沫材料</w:t>
            </w:r>
          </w:p>
        </w:tc>
        <w:tc>
          <w:tcPr>
            <w:tcW w:w="2163" w:type="dxa"/>
            <w:vMerge w:val="continue"/>
            <w:tcBorders>
              <w:left w:val="single" w:color="000000" w:sz="6" w:space="0"/>
              <w:right w:val="single" w:color="000000" w:sz="6" w:space="0"/>
            </w:tcBorders>
            <w:noWrap w:val="0"/>
            <w:vAlign w:val="center"/>
          </w:tcPr>
          <w:p w14:paraId="2FC017B2">
            <w:pPr>
              <w:jc w:val="center"/>
              <w:rPr>
                <w:rFonts w:hint="eastAsia"/>
                <w:color w:val="auto"/>
                <w:szCs w:val="21"/>
              </w:rPr>
            </w:pPr>
          </w:p>
        </w:tc>
        <w:tc>
          <w:tcPr>
            <w:tcW w:w="2427" w:type="dxa"/>
            <w:vMerge w:val="continue"/>
            <w:tcBorders>
              <w:left w:val="single" w:color="000000" w:sz="6" w:space="0"/>
            </w:tcBorders>
            <w:noWrap w:val="0"/>
            <w:vAlign w:val="center"/>
          </w:tcPr>
          <w:p w14:paraId="38A5CE52">
            <w:pPr>
              <w:adjustRightInd w:val="0"/>
              <w:snapToGrid w:val="0"/>
              <w:jc w:val="center"/>
              <w:rPr>
                <w:rFonts w:hint="eastAsia"/>
                <w:color w:val="auto"/>
                <w:szCs w:val="21"/>
              </w:rPr>
            </w:pPr>
          </w:p>
        </w:tc>
      </w:tr>
      <w:tr w14:paraId="03E0F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77222CCC">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0497574E">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06446E0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废边角料</w:t>
            </w:r>
          </w:p>
        </w:tc>
        <w:tc>
          <w:tcPr>
            <w:tcW w:w="2163" w:type="dxa"/>
            <w:vMerge w:val="continue"/>
            <w:tcBorders>
              <w:left w:val="single" w:color="000000" w:sz="6" w:space="0"/>
              <w:right w:val="single" w:color="000000" w:sz="6" w:space="0"/>
            </w:tcBorders>
            <w:noWrap w:val="0"/>
            <w:vAlign w:val="center"/>
          </w:tcPr>
          <w:p w14:paraId="088D3B0A">
            <w:pPr>
              <w:jc w:val="center"/>
              <w:rPr>
                <w:rFonts w:hint="eastAsia"/>
                <w:color w:val="auto"/>
                <w:szCs w:val="21"/>
              </w:rPr>
            </w:pPr>
          </w:p>
        </w:tc>
        <w:tc>
          <w:tcPr>
            <w:tcW w:w="2427" w:type="dxa"/>
            <w:vMerge w:val="continue"/>
            <w:tcBorders>
              <w:left w:val="single" w:color="000000" w:sz="6" w:space="0"/>
            </w:tcBorders>
            <w:noWrap w:val="0"/>
            <w:vAlign w:val="center"/>
          </w:tcPr>
          <w:p w14:paraId="15359E76">
            <w:pPr>
              <w:adjustRightInd w:val="0"/>
              <w:snapToGrid w:val="0"/>
              <w:jc w:val="center"/>
              <w:rPr>
                <w:rFonts w:hint="eastAsia"/>
                <w:color w:val="auto"/>
                <w:szCs w:val="21"/>
              </w:rPr>
            </w:pPr>
          </w:p>
        </w:tc>
      </w:tr>
      <w:tr w14:paraId="32525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542921E2">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23D8D41B">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7EEA81C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废包装袋</w:t>
            </w:r>
          </w:p>
        </w:tc>
        <w:tc>
          <w:tcPr>
            <w:tcW w:w="2163" w:type="dxa"/>
            <w:vMerge w:val="continue"/>
            <w:tcBorders>
              <w:left w:val="single" w:color="000000" w:sz="6" w:space="0"/>
              <w:right w:val="single" w:color="000000" w:sz="6" w:space="0"/>
            </w:tcBorders>
            <w:noWrap w:val="0"/>
            <w:vAlign w:val="center"/>
          </w:tcPr>
          <w:p w14:paraId="00203FAA">
            <w:pPr>
              <w:jc w:val="center"/>
              <w:rPr>
                <w:rFonts w:hint="eastAsia"/>
                <w:color w:val="auto"/>
                <w:szCs w:val="21"/>
              </w:rPr>
            </w:pPr>
          </w:p>
        </w:tc>
        <w:tc>
          <w:tcPr>
            <w:tcW w:w="2427" w:type="dxa"/>
            <w:vMerge w:val="continue"/>
            <w:tcBorders>
              <w:left w:val="single" w:color="000000" w:sz="6" w:space="0"/>
            </w:tcBorders>
            <w:noWrap w:val="0"/>
            <w:vAlign w:val="center"/>
          </w:tcPr>
          <w:p w14:paraId="6C6E4D3F">
            <w:pPr>
              <w:adjustRightInd w:val="0"/>
              <w:snapToGrid w:val="0"/>
              <w:jc w:val="center"/>
              <w:rPr>
                <w:rFonts w:hint="eastAsia"/>
                <w:color w:val="auto"/>
                <w:szCs w:val="21"/>
              </w:rPr>
            </w:pPr>
          </w:p>
        </w:tc>
      </w:tr>
      <w:tr w14:paraId="1CEDD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361F8EC1">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520931E9">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40A5906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废包装桶</w:t>
            </w:r>
          </w:p>
        </w:tc>
        <w:tc>
          <w:tcPr>
            <w:tcW w:w="2163" w:type="dxa"/>
            <w:tcBorders>
              <w:left w:val="single" w:color="000000" w:sz="6" w:space="0"/>
              <w:right w:val="single" w:color="000000" w:sz="6" w:space="0"/>
            </w:tcBorders>
            <w:noWrap w:val="0"/>
            <w:vAlign w:val="center"/>
          </w:tcPr>
          <w:p w14:paraId="7D3322EE">
            <w:pPr>
              <w:jc w:val="center"/>
              <w:rPr>
                <w:rFonts w:hint="default" w:eastAsia="宋体"/>
                <w:color w:val="auto"/>
                <w:szCs w:val="21"/>
                <w:lang w:val="en-US" w:eastAsia="zh-CN"/>
              </w:rPr>
            </w:pPr>
            <w:r>
              <w:rPr>
                <w:rFonts w:hint="eastAsia"/>
                <w:color w:val="auto"/>
                <w:szCs w:val="21"/>
                <w:lang w:val="en-US" w:eastAsia="zh-CN"/>
              </w:rPr>
              <w:t>由厂家回收</w:t>
            </w:r>
          </w:p>
        </w:tc>
        <w:tc>
          <w:tcPr>
            <w:tcW w:w="2427" w:type="dxa"/>
            <w:vMerge w:val="continue"/>
            <w:tcBorders>
              <w:left w:val="single" w:color="000000" w:sz="6" w:space="0"/>
            </w:tcBorders>
            <w:noWrap w:val="0"/>
            <w:vAlign w:val="center"/>
          </w:tcPr>
          <w:p w14:paraId="20565B12">
            <w:pPr>
              <w:adjustRightInd w:val="0"/>
              <w:snapToGrid w:val="0"/>
              <w:jc w:val="center"/>
              <w:rPr>
                <w:rFonts w:hint="eastAsia"/>
                <w:color w:val="auto"/>
                <w:szCs w:val="21"/>
              </w:rPr>
            </w:pPr>
          </w:p>
        </w:tc>
      </w:tr>
      <w:tr w14:paraId="0946B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13D0464C">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72BE7F3A">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6E962F5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废活性炭</w:t>
            </w:r>
          </w:p>
        </w:tc>
        <w:tc>
          <w:tcPr>
            <w:tcW w:w="2163" w:type="dxa"/>
            <w:vMerge w:val="restart"/>
            <w:tcBorders>
              <w:left w:val="single" w:color="000000" w:sz="6" w:space="0"/>
              <w:right w:val="single" w:color="000000" w:sz="6" w:space="0"/>
            </w:tcBorders>
            <w:shd w:val="clear" w:color="auto" w:fill="auto"/>
            <w:noWrap w:val="0"/>
            <w:vAlign w:val="center"/>
          </w:tcPr>
          <w:p w14:paraId="1EC36FB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分类收集暂存</w:t>
            </w:r>
            <w:r>
              <w:rPr>
                <w:rFonts w:hint="eastAsia"/>
                <w:color w:val="auto"/>
                <w:szCs w:val="21"/>
                <w:lang w:val="en-US" w:eastAsia="zh-CN"/>
              </w:rPr>
              <w:t>后</w:t>
            </w:r>
            <w:r>
              <w:rPr>
                <w:rFonts w:hint="eastAsia"/>
                <w:color w:val="auto"/>
                <w:szCs w:val="21"/>
              </w:rPr>
              <w:t>，定期交由有资质单位处置</w:t>
            </w:r>
          </w:p>
        </w:tc>
        <w:tc>
          <w:tcPr>
            <w:tcW w:w="2427" w:type="dxa"/>
            <w:vMerge w:val="restart"/>
            <w:tcBorders>
              <w:left w:val="single" w:color="000000" w:sz="6" w:space="0"/>
            </w:tcBorders>
            <w:shd w:val="clear" w:color="auto" w:fill="auto"/>
            <w:noWrap w:val="0"/>
            <w:vAlign w:val="center"/>
          </w:tcPr>
          <w:p w14:paraId="334769E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《危险废物贮存污染控制标准》（GB18597-2023）</w:t>
            </w:r>
          </w:p>
        </w:tc>
      </w:tr>
      <w:tr w14:paraId="0578E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1E526628">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5199F00B">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283B646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废机油</w:t>
            </w:r>
          </w:p>
        </w:tc>
        <w:tc>
          <w:tcPr>
            <w:tcW w:w="2163" w:type="dxa"/>
            <w:vMerge w:val="continue"/>
            <w:tcBorders>
              <w:left w:val="single" w:color="000000" w:sz="6" w:space="0"/>
              <w:right w:val="single" w:color="000000" w:sz="6" w:space="0"/>
            </w:tcBorders>
            <w:noWrap w:val="0"/>
            <w:vAlign w:val="center"/>
          </w:tcPr>
          <w:p w14:paraId="695BB9AC">
            <w:pPr>
              <w:jc w:val="center"/>
              <w:rPr>
                <w:rFonts w:hint="eastAsia"/>
                <w:color w:val="auto"/>
                <w:szCs w:val="21"/>
              </w:rPr>
            </w:pPr>
          </w:p>
        </w:tc>
        <w:tc>
          <w:tcPr>
            <w:tcW w:w="2427" w:type="dxa"/>
            <w:vMerge w:val="continue"/>
            <w:tcBorders>
              <w:left w:val="single" w:color="000000" w:sz="6" w:space="0"/>
            </w:tcBorders>
            <w:noWrap w:val="0"/>
            <w:vAlign w:val="center"/>
          </w:tcPr>
          <w:p w14:paraId="5BE2F949">
            <w:pPr>
              <w:adjustRightInd w:val="0"/>
              <w:snapToGrid w:val="0"/>
              <w:jc w:val="center"/>
              <w:rPr>
                <w:rFonts w:hint="eastAsia"/>
                <w:color w:val="auto"/>
                <w:szCs w:val="21"/>
              </w:rPr>
            </w:pPr>
          </w:p>
        </w:tc>
      </w:tr>
      <w:tr w14:paraId="3D925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6F1330A8">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6ED44BC4">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2D7E0FC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废油桶</w:t>
            </w:r>
          </w:p>
        </w:tc>
        <w:tc>
          <w:tcPr>
            <w:tcW w:w="2163" w:type="dxa"/>
            <w:vMerge w:val="continue"/>
            <w:tcBorders>
              <w:left w:val="single" w:color="000000" w:sz="6" w:space="0"/>
              <w:right w:val="single" w:color="000000" w:sz="6" w:space="0"/>
            </w:tcBorders>
            <w:noWrap w:val="0"/>
            <w:vAlign w:val="center"/>
          </w:tcPr>
          <w:p w14:paraId="3D17610F">
            <w:pPr>
              <w:jc w:val="center"/>
              <w:rPr>
                <w:rFonts w:hint="eastAsia"/>
                <w:color w:val="auto"/>
                <w:szCs w:val="21"/>
              </w:rPr>
            </w:pPr>
          </w:p>
        </w:tc>
        <w:tc>
          <w:tcPr>
            <w:tcW w:w="2427" w:type="dxa"/>
            <w:vMerge w:val="continue"/>
            <w:tcBorders>
              <w:left w:val="single" w:color="000000" w:sz="6" w:space="0"/>
            </w:tcBorders>
            <w:noWrap w:val="0"/>
            <w:vAlign w:val="center"/>
          </w:tcPr>
          <w:p w14:paraId="678E36DD">
            <w:pPr>
              <w:adjustRightInd w:val="0"/>
              <w:snapToGrid w:val="0"/>
              <w:jc w:val="center"/>
              <w:rPr>
                <w:rFonts w:hint="eastAsia"/>
                <w:color w:val="auto"/>
                <w:szCs w:val="21"/>
              </w:rPr>
            </w:pPr>
          </w:p>
        </w:tc>
      </w:tr>
      <w:tr w14:paraId="5CB86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6" w:type="dxa"/>
            <w:vMerge w:val="continue"/>
            <w:noWrap w:val="0"/>
            <w:vAlign w:val="center"/>
          </w:tcPr>
          <w:p w14:paraId="1AA7B499">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3ED02873">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61DD10C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废含油抹布、手套</w:t>
            </w:r>
          </w:p>
        </w:tc>
        <w:tc>
          <w:tcPr>
            <w:tcW w:w="2163" w:type="dxa"/>
            <w:vMerge w:val="continue"/>
            <w:tcBorders>
              <w:left w:val="single" w:color="000000" w:sz="6" w:space="0"/>
              <w:right w:val="single" w:color="000000" w:sz="6" w:space="0"/>
            </w:tcBorders>
            <w:noWrap w:val="0"/>
            <w:vAlign w:val="center"/>
          </w:tcPr>
          <w:p w14:paraId="2CEDA322">
            <w:pPr>
              <w:jc w:val="center"/>
              <w:rPr>
                <w:rFonts w:hint="eastAsia"/>
                <w:color w:val="auto"/>
                <w:szCs w:val="21"/>
              </w:rPr>
            </w:pPr>
          </w:p>
        </w:tc>
        <w:tc>
          <w:tcPr>
            <w:tcW w:w="2427" w:type="dxa"/>
            <w:vMerge w:val="continue"/>
            <w:tcBorders>
              <w:left w:val="single" w:color="000000" w:sz="6" w:space="0"/>
            </w:tcBorders>
            <w:noWrap w:val="0"/>
            <w:vAlign w:val="center"/>
          </w:tcPr>
          <w:p w14:paraId="2B25ECB5">
            <w:pPr>
              <w:adjustRightInd w:val="0"/>
              <w:snapToGrid w:val="0"/>
              <w:jc w:val="center"/>
              <w:rPr>
                <w:rFonts w:hint="eastAsia"/>
                <w:color w:val="auto"/>
                <w:szCs w:val="21"/>
              </w:rPr>
            </w:pPr>
          </w:p>
        </w:tc>
      </w:tr>
      <w:tr w14:paraId="23DB9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56" w:type="dxa"/>
            <w:noWrap w:val="0"/>
            <w:vAlign w:val="center"/>
          </w:tcPr>
          <w:p w14:paraId="03BEE804">
            <w:pPr>
              <w:adjustRightInd w:val="0"/>
              <w:snapToGrid w:val="0"/>
              <w:jc w:val="center"/>
              <w:rPr>
                <w:color w:val="auto"/>
                <w:szCs w:val="21"/>
              </w:rPr>
            </w:pPr>
            <w:r>
              <w:rPr>
                <w:color w:val="auto"/>
                <w:szCs w:val="21"/>
              </w:rPr>
              <w:t>土壤及地下水污染防治措施</w:t>
            </w:r>
          </w:p>
        </w:tc>
        <w:tc>
          <w:tcPr>
            <w:tcW w:w="7544" w:type="dxa"/>
            <w:gridSpan w:val="4"/>
            <w:noWrap w:val="0"/>
            <w:vAlign w:val="center"/>
          </w:tcPr>
          <w:p w14:paraId="69D6A199">
            <w:pPr>
              <w:adjustRightInd w:val="0"/>
              <w:snapToGrid w:val="0"/>
              <w:spacing w:line="360" w:lineRule="auto"/>
              <w:jc w:val="center"/>
              <w:rPr>
                <w:rFonts w:hint="eastAsia"/>
                <w:color w:val="auto"/>
                <w:szCs w:val="21"/>
              </w:rPr>
            </w:pPr>
            <w:r>
              <w:rPr>
                <w:rFonts w:hint="eastAsia"/>
                <w:color w:val="auto"/>
                <w:szCs w:val="21"/>
              </w:rPr>
              <w:t>/</w:t>
            </w:r>
          </w:p>
        </w:tc>
      </w:tr>
      <w:tr w14:paraId="47854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56" w:type="dxa"/>
            <w:noWrap w:val="0"/>
            <w:vAlign w:val="center"/>
          </w:tcPr>
          <w:p w14:paraId="0F0DF6E3">
            <w:pPr>
              <w:adjustRightInd w:val="0"/>
              <w:snapToGrid w:val="0"/>
              <w:jc w:val="center"/>
              <w:rPr>
                <w:color w:val="auto"/>
                <w:szCs w:val="21"/>
              </w:rPr>
            </w:pPr>
            <w:r>
              <w:rPr>
                <w:color w:val="auto"/>
                <w:szCs w:val="21"/>
              </w:rPr>
              <w:t>生态保护措施</w:t>
            </w:r>
          </w:p>
        </w:tc>
        <w:tc>
          <w:tcPr>
            <w:tcW w:w="7544" w:type="dxa"/>
            <w:gridSpan w:val="4"/>
            <w:noWrap w:val="0"/>
            <w:vAlign w:val="center"/>
          </w:tcPr>
          <w:p w14:paraId="1B008DEC">
            <w:pPr>
              <w:adjustRightInd w:val="0"/>
              <w:snapToGrid w:val="0"/>
              <w:jc w:val="center"/>
              <w:rPr>
                <w:color w:val="auto"/>
                <w:szCs w:val="21"/>
              </w:rPr>
            </w:pPr>
            <w:r>
              <w:rPr>
                <w:color w:val="auto"/>
                <w:szCs w:val="21"/>
              </w:rPr>
              <w:t>/</w:t>
            </w:r>
          </w:p>
        </w:tc>
      </w:tr>
      <w:tr w14:paraId="36219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256" w:type="dxa"/>
            <w:noWrap w:val="0"/>
            <w:vAlign w:val="center"/>
          </w:tcPr>
          <w:p w14:paraId="1723C7B2">
            <w:pPr>
              <w:adjustRightInd w:val="0"/>
              <w:snapToGrid w:val="0"/>
              <w:jc w:val="center"/>
              <w:rPr>
                <w:color w:val="auto"/>
                <w:spacing w:val="-8"/>
                <w:szCs w:val="21"/>
              </w:rPr>
            </w:pPr>
            <w:r>
              <w:rPr>
                <w:color w:val="auto"/>
                <w:spacing w:val="-8"/>
                <w:szCs w:val="21"/>
              </w:rPr>
              <w:t>环境风险</w:t>
            </w:r>
          </w:p>
          <w:p w14:paraId="58081DD2">
            <w:pPr>
              <w:adjustRightInd w:val="0"/>
              <w:snapToGrid w:val="0"/>
              <w:jc w:val="center"/>
              <w:rPr>
                <w:color w:val="auto"/>
                <w:spacing w:val="-8"/>
                <w:szCs w:val="21"/>
              </w:rPr>
            </w:pPr>
            <w:r>
              <w:rPr>
                <w:color w:val="auto"/>
                <w:spacing w:val="-8"/>
                <w:szCs w:val="21"/>
              </w:rPr>
              <w:t>防范措施</w:t>
            </w:r>
          </w:p>
        </w:tc>
        <w:tc>
          <w:tcPr>
            <w:tcW w:w="7544" w:type="dxa"/>
            <w:gridSpan w:val="4"/>
            <w:noWrap w:val="0"/>
            <w:vAlign w:val="center"/>
          </w:tcPr>
          <w:p w14:paraId="60903469">
            <w:pPr>
              <w:adjustRightInd w:val="0"/>
              <w:snapToGrid w:val="0"/>
              <w:spacing w:before="120" w:beforeLines="50" w:line="360" w:lineRule="auto"/>
              <w:ind w:firstLine="420" w:firstLineChars="200"/>
              <w:rPr>
                <w:color w:val="auto"/>
                <w:szCs w:val="21"/>
              </w:rPr>
            </w:pPr>
            <w:r>
              <w:rPr>
                <w:rFonts w:hint="eastAsia"/>
                <w:color w:val="auto"/>
                <w:szCs w:val="21"/>
              </w:rPr>
              <w:t>应落实本报告提出的上述环境风险防范措施</w:t>
            </w:r>
            <w:r>
              <w:rPr>
                <w:rFonts w:hint="eastAsia"/>
                <w:color w:val="auto"/>
                <w:szCs w:val="21"/>
                <w:lang w:val="en-GB"/>
              </w:rPr>
              <w:t>；</w:t>
            </w:r>
            <w:r>
              <w:rPr>
                <w:rFonts w:hint="eastAsia"/>
                <w:color w:val="auto"/>
                <w:szCs w:val="21"/>
              </w:rPr>
              <w:t>编制突发环境事件应急预案并</w:t>
            </w:r>
            <w:r>
              <w:rPr>
                <w:rFonts w:hint="eastAsia"/>
                <w:color w:val="auto"/>
                <w:szCs w:val="21"/>
                <w:lang w:val="en-GB"/>
              </w:rPr>
              <w:t>进行应急演练等。</w:t>
            </w:r>
          </w:p>
        </w:tc>
      </w:tr>
      <w:tr w14:paraId="2B4C1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56" w:type="dxa"/>
            <w:noWrap w:val="0"/>
            <w:vAlign w:val="center"/>
          </w:tcPr>
          <w:p w14:paraId="2049B14C">
            <w:pPr>
              <w:adjustRightInd w:val="0"/>
              <w:snapToGrid w:val="0"/>
              <w:jc w:val="center"/>
              <w:rPr>
                <w:color w:val="auto"/>
                <w:spacing w:val="-8"/>
                <w:szCs w:val="21"/>
              </w:rPr>
            </w:pPr>
            <w:r>
              <w:rPr>
                <w:color w:val="auto"/>
                <w:spacing w:val="-8"/>
                <w:szCs w:val="21"/>
              </w:rPr>
              <w:t>其他环境管理要求</w:t>
            </w:r>
          </w:p>
        </w:tc>
        <w:tc>
          <w:tcPr>
            <w:tcW w:w="7544" w:type="dxa"/>
            <w:gridSpan w:val="4"/>
            <w:noWrap w:val="0"/>
            <w:vAlign w:val="center"/>
          </w:tcPr>
          <w:p w14:paraId="455E5B8E">
            <w:pPr>
              <w:spacing w:before="120" w:beforeLines="50" w:line="360" w:lineRule="auto"/>
              <w:ind w:firstLine="420" w:firstLineChars="200"/>
              <w:rPr>
                <w:color w:val="auto"/>
                <w:szCs w:val="21"/>
              </w:rPr>
            </w:pPr>
            <w:r>
              <w:rPr>
                <w:color w:val="auto"/>
                <w:szCs w:val="21"/>
              </w:rPr>
              <w:t>建立环保档案，</w:t>
            </w:r>
            <w:r>
              <w:rPr>
                <w:rFonts w:hint="eastAsia"/>
                <w:color w:val="auto"/>
                <w:szCs w:val="21"/>
              </w:rPr>
              <w:t>设置厂内人员（可兼职）进行</w:t>
            </w:r>
            <w:r>
              <w:rPr>
                <w:color w:val="auto"/>
                <w:szCs w:val="21"/>
              </w:rPr>
              <w:t>环境管理</w:t>
            </w:r>
            <w:r>
              <w:rPr>
                <w:rFonts w:hint="eastAsia"/>
                <w:color w:val="auto"/>
                <w:szCs w:val="21"/>
              </w:rPr>
              <w:t>，</w:t>
            </w:r>
            <w:r>
              <w:rPr>
                <w:color w:val="auto"/>
                <w:szCs w:val="21"/>
              </w:rPr>
              <w:t>具体内容如下：</w:t>
            </w:r>
          </w:p>
          <w:p w14:paraId="5BBE11E9">
            <w:pPr>
              <w:spacing w:line="360" w:lineRule="auto"/>
              <w:ind w:firstLine="420" w:firstLineChars="200"/>
              <w:rPr>
                <w:rFonts w:hint="eastAsia"/>
                <w:color w:val="auto"/>
                <w:szCs w:val="21"/>
              </w:rPr>
            </w:pPr>
            <w:r>
              <w:rPr>
                <w:rFonts w:hint="eastAsia"/>
                <w:color w:val="auto"/>
                <w:szCs w:val="21"/>
              </w:rPr>
              <w:t>①“三同时”制度：</w:t>
            </w:r>
          </w:p>
          <w:p w14:paraId="0F63FA0B">
            <w:pPr>
              <w:spacing w:line="360" w:lineRule="auto"/>
              <w:ind w:firstLine="420" w:firstLineChars="200"/>
              <w:rPr>
                <w:rFonts w:hint="eastAsia"/>
                <w:color w:val="auto"/>
                <w:szCs w:val="21"/>
              </w:rPr>
            </w:pPr>
            <w:r>
              <w:rPr>
                <w:rFonts w:hint="eastAsia"/>
                <w:color w:val="auto"/>
                <w:szCs w:val="21"/>
              </w:rPr>
              <w:t>建设单位认真落实废气、污（废）水、固废、噪声等防治措施。</w:t>
            </w:r>
          </w:p>
          <w:p w14:paraId="686C056D">
            <w:pPr>
              <w:spacing w:line="360" w:lineRule="auto"/>
              <w:ind w:firstLine="420" w:firstLineChars="200"/>
              <w:rPr>
                <w:rFonts w:hint="eastAsia"/>
                <w:color w:val="auto"/>
                <w:szCs w:val="21"/>
              </w:rPr>
            </w:pPr>
            <w:r>
              <w:rPr>
                <w:rFonts w:hint="eastAsia"/>
                <w:color w:val="auto"/>
                <w:szCs w:val="21"/>
              </w:rPr>
              <w:t>②环境管理制度：</w:t>
            </w:r>
          </w:p>
          <w:p w14:paraId="3253868A">
            <w:pPr>
              <w:spacing w:line="360" w:lineRule="auto"/>
              <w:ind w:firstLine="420" w:firstLineChars="200"/>
              <w:rPr>
                <w:rFonts w:hint="eastAsia"/>
                <w:color w:val="auto"/>
                <w:szCs w:val="21"/>
              </w:rPr>
            </w:pPr>
            <w:r>
              <w:rPr>
                <w:rFonts w:hint="eastAsia"/>
                <w:color w:val="auto"/>
                <w:szCs w:val="21"/>
              </w:rPr>
              <w:t>加强环保设施的管理，落实废气、固废等的治理。建立岗位责任制和工作台账制度，对污染防治情况进行定时监测，及时掌握污染治理设施的运行情况，做好各项污染物的达标排放工作。</w:t>
            </w:r>
          </w:p>
          <w:p w14:paraId="4B638D3A">
            <w:pPr>
              <w:spacing w:line="360" w:lineRule="auto"/>
              <w:ind w:firstLine="420" w:firstLineChars="200"/>
              <w:rPr>
                <w:rFonts w:hint="eastAsia"/>
                <w:color w:val="auto"/>
                <w:szCs w:val="21"/>
              </w:rPr>
            </w:pPr>
            <w:r>
              <w:rPr>
                <w:rFonts w:hint="eastAsia"/>
                <w:color w:val="auto"/>
                <w:szCs w:val="21"/>
              </w:rPr>
              <w:t>③排污许可制度：</w:t>
            </w:r>
          </w:p>
          <w:p w14:paraId="4C618891">
            <w:pPr>
              <w:spacing w:line="360" w:lineRule="auto"/>
              <w:ind w:firstLine="420" w:firstLineChars="200"/>
              <w:rPr>
                <w:rFonts w:hint="eastAsia"/>
                <w:color w:val="auto"/>
                <w:szCs w:val="21"/>
              </w:rPr>
            </w:pPr>
            <w:r>
              <w:rPr>
                <w:rFonts w:hint="eastAsia"/>
                <w:color w:val="auto"/>
                <w:szCs w:val="21"/>
              </w:rPr>
              <w:t>根据《固定污染源排污许可分类管理名录（2019年版）》要求，建设单位应及时完成排污许可手续，合法排污。</w:t>
            </w:r>
          </w:p>
          <w:p w14:paraId="44CF004F">
            <w:pPr>
              <w:spacing w:line="360" w:lineRule="auto"/>
              <w:ind w:firstLine="420" w:firstLineChars="200"/>
              <w:rPr>
                <w:rFonts w:hint="eastAsia"/>
                <w:color w:val="auto"/>
                <w:szCs w:val="21"/>
              </w:rPr>
            </w:pPr>
            <w:r>
              <w:rPr>
                <w:rFonts w:hint="eastAsia"/>
                <w:color w:val="auto"/>
                <w:szCs w:val="21"/>
              </w:rPr>
              <w:t>④环境监测：</w:t>
            </w:r>
          </w:p>
          <w:p w14:paraId="365B1BEF">
            <w:pPr>
              <w:spacing w:line="360" w:lineRule="auto"/>
              <w:ind w:firstLine="420" w:firstLineChars="200"/>
              <w:rPr>
                <w:rFonts w:hint="eastAsia"/>
                <w:color w:val="auto"/>
                <w:szCs w:val="21"/>
              </w:rPr>
            </w:pPr>
            <w:r>
              <w:rPr>
                <w:rFonts w:hint="eastAsia"/>
                <w:color w:val="auto"/>
                <w:szCs w:val="21"/>
              </w:rPr>
              <w:t>按照监测计划的频次和要求进行监测，并保留监测原始记录，每次数据应及时由专人整理、统计，如有异常，立即向上级有关部门通报，并做好监测资料的归档、备查工作，建议建设单位定期将监测数据上墙公示，接受公众监督。</w:t>
            </w:r>
          </w:p>
          <w:p w14:paraId="358274B3">
            <w:pPr>
              <w:spacing w:line="360" w:lineRule="auto"/>
              <w:ind w:firstLine="420" w:firstLineChars="200"/>
              <w:rPr>
                <w:rFonts w:hint="eastAsia"/>
                <w:color w:val="auto"/>
                <w:szCs w:val="21"/>
              </w:rPr>
            </w:pPr>
            <w:r>
              <w:rPr>
                <w:rFonts w:hint="eastAsia"/>
                <w:color w:val="auto"/>
                <w:szCs w:val="21"/>
              </w:rPr>
              <w:t>⑤竣工验收</w:t>
            </w:r>
          </w:p>
          <w:p w14:paraId="7EE3FBC2">
            <w:pPr>
              <w:spacing w:line="360" w:lineRule="auto"/>
              <w:ind w:firstLine="420" w:firstLineChars="200"/>
              <w:rPr>
                <w:rFonts w:hint="eastAsia"/>
                <w:color w:val="auto"/>
                <w:szCs w:val="21"/>
              </w:rPr>
            </w:pPr>
            <w:r>
              <w:rPr>
                <w:rFonts w:hint="eastAsia"/>
                <w:color w:val="auto"/>
                <w:szCs w:val="21"/>
              </w:rPr>
              <w:t>根据《建设项目竣工环境保护验收暂行办法》（国环规环评〔2017〕4号），建设单位自行验收。验收合格后，方可投入生产或使用。</w:t>
            </w:r>
          </w:p>
          <w:p w14:paraId="0CC4B68E">
            <w:pPr>
              <w:spacing w:line="360" w:lineRule="auto"/>
              <w:ind w:firstLine="420" w:firstLineChars="200"/>
              <w:rPr>
                <w:color w:val="auto"/>
                <w:szCs w:val="21"/>
              </w:rPr>
            </w:pPr>
            <w:r>
              <w:rPr>
                <w:rFonts w:hint="eastAsia"/>
                <w:color w:val="auto"/>
                <w:szCs w:val="21"/>
              </w:rPr>
              <w:t>⑥突发环境事件应急预案</w:t>
            </w:r>
          </w:p>
          <w:p w14:paraId="296B63DF">
            <w:pPr>
              <w:spacing w:line="360" w:lineRule="auto"/>
              <w:ind w:firstLine="420" w:firstLineChars="200"/>
              <w:rPr>
                <w:rFonts w:hint="eastAsia"/>
                <w:color w:val="auto"/>
                <w:szCs w:val="21"/>
              </w:rPr>
            </w:pPr>
            <w:r>
              <w:rPr>
                <w:rFonts w:hint="eastAsia"/>
                <w:color w:val="auto"/>
                <w:szCs w:val="21"/>
              </w:rPr>
              <w:t>根据本次建设内容，</w:t>
            </w:r>
            <w:r>
              <w:rPr>
                <w:rFonts w:hint="eastAsia"/>
                <w:color w:val="auto"/>
                <w:szCs w:val="21"/>
                <w:lang w:val="en-US" w:eastAsia="zh-CN"/>
              </w:rPr>
              <w:t>对企业</w:t>
            </w:r>
            <w:r>
              <w:rPr>
                <w:rFonts w:hint="eastAsia"/>
                <w:color w:val="auto"/>
                <w:szCs w:val="21"/>
              </w:rPr>
              <w:t>突发环境事件应急预案</w:t>
            </w:r>
            <w:r>
              <w:rPr>
                <w:rFonts w:hint="eastAsia"/>
                <w:color w:val="auto"/>
                <w:szCs w:val="21"/>
                <w:lang w:val="en-US" w:eastAsia="zh-CN"/>
              </w:rPr>
              <w:t>进行修订</w:t>
            </w:r>
            <w:r>
              <w:rPr>
                <w:rFonts w:hint="eastAsia"/>
                <w:color w:val="auto"/>
                <w:szCs w:val="21"/>
              </w:rPr>
              <w:t>。</w:t>
            </w:r>
          </w:p>
          <w:p w14:paraId="6A666025">
            <w:pPr>
              <w:spacing w:line="360" w:lineRule="auto"/>
              <w:ind w:firstLine="420" w:firstLineChars="200"/>
              <w:rPr>
                <w:rFonts w:hint="eastAsia"/>
                <w:color w:val="auto"/>
                <w:szCs w:val="21"/>
              </w:rPr>
            </w:pPr>
            <w:r>
              <w:rPr>
                <w:rFonts w:hint="eastAsia"/>
                <w:color w:val="auto"/>
                <w:szCs w:val="21"/>
              </w:rPr>
              <w:t>⑦环境信息公开的要求</w:t>
            </w:r>
          </w:p>
          <w:p w14:paraId="59998A14">
            <w:pPr>
              <w:spacing w:line="360" w:lineRule="auto"/>
              <w:ind w:firstLine="420" w:firstLineChars="200"/>
              <w:rPr>
                <w:rFonts w:hint="eastAsia"/>
                <w:color w:val="auto"/>
                <w:szCs w:val="21"/>
              </w:rPr>
            </w:pPr>
            <w:r>
              <w:rPr>
                <w:rFonts w:hint="eastAsia"/>
                <w:color w:val="auto"/>
                <w:szCs w:val="21"/>
              </w:rPr>
              <w:t>按照《建设项目环境影响评价政府信息公开指南（试行）》有关要求进行信息公开。</w:t>
            </w:r>
          </w:p>
          <w:p w14:paraId="48AFA2E9">
            <w:pPr>
              <w:pStyle w:val="46"/>
              <w:rPr>
                <w:rFonts w:hint="eastAsia"/>
                <w:color w:val="auto"/>
                <w:sz w:val="21"/>
                <w:szCs w:val="21"/>
              </w:rPr>
            </w:pPr>
          </w:p>
          <w:p w14:paraId="5F307A02">
            <w:pPr>
              <w:pStyle w:val="46"/>
              <w:rPr>
                <w:rFonts w:hint="eastAsia"/>
                <w:color w:val="auto"/>
                <w:sz w:val="21"/>
                <w:szCs w:val="21"/>
              </w:rPr>
            </w:pPr>
          </w:p>
          <w:p w14:paraId="134BFCE4">
            <w:pPr>
              <w:pStyle w:val="46"/>
              <w:rPr>
                <w:color w:val="auto"/>
                <w:sz w:val="21"/>
                <w:szCs w:val="21"/>
              </w:rPr>
            </w:pPr>
          </w:p>
          <w:p w14:paraId="2535EB40">
            <w:pPr>
              <w:pStyle w:val="46"/>
              <w:rPr>
                <w:rFonts w:hint="eastAsia"/>
                <w:color w:val="auto"/>
                <w:sz w:val="21"/>
                <w:szCs w:val="21"/>
              </w:rPr>
            </w:pPr>
          </w:p>
          <w:p w14:paraId="7F47E8EF">
            <w:pPr>
              <w:pStyle w:val="46"/>
              <w:rPr>
                <w:color w:val="auto"/>
                <w:sz w:val="21"/>
                <w:szCs w:val="21"/>
              </w:rPr>
            </w:pPr>
          </w:p>
          <w:p w14:paraId="6B515A41">
            <w:pPr>
              <w:pStyle w:val="46"/>
              <w:rPr>
                <w:rFonts w:hint="eastAsia"/>
                <w:color w:val="auto"/>
                <w:sz w:val="21"/>
                <w:szCs w:val="21"/>
              </w:rPr>
            </w:pPr>
          </w:p>
        </w:tc>
      </w:tr>
    </w:tbl>
    <w:p w14:paraId="48B02B30">
      <w:pPr>
        <w:pStyle w:val="24"/>
        <w:jc w:val="center"/>
        <w:outlineLvl w:val="0"/>
        <w:rPr>
          <w:snapToGrid w:val="0"/>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55631A">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471A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1E60D9D">
            <w:pPr>
              <w:tabs>
                <w:tab w:val="left" w:pos="1882"/>
              </w:tabs>
              <w:spacing w:line="480" w:lineRule="exact"/>
              <w:ind w:firstLine="480" w:firstLineChars="200"/>
              <w:rPr>
                <w:color w:val="auto"/>
                <w:sz w:val="24"/>
              </w:rPr>
            </w:pPr>
            <w:r>
              <w:rPr>
                <w:rFonts w:hint="eastAsia"/>
                <w:color w:val="auto"/>
                <w:sz w:val="24"/>
              </w:rPr>
              <w:t>从环境保护角度，本建设项目的环境影响是可行的。</w:t>
            </w:r>
          </w:p>
          <w:p w14:paraId="15F7FA79">
            <w:pPr>
              <w:pStyle w:val="46"/>
              <w:rPr>
                <w:rFonts w:hint="eastAsia"/>
                <w:color w:val="auto"/>
              </w:rPr>
            </w:pPr>
          </w:p>
        </w:tc>
      </w:tr>
    </w:tbl>
    <w:p w14:paraId="09A05977">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9C3D5F5">
      <w:pPr>
        <w:pStyle w:val="24"/>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70D544C5">
      <w:pPr>
        <w:pStyle w:val="24"/>
        <w:adjustRightInd w:val="0"/>
        <w:snapToGrid w:val="0"/>
        <w:spacing w:before="0" w:beforeAutospacing="0" w:after="0" w:afterAutospacing="0" w:line="360" w:lineRule="auto"/>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948"/>
        <w:gridCol w:w="1701"/>
        <w:gridCol w:w="1276"/>
        <w:gridCol w:w="1701"/>
        <w:gridCol w:w="1559"/>
        <w:gridCol w:w="1688"/>
        <w:gridCol w:w="1680"/>
        <w:gridCol w:w="1178"/>
      </w:tblGrid>
      <w:tr w14:paraId="0FC01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57" w:type="dxa"/>
            <w:tcBorders>
              <w:tl2br w:val="single" w:color="auto" w:sz="4" w:space="0"/>
            </w:tcBorders>
            <w:noWrap w:val="0"/>
            <w:tcMar>
              <w:left w:w="28" w:type="dxa"/>
              <w:right w:w="28" w:type="dxa"/>
            </w:tcMar>
            <w:vAlign w:val="center"/>
          </w:tcPr>
          <w:p w14:paraId="35823498">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jc w:val="right"/>
              <w:textAlignment w:val="auto"/>
              <w:rPr>
                <w:rFonts w:hint="eastAsia" w:ascii="黑体" w:hAnsi="黑体" w:eastAsia="黑体" w:cs="宋体"/>
                <w:snapToGrid w:val="0"/>
                <w:color w:val="auto"/>
                <w:spacing w:val="-6"/>
                <w:kern w:val="21"/>
                <w:szCs w:val="21"/>
              </w:rPr>
            </w:pPr>
            <w:bookmarkStart w:id="41" w:name="_Hlk111803989"/>
            <w:r>
              <w:rPr>
                <w:rFonts w:hint="eastAsia" w:ascii="黑体" w:hAnsi="黑体" w:eastAsia="黑体" w:cs="宋体"/>
                <w:snapToGrid w:val="0"/>
                <w:color w:val="auto"/>
                <w:spacing w:val="-6"/>
                <w:kern w:val="21"/>
                <w:szCs w:val="21"/>
              </w:rPr>
              <w:t>项目</w:t>
            </w:r>
          </w:p>
          <w:p w14:paraId="3A03407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jc w:val="left"/>
              <w:textAlignment w:val="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948" w:type="dxa"/>
            <w:noWrap w:val="0"/>
            <w:tcMar>
              <w:left w:w="28" w:type="dxa"/>
              <w:right w:w="28" w:type="dxa"/>
            </w:tcMar>
            <w:vAlign w:val="center"/>
          </w:tcPr>
          <w:p w14:paraId="0C66FA6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701" w:type="dxa"/>
            <w:noWrap w:val="0"/>
            <w:tcMar>
              <w:left w:w="28" w:type="dxa"/>
              <w:right w:w="28" w:type="dxa"/>
            </w:tcMar>
            <w:vAlign w:val="center"/>
          </w:tcPr>
          <w:p w14:paraId="0582587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4176617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276" w:type="dxa"/>
            <w:noWrap w:val="0"/>
            <w:tcMar>
              <w:left w:w="28" w:type="dxa"/>
              <w:right w:w="28" w:type="dxa"/>
            </w:tcMar>
            <w:vAlign w:val="center"/>
          </w:tcPr>
          <w:p w14:paraId="05E15E6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337E93D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40329F1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01" w:type="dxa"/>
            <w:noWrap w:val="0"/>
            <w:tcMar>
              <w:left w:w="28" w:type="dxa"/>
              <w:right w:w="28" w:type="dxa"/>
            </w:tcMar>
            <w:vAlign w:val="center"/>
          </w:tcPr>
          <w:p w14:paraId="7B22F83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6AF67CB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59" w:type="dxa"/>
            <w:noWrap w:val="0"/>
            <w:tcMar>
              <w:left w:w="28" w:type="dxa"/>
              <w:right w:w="28" w:type="dxa"/>
            </w:tcMar>
            <w:vAlign w:val="center"/>
          </w:tcPr>
          <w:p w14:paraId="541CF1F6">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4FED263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688" w:type="dxa"/>
            <w:noWrap w:val="0"/>
            <w:tcMar>
              <w:left w:w="28" w:type="dxa"/>
              <w:right w:w="28" w:type="dxa"/>
            </w:tcMar>
            <w:vAlign w:val="center"/>
          </w:tcPr>
          <w:p w14:paraId="2B8B129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1BE2178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680" w:type="dxa"/>
            <w:noWrap w:val="0"/>
            <w:tcMar>
              <w:left w:w="28" w:type="dxa"/>
              <w:right w:w="28" w:type="dxa"/>
            </w:tcMar>
            <w:vAlign w:val="center"/>
          </w:tcPr>
          <w:p w14:paraId="3E15344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1B18ED1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1178" w:type="dxa"/>
            <w:noWrap w:val="0"/>
            <w:tcMar>
              <w:left w:w="28" w:type="dxa"/>
              <w:right w:w="28" w:type="dxa"/>
            </w:tcMar>
            <w:vAlign w:val="center"/>
          </w:tcPr>
          <w:p w14:paraId="031A795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7D7E31B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55682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5F66012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w:t>
            </w:r>
          </w:p>
        </w:tc>
        <w:tc>
          <w:tcPr>
            <w:tcW w:w="1948" w:type="dxa"/>
            <w:noWrap w:val="0"/>
            <w:vAlign w:val="center"/>
          </w:tcPr>
          <w:p w14:paraId="15D9D3BB">
            <w:pPr>
              <w:pStyle w:val="69"/>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kern w:val="2"/>
                <w:sz w:val="21"/>
                <w:szCs w:val="21"/>
                <w:lang w:eastAsia="zh-CN"/>
              </w:rPr>
            </w:pPr>
            <w:r>
              <w:rPr>
                <w:rFonts w:hint="eastAsia" w:cs="Times New Roman"/>
                <w:color w:val="auto"/>
                <w:kern w:val="2"/>
                <w:sz w:val="21"/>
                <w:szCs w:val="21"/>
                <w:lang w:eastAsia="zh-CN"/>
              </w:rPr>
              <w:t>颗粒物</w:t>
            </w:r>
          </w:p>
        </w:tc>
        <w:tc>
          <w:tcPr>
            <w:tcW w:w="1701" w:type="dxa"/>
            <w:shd w:val="clear" w:color="auto" w:fill="auto"/>
            <w:noWrap w:val="0"/>
            <w:vAlign w:val="center"/>
          </w:tcPr>
          <w:p w14:paraId="2F3821C6">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0.022</w:t>
            </w:r>
            <w:r>
              <w:rPr>
                <w:rFonts w:hint="eastAsia"/>
                <w:snapToGrid w:val="0"/>
                <w:color w:val="auto"/>
                <w:kern w:val="21"/>
                <w:szCs w:val="21"/>
              </w:rPr>
              <w:t>t/a</w:t>
            </w:r>
          </w:p>
        </w:tc>
        <w:tc>
          <w:tcPr>
            <w:tcW w:w="1276" w:type="dxa"/>
            <w:noWrap w:val="0"/>
            <w:vAlign w:val="center"/>
          </w:tcPr>
          <w:p w14:paraId="74AEE9D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295F784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63D161E7">
            <w:pPr>
              <w:keepNext w:val="0"/>
              <w:keepLines w:val="0"/>
              <w:pageBreakBefore w:val="0"/>
              <w:kinsoku/>
              <w:wordWrap/>
              <w:overflowPunct/>
              <w:topLinePunct w:val="0"/>
              <w:autoSpaceDE/>
              <w:autoSpaceDN/>
              <w:bidi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lang w:val="en-US" w:eastAsia="zh-CN"/>
              </w:rPr>
              <w:t>0.022</w:t>
            </w:r>
            <w:r>
              <w:rPr>
                <w:rFonts w:hint="eastAsia"/>
                <w:snapToGrid w:val="0"/>
                <w:color w:val="auto"/>
                <w:kern w:val="21"/>
                <w:szCs w:val="21"/>
              </w:rPr>
              <w:t>t/a</w:t>
            </w:r>
          </w:p>
        </w:tc>
        <w:tc>
          <w:tcPr>
            <w:tcW w:w="1688" w:type="dxa"/>
            <w:shd w:val="clear" w:color="auto" w:fill="auto"/>
            <w:noWrap w:val="0"/>
            <w:vAlign w:val="center"/>
          </w:tcPr>
          <w:p w14:paraId="33C4B21C">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0.022</w:t>
            </w:r>
            <w:r>
              <w:rPr>
                <w:rFonts w:hint="eastAsia"/>
                <w:snapToGrid w:val="0"/>
                <w:color w:val="auto"/>
                <w:kern w:val="21"/>
                <w:szCs w:val="21"/>
              </w:rPr>
              <w:t>t/a</w:t>
            </w:r>
          </w:p>
        </w:tc>
        <w:tc>
          <w:tcPr>
            <w:tcW w:w="1680" w:type="dxa"/>
            <w:shd w:val="clear" w:color="auto" w:fill="auto"/>
            <w:noWrap w:val="0"/>
            <w:vAlign w:val="center"/>
          </w:tcPr>
          <w:p w14:paraId="0F0185AA">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0.022</w:t>
            </w:r>
            <w:r>
              <w:rPr>
                <w:rFonts w:hint="eastAsia"/>
                <w:snapToGrid w:val="0"/>
                <w:color w:val="auto"/>
                <w:kern w:val="21"/>
                <w:szCs w:val="21"/>
              </w:rPr>
              <w:t>t/a</w:t>
            </w:r>
          </w:p>
        </w:tc>
        <w:tc>
          <w:tcPr>
            <w:tcW w:w="1178" w:type="dxa"/>
            <w:noWrap w:val="0"/>
            <w:vAlign w:val="center"/>
          </w:tcPr>
          <w:p w14:paraId="00E7DD0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p>
        </w:tc>
      </w:tr>
      <w:tr w14:paraId="607CF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6DEE9D8E">
            <w:pPr>
              <w:jc w:val="center"/>
              <w:rPr>
                <w:rFonts w:hint="eastAsia" w:ascii="Times New Roman" w:hAnsi="Times New Roman" w:eastAsia="宋体" w:cs="Times New Roman"/>
                <w:color w:val="auto"/>
                <w:szCs w:val="21"/>
                <w:lang w:val="en-US" w:eastAsia="zh-CN"/>
              </w:rPr>
            </w:pPr>
          </w:p>
        </w:tc>
        <w:tc>
          <w:tcPr>
            <w:tcW w:w="1948" w:type="dxa"/>
            <w:noWrap w:val="0"/>
            <w:vAlign w:val="center"/>
          </w:tcPr>
          <w:p w14:paraId="19ADFD15">
            <w:pPr>
              <w:pStyle w:val="69"/>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kern w:val="2"/>
                <w:sz w:val="21"/>
                <w:szCs w:val="21"/>
                <w:lang w:val="en-US" w:eastAsia="zh-CN"/>
              </w:rPr>
            </w:pPr>
            <w:r>
              <w:rPr>
                <w:rFonts w:hint="eastAsia" w:cs="Times New Roman"/>
                <w:color w:val="auto"/>
                <w:kern w:val="2"/>
                <w:sz w:val="21"/>
                <w:szCs w:val="21"/>
                <w:lang w:val="en-US" w:eastAsia="zh-CN"/>
              </w:rPr>
              <w:t>非甲烷总烃</w:t>
            </w:r>
          </w:p>
        </w:tc>
        <w:tc>
          <w:tcPr>
            <w:tcW w:w="1701" w:type="dxa"/>
            <w:shd w:val="clear" w:color="auto" w:fill="auto"/>
            <w:noWrap w:val="0"/>
            <w:vAlign w:val="center"/>
          </w:tcPr>
          <w:p w14:paraId="786D580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0.815</w:t>
            </w:r>
            <w:r>
              <w:rPr>
                <w:rFonts w:hint="eastAsia"/>
                <w:snapToGrid w:val="0"/>
                <w:color w:val="auto"/>
                <w:kern w:val="21"/>
                <w:szCs w:val="21"/>
              </w:rPr>
              <w:t>t/a</w:t>
            </w:r>
          </w:p>
        </w:tc>
        <w:tc>
          <w:tcPr>
            <w:tcW w:w="1276" w:type="dxa"/>
            <w:noWrap w:val="0"/>
            <w:vAlign w:val="center"/>
          </w:tcPr>
          <w:p w14:paraId="7829B29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20C2762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13642D9E">
            <w:pPr>
              <w:keepNext w:val="0"/>
              <w:keepLines w:val="0"/>
              <w:pageBreakBefore w:val="0"/>
              <w:kinsoku/>
              <w:wordWrap/>
              <w:overflowPunct/>
              <w:topLinePunct w:val="0"/>
              <w:autoSpaceDE/>
              <w:autoSpaceDN/>
              <w:bidi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lang w:val="en-US" w:eastAsia="zh-CN"/>
              </w:rPr>
              <w:t>0.924</w:t>
            </w:r>
            <w:r>
              <w:rPr>
                <w:rFonts w:hint="eastAsia"/>
                <w:snapToGrid w:val="0"/>
                <w:color w:val="auto"/>
                <w:kern w:val="21"/>
                <w:szCs w:val="21"/>
              </w:rPr>
              <w:t>t/a</w:t>
            </w:r>
          </w:p>
        </w:tc>
        <w:tc>
          <w:tcPr>
            <w:tcW w:w="1688" w:type="dxa"/>
            <w:shd w:val="clear" w:color="auto" w:fill="auto"/>
            <w:noWrap w:val="0"/>
            <w:vAlign w:val="center"/>
          </w:tcPr>
          <w:p w14:paraId="4454EF3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0.815</w:t>
            </w:r>
            <w:r>
              <w:rPr>
                <w:rFonts w:hint="eastAsia"/>
                <w:snapToGrid w:val="0"/>
                <w:color w:val="auto"/>
                <w:kern w:val="21"/>
                <w:szCs w:val="21"/>
              </w:rPr>
              <w:t>t/a</w:t>
            </w:r>
          </w:p>
        </w:tc>
        <w:tc>
          <w:tcPr>
            <w:tcW w:w="1680" w:type="dxa"/>
            <w:shd w:val="clear" w:color="auto" w:fill="auto"/>
            <w:noWrap w:val="0"/>
            <w:vAlign w:val="center"/>
          </w:tcPr>
          <w:p w14:paraId="61EAA59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0.924</w:t>
            </w:r>
            <w:r>
              <w:rPr>
                <w:rFonts w:hint="eastAsia"/>
                <w:snapToGrid w:val="0"/>
                <w:color w:val="auto"/>
                <w:kern w:val="21"/>
                <w:szCs w:val="21"/>
              </w:rPr>
              <w:t>t/a</w:t>
            </w:r>
          </w:p>
        </w:tc>
        <w:tc>
          <w:tcPr>
            <w:tcW w:w="1178" w:type="dxa"/>
            <w:noWrap w:val="0"/>
            <w:vAlign w:val="center"/>
          </w:tcPr>
          <w:p w14:paraId="153236B2">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0.109</w:t>
            </w:r>
            <w:r>
              <w:rPr>
                <w:rFonts w:hint="eastAsia"/>
                <w:snapToGrid w:val="0"/>
                <w:color w:val="auto"/>
                <w:kern w:val="21"/>
                <w:szCs w:val="21"/>
              </w:rPr>
              <w:t>t/a</w:t>
            </w:r>
          </w:p>
        </w:tc>
      </w:tr>
      <w:tr w14:paraId="0A10C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29E3C73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w:t>
            </w:r>
          </w:p>
        </w:tc>
        <w:tc>
          <w:tcPr>
            <w:tcW w:w="1948" w:type="dxa"/>
            <w:noWrap w:val="0"/>
            <w:vAlign w:val="center"/>
          </w:tcPr>
          <w:p w14:paraId="2E3E1E8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COD</w:t>
            </w:r>
          </w:p>
        </w:tc>
        <w:tc>
          <w:tcPr>
            <w:tcW w:w="1701" w:type="dxa"/>
            <w:shd w:val="clear" w:color="auto" w:fill="auto"/>
            <w:noWrap w:val="0"/>
            <w:vAlign w:val="center"/>
          </w:tcPr>
          <w:p w14:paraId="168BA9B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0.1008</w:t>
            </w:r>
            <w:r>
              <w:rPr>
                <w:rFonts w:hint="default" w:ascii="Times New Roman" w:hAnsi="Times New Roman" w:eastAsia="宋体" w:cs="Times New Roman"/>
                <w:snapToGrid w:val="0"/>
                <w:color w:val="auto"/>
                <w:kern w:val="21"/>
                <w:szCs w:val="21"/>
                <w:lang w:val="en-US" w:eastAsia="zh-CN"/>
              </w:rPr>
              <w:t>t/a</w:t>
            </w:r>
          </w:p>
        </w:tc>
        <w:tc>
          <w:tcPr>
            <w:tcW w:w="1276" w:type="dxa"/>
            <w:noWrap w:val="0"/>
            <w:vAlign w:val="center"/>
          </w:tcPr>
          <w:p w14:paraId="64AC38A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5DF6084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1D371B84">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lang w:eastAsia="zh-CN"/>
              </w:rPr>
              <w:t>0.</w:t>
            </w:r>
            <w:r>
              <w:rPr>
                <w:rFonts w:hint="eastAsia"/>
                <w:snapToGrid w:val="0"/>
                <w:color w:val="auto"/>
                <w:kern w:val="21"/>
                <w:szCs w:val="21"/>
                <w:lang w:val="en-US" w:eastAsia="zh-CN"/>
              </w:rPr>
              <w:t>089t</w:t>
            </w:r>
            <w:r>
              <w:rPr>
                <w:rFonts w:hint="eastAsia"/>
                <w:snapToGrid w:val="0"/>
                <w:color w:val="auto"/>
                <w:kern w:val="21"/>
                <w:szCs w:val="21"/>
              </w:rPr>
              <w:t>/a</w:t>
            </w:r>
          </w:p>
        </w:tc>
        <w:tc>
          <w:tcPr>
            <w:tcW w:w="1688" w:type="dxa"/>
            <w:shd w:val="clear" w:color="auto" w:fill="auto"/>
            <w:noWrap w:val="0"/>
            <w:vAlign w:val="center"/>
          </w:tcPr>
          <w:p w14:paraId="71FB3639">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0.1008</w:t>
            </w:r>
            <w:r>
              <w:rPr>
                <w:rFonts w:hint="default" w:ascii="Times New Roman" w:hAnsi="Times New Roman" w:eastAsia="宋体" w:cs="Times New Roman"/>
                <w:snapToGrid w:val="0"/>
                <w:color w:val="auto"/>
                <w:kern w:val="21"/>
                <w:szCs w:val="21"/>
                <w:lang w:val="en-US" w:eastAsia="zh-CN"/>
              </w:rPr>
              <w:t>t/a</w:t>
            </w:r>
          </w:p>
        </w:tc>
        <w:tc>
          <w:tcPr>
            <w:tcW w:w="1680" w:type="dxa"/>
            <w:shd w:val="clear" w:color="auto" w:fill="auto"/>
            <w:noWrap w:val="0"/>
            <w:vAlign w:val="center"/>
          </w:tcPr>
          <w:p w14:paraId="64B8E3D6">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eastAsia="zh-CN"/>
              </w:rPr>
              <w:t>0.</w:t>
            </w:r>
            <w:r>
              <w:rPr>
                <w:rFonts w:hint="eastAsia"/>
                <w:snapToGrid w:val="0"/>
                <w:color w:val="auto"/>
                <w:kern w:val="21"/>
                <w:szCs w:val="21"/>
                <w:lang w:val="en-US" w:eastAsia="zh-CN"/>
              </w:rPr>
              <w:t>089t</w:t>
            </w:r>
            <w:r>
              <w:rPr>
                <w:rFonts w:hint="eastAsia"/>
                <w:snapToGrid w:val="0"/>
                <w:color w:val="auto"/>
                <w:kern w:val="21"/>
                <w:szCs w:val="21"/>
              </w:rPr>
              <w:t>/a</w:t>
            </w:r>
          </w:p>
        </w:tc>
        <w:tc>
          <w:tcPr>
            <w:tcW w:w="1178" w:type="dxa"/>
            <w:noWrap w:val="0"/>
            <w:vAlign w:val="center"/>
          </w:tcPr>
          <w:p w14:paraId="3123E66D">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-0.0118</w:t>
            </w:r>
            <w:r>
              <w:rPr>
                <w:rFonts w:hint="eastAsia"/>
                <w:snapToGrid w:val="0"/>
                <w:color w:val="auto"/>
                <w:kern w:val="21"/>
                <w:szCs w:val="21"/>
                <w:lang w:val="en-US" w:eastAsia="zh-CN"/>
              </w:rPr>
              <w:t>t</w:t>
            </w:r>
            <w:r>
              <w:rPr>
                <w:rFonts w:hint="eastAsia"/>
                <w:snapToGrid w:val="0"/>
                <w:color w:val="auto"/>
                <w:kern w:val="21"/>
                <w:szCs w:val="21"/>
              </w:rPr>
              <w:t>/a</w:t>
            </w:r>
          </w:p>
        </w:tc>
      </w:tr>
      <w:tr w14:paraId="7FD47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07293FD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3A98D47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BOD</w:t>
            </w:r>
            <w:r>
              <w:rPr>
                <w:color w:val="auto"/>
                <w:szCs w:val="21"/>
                <w:vertAlign w:val="subscript"/>
              </w:rPr>
              <w:t>5</w:t>
            </w:r>
          </w:p>
        </w:tc>
        <w:tc>
          <w:tcPr>
            <w:tcW w:w="1701" w:type="dxa"/>
            <w:shd w:val="clear" w:color="auto" w:fill="auto"/>
            <w:noWrap w:val="0"/>
            <w:vAlign w:val="center"/>
          </w:tcPr>
          <w:p w14:paraId="4232D88D">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0.063</w:t>
            </w:r>
            <w:r>
              <w:rPr>
                <w:rFonts w:hint="default" w:ascii="Times New Roman" w:hAnsi="Times New Roman" w:eastAsia="宋体" w:cs="Times New Roman"/>
                <w:snapToGrid w:val="0"/>
                <w:color w:val="auto"/>
                <w:kern w:val="21"/>
                <w:szCs w:val="21"/>
                <w:lang w:val="en-US" w:eastAsia="zh-CN"/>
              </w:rPr>
              <w:t>t/a</w:t>
            </w:r>
          </w:p>
        </w:tc>
        <w:tc>
          <w:tcPr>
            <w:tcW w:w="1276" w:type="dxa"/>
            <w:noWrap w:val="0"/>
            <w:vAlign w:val="center"/>
          </w:tcPr>
          <w:p w14:paraId="635C8D1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2E59D76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3731AAD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lang w:eastAsia="zh-CN"/>
              </w:rPr>
              <w:t>0.</w:t>
            </w:r>
            <w:r>
              <w:rPr>
                <w:rFonts w:hint="eastAsia"/>
                <w:snapToGrid w:val="0"/>
                <w:color w:val="auto"/>
                <w:kern w:val="21"/>
                <w:szCs w:val="21"/>
                <w:lang w:val="en-US" w:eastAsia="zh-CN"/>
              </w:rPr>
              <w:t>06</w:t>
            </w:r>
            <w:r>
              <w:rPr>
                <w:rFonts w:hint="eastAsia"/>
                <w:snapToGrid w:val="0"/>
                <w:color w:val="auto"/>
                <w:kern w:val="21"/>
                <w:szCs w:val="21"/>
              </w:rPr>
              <w:t>t/a</w:t>
            </w:r>
          </w:p>
        </w:tc>
        <w:tc>
          <w:tcPr>
            <w:tcW w:w="1688" w:type="dxa"/>
            <w:shd w:val="clear" w:color="auto" w:fill="auto"/>
            <w:noWrap w:val="0"/>
            <w:vAlign w:val="center"/>
          </w:tcPr>
          <w:p w14:paraId="0FF6DD97">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0.063</w:t>
            </w:r>
            <w:r>
              <w:rPr>
                <w:rFonts w:hint="default" w:ascii="Times New Roman" w:hAnsi="Times New Roman" w:eastAsia="宋体" w:cs="Times New Roman"/>
                <w:snapToGrid w:val="0"/>
                <w:color w:val="auto"/>
                <w:kern w:val="21"/>
                <w:szCs w:val="21"/>
                <w:lang w:val="en-US" w:eastAsia="zh-CN"/>
              </w:rPr>
              <w:t>t/a</w:t>
            </w:r>
          </w:p>
        </w:tc>
        <w:tc>
          <w:tcPr>
            <w:tcW w:w="1680" w:type="dxa"/>
            <w:shd w:val="clear" w:color="auto" w:fill="auto"/>
            <w:noWrap w:val="0"/>
            <w:vAlign w:val="center"/>
          </w:tcPr>
          <w:p w14:paraId="5148AC16">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eastAsia="zh-CN"/>
              </w:rPr>
              <w:t>0.</w:t>
            </w:r>
            <w:r>
              <w:rPr>
                <w:rFonts w:hint="eastAsia"/>
                <w:snapToGrid w:val="0"/>
                <w:color w:val="auto"/>
                <w:kern w:val="21"/>
                <w:szCs w:val="21"/>
                <w:lang w:val="en-US" w:eastAsia="zh-CN"/>
              </w:rPr>
              <w:t>06</w:t>
            </w:r>
            <w:r>
              <w:rPr>
                <w:rFonts w:hint="eastAsia"/>
                <w:snapToGrid w:val="0"/>
                <w:color w:val="auto"/>
                <w:kern w:val="21"/>
                <w:szCs w:val="21"/>
              </w:rPr>
              <w:t>t/a</w:t>
            </w:r>
          </w:p>
        </w:tc>
        <w:tc>
          <w:tcPr>
            <w:tcW w:w="1178" w:type="dxa"/>
            <w:noWrap w:val="0"/>
            <w:vAlign w:val="center"/>
          </w:tcPr>
          <w:p w14:paraId="7009085D">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-0.003</w:t>
            </w:r>
            <w:r>
              <w:rPr>
                <w:rFonts w:hint="eastAsia"/>
                <w:snapToGrid w:val="0"/>
                <w:color w:val="auto"/>
                <w:kern w:val="21"/>
                <w:szCs w:val="21"/>
                <w:lang w:val="en-US" w:eastAsia="zh-CN"/>
              </w:rPr>
              <w:t>t</w:t>
            </w:r>
            <w:r>
              <w:rPr>
                <w:rFonts w:hint="eastAsia"/>
                <w:snapToGrid w:val="0"/>
                <w:color w:val="auto"/>
                <w:kern w:val="21"/>
                <w:szCs w:val="21"/>
              </w:rPr>
              <w:t>/a</w:t>
            </w:r>
          </w:p>
        </w:tc>
      </w:tr>
      <w:tr w14:paraId="2B4FE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751BEDA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3E8DE40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SS</w:t>
            </w:r>
          </w:p>
        </w:tc>
        <w:tc>
          <w:tcPr>
            <w:tcW w:w="1701" w:type="dxa"/>
            <w:shd w:val="clear" w:color="auto" w:fill="auto"/>
            <w:noWrap w:val="0"/>
            <w:vAlign w:val="center"/>
          </w:tcPr>
          <w:p w14:paraId="10B72FE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0.0648</w:t>
            </w:r>
            <w:r>
              <w:rPr>
                <w:rFonts w:hint="default" w:ascii="Times New Roman" w:hAnsi="Times New Roman" w:eastAsia="宋体" w:cs="Times New Roman"/>
                <w:snapToGrid w:val="0"/>
                <w:color w:val="auto"/>
                <w:kern w:val="21"/>
                <w:szCs w:val="21"/>
                <w:lang w:val="en-US" w:eastAsia="zh-CN"/>
              </w:rPr>
              <w:t>t/a</w:t>
            </w:r>
          </w:p>
        </w:tc>
        <w:tc>
          <w:tcPr>
            <w:tcW w:w="1276" w:type="dxa"/>
            <w:noWrap w:val="0"/>
            <w:vAlign w:val="center"/>
          </w:tcPr>
          <w:p w14:paraId="3794041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75CD512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5FB856F9">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lang w:eastAsia="zh-CN"/>
              </w:rPr>
              <w:t>0.</w:t>
            </w:r>
            <w:r>
              <w:rPr>
                <w:rFonts w:hint="eastAsia"/>
                <w:snapToGrid w:val="0"/>
                <w:color w:val="auto"/>
                <w:kern w:val="21"/>
                <w:szCs w:val="21"/>
                <w:lang w:val="en-US" w:eastAsia="zh-CN"/>
              </w:rPr>
              <w:t>072</w:t>
            </w:r>
            <w:r>
              <w:rPr>
                <w:rFonts w:hint="eastAsia"/>
                <w:snapToGrid w:val="0"/>
                <w:color w:val="auto"/>
                <w:kern w:val="21"/>
                <w:szCs w:val="21"/>
              </w:rPr>
              <w:t>t/a</w:t>
            </w:r>
          </w:p>
        </w:tc>
        <w:tc>
          <w:tcPr>
            <w:tcW w:w="1688" w:type="dxa"/>
            <w:shd w:val="clear" w:color="auto" w:fill="auto"/>
            <w:noWrap w:val="0"/>
            <w:vAlign w:val="center"/>
          </w:tcPr>
          <w:p w14:paraId="2DEF705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0.0648</w:t>
            </w:r>
            <w:r>
              <w:rPr>
                <w:rFonts w:hint="default" w:ascii="Times New Roman" w:hAnsi="Times New Roman" w:eastAsia="宋体" w:cs="Times New Roman"/>
                <w:snapToGrid w:val="0"/>
                <w:color w:val="auto"/>
                <w:kern w:val="21"/>
                <w:szCs w:val="21"/>
                <w:lang w:val="en-US" w:eastAsia="zh-CN"/>
              </w:rPr>
              <w:t>t/a</w:t>
            </w:r>
          </w:p>
        </w:tc>
        <w:tc>
          <w:tcPr>
            <w:tcW w:w="1680" w:type="dxa"/>
            <w:shd w:val="clear" w:color="auto" w:fill="auto"/>
            <w:noWrap w:val="0"/>
            <w:vAlign w:val="center"/>
          </w:tcPr>
          <w:p w14:paraId="5C6E0D47">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eastAsia="zh-CN"/>
              </w:rPr>
              <w:t>0.</w:t>
            </w:r>
            <w:r>
              <w:rPr>
                <w:rFonts w:hint="eastAsia"/>
                <w:snapToGrid w:val="0"/>
                <w:color w:val="auto"/>
                <w:kern w:val="21"/>
                <w:szCs w:val="21"/>
                <w:lang w:val="en-US" w:eastAsia="zh-CN"/>
              </w:rPr>
              <w:t>072</w:t>
            </w:r>
            <w:r>
              <w:rPr>
                <w:rFonts w:hint="eastAsia"/>
                <w:snapToGrid w:val="0"/>
                <w:color w:val="auto"/>
                <w:kern w:val="21"/>
                <w:szCs w:val="21"/>
              </w:rPr>
              <w:t>t/a</w:t>
            </w:r>
          </w:p>
        </w:tc>
        <w:tc>
          <w:tcPr>
            <w:tcW w:w="1178" w:type="dxa"/>
            <w:noWrap w:val="0"/>
            <w:vAlign w:val="center"/>
          </w:tcPr>
          <w:p w14:paraId="5429241C">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0.0072</w:t>
            </w:r>
            <w:r>
              <w:rPr>
                <w:rFonts w:hint="eastAsia"/>
                <w:snapToGrid w:val="0"/>
                <w:color w:val="auto"/>
                <w:kern w:val="21"/>
                <w:szCs w:val="21"/>
                <w:lang w:val="en-US" w:eastAsia="zh-CN"/>
              </w:rPr>
              <w:t>t</w:t>
            </w:r>
            <w:r>
              <w:rPr>
                <w:rFonts w:hint="eastAsia"/>
                <w:snapToGrid w:val="0"/>
                <w:color w:val="auto"/>
                <w:kern w:val="21"/>
                <w:szCs w:val="21"/>
              </w:rPr>
              <w:t>/a</w:t>
            </w:r>
          </w:p>
        </w:tc>
      </w:tr>
      <w:tr w14:paraId="21079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5332E0C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2280EF1E">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NH</w:t>
            </w:r>
            <w:r>
              <w:rPr>
                <w:color w:val="auto"/>
                <w:szCs w:val="21"/>
                <w:vertAlign w:val="subscript"/>
              </w:rPr>
              <w:t>3</w:t>
            </w:r>
            <w:r>
              <w:rPr>
                <w:color w:val="auto"/>
                <w:szCs w:val="21"/>
              </w:rPr>
              <w:t>-N</w:t>
            </w:r>
          </w:p>
        </w:tc>
        <w:tc>
          <w:tcPr>
            <w:tcW w:w="1701" w:type="dxa"/>
            <w:shd w:val="clear" w:color="auto" w:fill="auto"/>
            <w:noWrap w:val="0"/>
            <w:vAlign w:val="center"/>
          </w:tcPr>
          <w:p w14:paraId="53C3D38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0.0117</w:t>
            </w:r>
            <w:r>
              <w:rPr>
                <w:rFonts w:hint="default" w:ascii="Times New Roman" w:hAnsi="Times New Roman" w:eastAsia="宋体" w:cs="Times New Roman"/>
                <w:snapToGrid w:val="0"/>
                <w:color w:val="auto"/>
                <w:kern w:val="21"/>
                <w:szCs w:val="21"/>
                <w:lang w:val="en-US" w:eastAsia="zh-CN"/>
              </w:rPr>
              <w:t>t/a</w:t>
            </w:r>
          </w:p>
        </w:tc>
        <w:tc>
          <w:tcPr>
            <w:tcW w:w="1276" w:type="dxa"/>
            <w:noWrap w:val="0"/>
            <w:vAlign w:val="center"/>
          </w:tcPr>
          <w:p w14:paraId="082A445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5801166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6862D9BE">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rPr>
              <w:t>0.0</w:t>
            </w:r>
            <w:r>
              <w:rPr>
                <w:rFonts w:hint="eastAsia"/>
                <w:snapToGrid w:val="0"/>
                <w:color w:val="auto"/>
                <w:kern w:val="21"/>
                <w:szCs w:val="21"/>
                <w:lang w:val="en-US" w:eastAsia="zh-CN"/>
              </w:rPr>
              <w:t>105</w:t>
            </w:r>
            <w:r>
              <w:rPr>
                <w:rFonts w:hint="eastAsia"/>
                <w:snapToGrid w:val="0"/>
                <w:color w:val="auto"/>
                <w:kern w:val="21"/>
                <w:szCs w:val="21"/>
              </w:rPr>
              <w:t>t/a</w:t>
            </w:r>
          </w:p>
        </w:tc>
        <w:tc>
          <w:tcPr>
            <w:tcW w:w="1688" w:type="dxa"/>
            <w:shd w:val="clear" w:color="auto" w:fill="auto"/>
            <w:noWrap w:val="0"/>
            <w:vAlign w:val="center"/>
          </w:tcPr>
          <w:p w14:paraId="44269F8E">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0.0117</w:t>
            </w:r>
            <w:r>
              <w:rPr>
                <w:rFonts w:hint="default" w:ascii="Times New Roman" w:hAnsi="Times New Roman" w:eastAsia="宋体" w:cs="Times New Roman"/>
                <w:snapToGrid w:val="0"/>
                <w:color w:val="auto"/>
                <w:kern w:val="21"/>
                <w:szCs w:val="21"/>
                <w:lang w:val="en-US" w:eastAsia="zh-CN"/>
              </w:rPr>
              <w:t>t/a</w:t>
            </w:r>
          </w:p>
        </w:tc>
        <w:tc>
          <w:tcPr>
            <w:tcW w:w="1680" w:type="dxa"/>
            <w:shd w:val="clear" w:color="auto" w:fill="auto"/>
            <w:noWrap w:val="0"/>
            <w:vAlign w:val="center"/>
          </w:tcPr>
          <w:p w14:paraId="5957873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105</w:t>
            </w:r>
            <w:r>
              <w:rPr>
                <w:rFonts w:hint="eastAsia"/>
                <w:snapToGrid w:val="0"/>
                <w:color w:val="auto"/>
                <w:kern w:val="21"/>
                <w:szCs w:val="21"/>
              </w:rPr>
              <w:t>t/a</w:t>
            </w:r>
          </w:p>
        </w:tc>
        <w:tc>
          <w:tcPr>
            <w:tcW w:w="1178" w:type="dxa"/>
            <w:noWrap w:val="0"/>
            <w:vAlign w:val="center"/>
          </w:tcPr>
          <w:p w14:paraId="356D355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-0.0012</w:t>
            </w:r>
            <w:r>
              <w:rPr>
                <w:rFonts w:hint="eastAsia"/>
                <w:snapToGrid w:val="0"/>
                <w:color w:val="auto"/>
                <w:kern w:val="21"/>
                <w:szCs w:val="21"/>
                <w:lang w:val="en-US" w:eastAsia="zh-CN"/>
              </w:rPr>
              <w:t>t</w:t>
            </w:r>
            <w:r>
              <w:rPr>
                <w:rFonts w:hint="eastAsia"/>
                <w:snapToGrid w:val="0"/>
                <w:color w:val="auto"/>
                <w:kern w:val="21"/>
                <w:szCs w:val="21"/>
              </w:rPr>
              <w:t>/a</w:t>
            </w:r>
          </w:p>
        </w:tc>
      </w:tr>
      <w:tr w14:paraId="3A008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24247AE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342E6E9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rPr>
              <w:t>TN</w:t>
            </w:r>
          </w:p>
        </w:tc>
        <w:tc>
          <w:tcPr>
            <w:tcW w:w="1701" w:type="dxa"/>
            <w:noWrap w:val="0"/>
            <w:vAlign w:val="center"/>
          </w:tcPr>
          <w:p w14:paraId="4819253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276" w:type="dxa"/>
            <w:noWrap w:val="0"/>
            <w:vAlign w:val="center"/>
          </w:tcPr>
          <w:p w14:paraId="23C9511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4762BE4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2BE275B7">
            <w:pPr>
              <w:keepNext w:val="0"/>
              <w:keepLines w:val="0"/>
              <w:pageBreakBefore w:val="0"/>
              <w:kinsoku/>
              <w:wordWrap/>
              <w:overflowPunct/>
              <w:topLinePunct w:val="0"/>
              <w:autoSpaceDE/>
              <w:autoSpaceDN/>
              <w:bidi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rPr>
              <w:t>0.0</w:t>
            </w:r>
            <w:r>
              <w:rPr>
                <w:rFonts w:hint="eastAsia"/>
                <w:snapToGrid w:val="0"/>
                <w:color w:val="auto"/>
                <w:kern w:val="21"/>
                <w:szCs w:val="21"/>
                <w:lang w:val="en-US" w:eastAsia="zh-CN"/>
              </w:rPr>
              <w:t>135</w:t>
            </w:r>
            <w:r>
              <w:rPr>
                <w:rFonts w:hint="eastAsia"/>
                <w:snapToGrid w:val="0"/>
                <w:color w:val="auto"/>
                <w:kern w:val="21"/>
                <w:szCs w:val="21"/>
              </w:rPr>
              <w:t>t/a</w:t>
            </w:r>
          </w:p>
        </w:tc>
        <w:tc>
          <w:tcPr>
            <w:tcW w:w="1688" w:type="dxa"/>
            <w:shd w:val="clear" w:color="auto" w:fill="auto"/>
            <w:noWrap w:val="0"/>
            <w:vAlign w:val="center"/>
          </w:tcPr>
          <w:p w14:paraId="352FDB3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3FDF7849">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135</w:t>
            </w:r>
            <w:r>
              <w:rPr>
                <w:rFonts w:hint="eastAsia"/>
                <w:snapToGrid w:val="0"/>
                <w:color w:val="auto"/>
                <w:kern w:val="21"/>
                <w:szCs w:val="21"/>
              </w:rPr>
              <w:t>t/a</w:t>
            </w:r>
          </w:p>
        </w:tc>
        <w:tc>
          <w:tcPr>
            <w:tcW w:w="1178" w:type="dxa"/>
            <w:shd w:val="clear" w:color="auto" w:fill="auto"/>
            <w:noWrap w:val="0"/>
            <w:vAlign w:val="center"/>
          </w:tcPr>
          <w:p w14:paraId="5AA856B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w:t>
            </w:r>
            <w:r>
              <w:rPr>
                <w:rFonts w:hint="eastAsia"/>
                <w:snapToGrid w:val="0"/>
                <w:color w:val="auto"/>
                <w:kern w:val="21"/>
                <w:szCs w:val="21"/>
              </w:rPr>
              <w:t>0.0</w:t>
            </w:r>
            <w:r>
              <w:rPr>
                <w:rFonts w:hint="eastAsia"/>
                <w:snapToGrid w:val="0"/>
                <w:color w:val="auto"/>
                <w:kern w:val="21"/>
                <w:szCs w:val="21"/>
                <w:lang w:val="en-US" w:eastAsia="zh-CN"/>
              </w:rPr>
              <w:t>135</w:t>
            </w:r>
            <w:r>
              <w:rPr>
                <w:rFonts w:hint="eastAsia"/>
                <w:snapToGrid w:val="0"/>
                <w:color w:val="auto"/>
                <w:kern w:val="21"/>
                <w:szCs w:val="21"/>
              </w:rPr>
              <w:t>t/a</w:t>
            </w:r>
          </w:p>
        </w:tc>
      </w:tr>
      <w:tr w14:paraId="25D7A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10EF16EE">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42ECD2CD">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TP</w:t>
            </w:r>
          </w:p>
        </w:tc>
        <w:tc>
          <w:tcPr>
            <w:tcW w:w="1701" w:type="dxa"/>
            <w:shd w:val="clear" w:color="auto" w:fill="auto"/>
            <w:noWrap w:val="0"/>
            <w:vAlign w:val="center"/>
          </w:tcPr>
          <w:p w14:paraId="20B66A5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shd w:val="clear" w:color="auto" w:fill="auto"/>
            <w:noWrap w:val="0"/>
            <w:vAlign w:val="center"/>
          </w:tcPr>
          <w:p w14:paraId="1B89893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shd w:val="clear" w:color="auto" w:fill="auto"/>
            <w:noWrap w:val="0"/>
            <w:vAlign w:val="center"/>
          </w:tcPr>
          <w:p w14:paraId="796DE40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4CD5B6E8">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015</w:t>
            </w:r>
            <w:r>
              <w:rPr>
                <w:rFonts w:hint="eastAsia"/>
                <w:snapToGrid w:val="0"/>
                <w:color w:val="auto"/>
                <w:kern w:val="21"/>
                <w:szCs w:val="21"/>
              </w:rPr>
              <w:t>t/a</w:t>
            </w:r>
          </w:p>
        </w:tc>
        <w:tc>
          <w:tcPr>
            <w:tcW w:w="1688" w:type="dxa"/>
            <w:shd w:val="clear" w:color="auto" w:fill="auto"/>
            <w:noWrap w:val="0"/>
            <w:vAlign w:val="center"/>
          </w:tcPr>
          <w:p w14:paraId="7644C55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6C1BB98B">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015</w:t>
            </w:r>
            <w:r>
              <w:rPr>
                <w:rFonts w:hint="eastAsia"/>
                <w:snapToGrid w:val="0"/>
                <w:color w:val="auto"/>
                <w:kern w:val="21"/>
                <w:szCs w:val="21"/>
              </w:rPr>
              <w:t>t/a</w:t>
            </w:r>
          </w:p>
        </w:tc>
        <w:tc>
          <w:tcPr>
            <w:tcW w:w="1178" w:type="dxa"/>
            <w:shd w:val="clear" w:color="auto" w:fill="auto"/>
            <w:noWrap w:val="0"/>
            <w:vAlign w:val="center"/>
          </w:tcPr>
          <w:p w14:paraId="36FF04D4">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w:t>
            </w:r>
            <w:r>
              <w:rPr>
                <w:rFonts w:hint="eastAsia"/>
                <w:snapToGrid w:val="0"/>
                <w:color w:val="auto"/>
                <w:kern w:val="21"/>
                <w:szCs w:val="21"/>
              </w:rPr>
              <w:t>0.0</w:t>
            </w:r>
            <w:r>
              <w:rPr>
                <w:rFonts w:hint="eastAsia"/>
                <w:snapToGrid w:val="0"/>
                <w:color w:val="auto"/>
                <w:kern w:val="21"/>
                <w:szCs w:val="21"/>
                <w:lang w:val="en-US" w:eastAsia="zh-CN"/>
              </w:rPr>
              <w:t>015</w:t>
            </w:r>
            <w:r>
              <w:rPr>
                <w:rFonts w:hint="eastAsia"/>
                <w:snapToGrid w:val="0"/>
                <w:color w:val="auto"/>
                <w:kern w:val="21"/>
                <w:szCs w:val="21"/>
              </w:rPr>
              <w:t>t/a</w:t>
            </w:r>
          </w:p>
        </w:tc>
      </w:tr>
      <w:tr w14:paraId="3EE28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1C61837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一般工业固体废物</w:t>
            </w:r>
          </w:p>
        </w:tc>
        <w:tc>
          <w:tcPr>
            <w:tcW w:w="1948" w:type="dxa"/>
            <w:shd w:val="clear" w:color="auto" w:fill="auto"/>
            <w:noWrap w:val="0"/>
            <w:vAlign w:val="center"/>
          </w:tcPr>
          <w:p w14:paraId="23BF927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除尘灰</w:t>
            </w:r>
          </w:p>
        </w:tc>
        <w:tc>
          <w:tcPr>
            <w:tcW w:w="1701" w:type="dxa"/>
            <w:noWrap w:val="0"/>
            <w:vAlign w:val="center"/>
          </w:tcPr>
          <w:p w14:paraId="6E0C18E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6.5t/a</w:t>
            </w:r>
          </w:p>
        </w:tc>
        <w:tc>
          <w:tcPr>
            <w:tcW w:w="1276" w:type="dxa"/>
            <w:noWrap w:val="0"/>
            <w:vAlign w:val="center"/>
          </w:tcPr>
          <w:p w14:paraId="09491CD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46638428">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7643B5F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2.168</w:t>
            </w:r>
            <w:r>
              <w:rPr>
                <w:rFonts w:hint="eastAsia"/>
                <w:snapToGrid w:val="0"/>
                <w:color w:val="auto"/>
                <w:kern w:val="21"/>
                <w:szCs w:val="21"/>
              </w:rPr>
              <w:t>t/a</w:t>
            </w:r>
          </w:p>
        </w:tc>
        <w:tc>
          <w:tcPr>
            <w:tcW w:w="1688" w:type="dxa"/>
            <w:shd w:val="clear" w:color="auto" w:fill="auto"/>
            <w:noWrap w:val="0"/>
            <w:vAlign w:val="center"/>
          </w:tcPr>
          <w:p w14:paraId="2D7A15E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6.5t/a</w:t>
            </w:r>
          </w:p>
        </w:tc>
        <w:tc>
          <w:tcPr>
            <w:tcW w:w="1680" w:type="dxa"/>
            <w:shd w:val="clear" w:color="auto" w:fill="auto"/>
            <w:noWrap w:val="0"/>
            <w:vAlign w:val="center"/>
          </w:tcPr>
          <w:p w14:paraId="34FE33F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2.168</w:t>
            </w:r>
            <w:r>
              <w:rPr>
                <w:rFonts w:hint="eastAsia"/>
                <w:snapToGrid w:val="0"/>
                <w:color w:val="auto"/>
                <w:kern w:val="21"/>
                <w:szCs w:val="21"/>
              </w:rPr>
              <w:t>t/a</w:t>
            </w:r>
          </w:p>
        </w:tc>
        <w:tc>
          <w:tcPr>
            <w:tcW w:w="1178" w:type="dxa"/>
            <w:noWrap w:val="0"/>
            <w:vAlign w:val="center"/>
          </w:tcPr>
          <w:p w14:paraId="2E3F56BA">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-4.332</w:t>
            </w:r>
            <w:r>
              <w:rPr>
                <w:rFonts w:hint="eastAsia"/>
                <w:snapToGrid w:val="0"/>
                <w:color w:val="auto"/>
                <w:kern w:val="21"/>
                <w:szCs w:val="21"/>
              </w:rPr>
              <w:t>t/a</w:t>
            </w:r>
          </w:p>
        </w:tc>
      </w:tr>
      <w:tr w14:paraId="0E1FA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775100F4">
            <w:pPr>
              <w:jc w:val="center"/>
              <w:rPr>
                <w:rFonts w:hint="eastAsia" w:ascii="Times New Roman" w:hAnsi="Times New Roman" w:eastAsia="宋体" w:cs="Times New Roman"/>
                <w:color w:val="auto"/>
                <w:szCs w:val="21"/>
                <w:lang w:val="en-US" w:eastAsia="zh-CN"/>
              </w:rPr>
            </w:pPr>
          </w:p>
        </w:tc>
        <w:tc>
          <w:tcPr>
            <w:tcW w:w="1948" w:type="dxa"/>
            <w:shd w:val="clear" w:color="auto" w:fill="auto"/>
            <w:noWrap w:val="0"/>
            <w:vAlign w:val="center"/>
          </w:tcPr>
          <w:p w14:paraId="3A05E31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废包装袋</w:t>
            </w:r>
          </w:p>
        </w:tc>
        <w:tc>
          <w:tcPr>
            <w:tcW w:w="1701" w:type="dxa"/>
            <w:noWrap w:val="0"/>
            <w:vAlign w:val="center"/>
          </w:tcPr>
          <w:p w14:paraId="382BF13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4.2t/a</w:t>
            </w:r>
          </w:p>
        </w:tc>
        <w:tc>
          <w:tcPr>
            <w:tcW w:w="1276" w:type="dxa"/>
            <w:noWrap w:val="0"/>
            <w:vAlign w:val="center"/>
          </w:tcPr>
          <w:p w14:paraId="3DA1B4ED">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6344113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1ED3940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r>
              <w:rPr>
                <w:rFonts w:hint="eastAsia"/>
                <w:snapToGrid w:val="0"/>
                <w:color w:val="auto"/>
                <w:kern w:val="21"/>
                <w:szCs w:val="21"/>
              </w:rPr>
              <w:t>t/a</w:t>
            </w:r>
          </w:p>
        </w:tc>
        <w:tc>
          <w:tcPr>
            <w:tcW w:w="1688" w:type="dxa"/>
            <w:shd w:val="clear" w:color="auto" w:fill="auto"/>
            <w:noWrap w:val="0"/>
            <w:vAlign w:val="center"/>
          </w:tcPr>
          <w:p w14:paraId="7981B6C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4.2t/a</w:t>
            </w:r>
          </w:p>
        </w:tc>
        <w:tc>
          <w:tcPr>
            <w:tcW w:w="1680" w:type="dxa"/>
            <w:shd w:val="clear" w:color="auto" w:fill="auto"/>
            <w:noWrap w:val="0"/>
            <w:vAlign w:val="center"/>
          </w:tcPr>
          <w:p w14:paraId="271FD70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r>
              <w:rPr>
                <w:rFonts w:hint="eastAsia"/>
                <w:snapToGrid w:val="0"/>
                <w:color w:val="auto"/>
                <w:kern w:val="21"/>
                <w:szCs w:val="21"/>
              </w:rPr>
              <w:t>t/a</w:t>
            </w:r>
          </w:p>
        </w:tc>
        <w:tc>
          <w:tcPr>
            <w:tcW w:w="1178" w:type="dxa"/>
            <w:noWrap w:val="0"/>
            <w:vAlign w:val="center"/>
          </w:tcPr>
          <w:p w14:paraId="59D2357F">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1.8</w:t>
            </w:r>
            <w:r>
              <w:rPr>
                <w:rFonts w:hint="eastAsia"/>
                <w:snapToGrid w:val="0"/>
                <w:color w:val="auto"/>
                <w:kern w:val="21"/>
                <w:szCs w:val="21"/>
              </w:rPr>
              <w:t>t/a</w:t>
            </w:r>
          </w:p>
        </w:tc>
      </w:tr>
      <w:tr w14:paraId="009C7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3D3938E6">
            <w:pPr>
              <w:jc w:val="center"/>
              <w:rPr>
                <w:rFonts w:hint="eastAsia" w:ascii="Times New Roman" w:hAnsi="Times New Roman" w:eastAsia="宋体" w:cs="Times New Roman"/>
                <w:color w:val="auto"/>
                <w:szCs w:val="21"/>
                <w:lang w:val="en-US" w:eastAsia="zh-CN"/>
              </w:rPr>
            </w:pPr>
          </w:p>
        </w:tc>
        <w:tc>
          <w:tcPr>
            <w:tcW w:w="1948" w:type="dxa"/>
            <w:shd w:val="clear" w:color="auto" w:fill="auto"/>
            <w:noWrap w:val="0"/>
            <w:vAlign w:val="center"/>
          </w:tcPr>
          <w:p w14:paraId="791863B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废泡沫材料</w:t>
            </w:r>
          </w:p>
        </w:tc>
        <w:tc>
          <w:tcPr>
            <w:tcW w:w="1701" w:type="dxa"/>
            <w:noWrap w:val="0"/>
            <w:vAlign w:val="center"/>
          </w:tcPr>
          <w:p w14:paraId="7B5C40D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2.5t/a</w:t>
            </w:r>
          </w:p>
        </w:tc>
        <w:tc>
          <w:tcPr>
            <w:tcW w:w="1276" w:type="dxa"/>
            <w:noWrap w:val="0"/>
            <w:vAlign w:val="center"/>
          </w:tcPr>
          <w:p w14:paraId="7E9D08F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4C2AC18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6EFE76D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r>
              <w:rPr>
                <w:rFonts w:hint="eastAsia"/>
                <w:snapToGrid w:val="0"/>
                <w:color w:val="auto"/>
                <w:kern w:val="21"/>
                <w:szCs w:val="21"/>
              </w:rPr>
              <w:t>t/a</w:t>
            </w:r>
          </w:p>
        </w:tc>
        <w:tc>
          <w:tcPr>
            <w:tcW w:w="1688" w:type="dxa"/>
            <w:shd w:val="clear" w:color="auto" w:fill="auto"/>
            <w:noWrap w:val="0"/>
            <w:vAlign w:val="center"/>
          </w:tcPr>
          <w:p w14:paraId="49CE603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2.5t/a</w:t>
            </w:r>
          </w:p>
        </w:tc>
        <w:tc>
          <w:tcPr>
            <w:tcW w:w="1680" w:type="dxa"/>
            <w:shd w:val="clear" w:color="auto" w:fill="auto"/>
            <w:noWrap w:val="0"/>
            <w:vAlign w:val="center"/>
          </w:tcPr>
          <w:p w14:paraId="52D21D7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r>
              <w:rPr>
                <w:rFonts w:hint="eastAsia"/>
                <w:snapToGrid w:val="0"/>
                <w:color w:val="auto"/>
                <w:kern w:val="21"/>
                <w:szCs w:val="21"/>
              </w:rPr>
              <w:t>t/a</w:t>
            </w:r>
          </w:p>
        </w:tc>
        <w:tc>
          <w:tcPr>
            <w:tcW w:w="1178" w:type="dxa"/>
            <w:noWrap w:val="0"/>
            <w:vAlign w:val="center"/>
          </w:tcPr>
          <w:p w14:paraId="71415CE8">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p>
        </w:tc>
      </w:tr>
      <w:tr w14:paraId="0C34F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46C2BCAE">
            <w:pPr>
              <w:jc w:val="center"/>
              <w:rPr>
                <w:rFonts w:hint="eastAsia" w:ascii="Times New Roman" w:hAnsi="Times New Roman" w:eastAsia="宋体" w:cs="Times New Roman"/>
                <w:color w:val="auto"/>
                <w:szCs w:val="21"/>
                <w:lang w:val="en-US" w:eastAsia="zh-CN"/>
              </w:rPr>
            </w:pPr>
          </w:p>
        </w:tc>
        <w:tc>
          <w:tcPr>
            <w:tcW w:w="1948" w:type="dxa"/>
            <w:shd w:val="clear" w:color="auto" w:fill="auto"/>
            <w:noWrap w:val="0"/>
            <w:vAlign w:val="center"/>
          </w:tcPr>
          <w:p w14:paraId="4915918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废边角料</w:t>
            </w:r>
          </w:p>
        </w:tc>
        <w:tc>
          <w:tcPr>
            <w:tcW w:w="1701" w:type="dxa"/>
            <w:noWrap w:val="0"/>
            <w:vAlign w:val="center"/>
          </w:tcPr>
          <w:p w14:paraId="0A17A5B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7t/a</w:t>
            </w:r>
          </w:p>
        </w:tc>
        <w:tc>
          <w:tcPr>
            <w:tcW w:w="1276" w:type="dxa"/>
            <w:noWrap w:val="0"/>
            <w:vAlign w:val="center"/>
          </w:tcPr>
          <w:p w14:paraId="6446342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2544769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118E0B8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r>
              <w:rPr>
                <w:rFonts w:hint="eastAsia"/>
                <w:snapToGrid w:val="0"/>
                <w:color w:val="auto"/>
                <w:kern w:val="21"/>
                <w:szCs w:val="21"/>
              </w:rPr>
              <w:t>t/a</w:t>
            </w:r>
          </w:p>
        </w:tc>
        <w:tc>
          <w:tcPr>
            <w:tcW w:w="1688" w:type="dxa"/>
            <w:shd w:val="clear" w:color="auto" w:fill="auto"/>
            <w:noWrap w:val="0"/>
            <w:vAlign w:val="center"/>
          </w:tcPr>
          <w:p w14:paraId="70EB8BE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7t/a</w:t>
            </w:r>
          </w:p>
        </w:tc>
        <w:tc>
          <w:tcPr>
            <w:tcW w:w="1680" w:type="dxa"/>
            <w:shd w:val="clear" w:color="auto" w:fill="auto"/>
            <w:noWrap w:val="0"/>
            <w:vAlign w:val="center"/>
          </w:tcPr>
          <w:p w14:paraId="4543E76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r>
              <w:rPr>
                <w:rFonts w:hint="eastAsia"/>
                <w:snapToGrid w:val="0"/>
                <w:color w:val="auto"/>
                <w:kern w:val="21"/>
                <w:szCs w:val="21"/>
              </w:rPr>
              <w:t>t/a</w:t>
            </w:r>
          </w:p>
        </w:tc>
        <w:tc>
          <w:tcPr>
            <w:tcW w:w="1178" w:type="dxa"/>
            <w:noWrap w:val="0"/>
            <w:vAlign w:val="center"/>
          </w:tcPr>
          <w:p w14:paraId="6D898389">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3</w:t>
            </w:r>
            <w:r>
              <w:rPr>
                <w:rFonts w:hint="eastAsia"/>
                <w:snapToGrid w:val="0"/>
                <w:color w:val="auto"/>
                <w:kern w:val="21"/>
                <w:szCs w:val="21"/>
              </w:rPr>
              <w:t>t/a</w:t>
            </w:r>
          </w:p>
        </w:tc>
      </w:tr>
      <w:tr w14:paraId="08CE4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1D16CE4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危险废物</w:t>
            </w:r>
          </w:p>
        </w:tc>
        <w:tc>
          <w:tcPr>
            <w:tcW w:w="1948" w:type="dxa"/>
            <w:shd w:val="clear" w:color="auto" w:fill="auto"/>
            <w:noWrap w:val="0"/>
            <w:vAlign w:val="center"/>
          </w:tcPr>
          <w:p w14:paraId="6476032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废包装桶</w:t>
            </w:r>
          </w:p>
        </w:tc>
        <w:tc>
          <w:tcPr>
            <w:tcW w:w="1701" w:type="dxa"/>
            <w:shd w:val="clear" w:color="auto" w:fill="auto"/>
            <w:noWrap w:val="0"/>
            <w:vAlign w:val="center"/>
          </w:tcPr>
          <w:p w14:paraId="33CDE8A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12t/a</w:t>
            </w:r>
          </w:p>
        </w:tc>
        <w:tc>
          <w:tcPr>
            <w:tcW w:w="1276" w:type="dxa"/>
            <w:shd w:val="clear" w:color="auto" w:fill="auto"/>
            <w:noWrap w:val="0"/>
            <w:vAlign w:val="center"/>
          </w:tcPr>
          <w:p w14:paraId="4318218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701" w:type="dxa"/>
            <w:shd w:val="clear" w:color="auto" w:fill="auto"/>
            <w:noWrap w:val="0"/>
            <w:vAlign w:val="center"/>
          </w:tcPr>
          <w:p w14:paraId="2F11E50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559" w:type="dxa"/>
            <w:shd w:val="clear" w:color="auto" w:fill="auto"/>
            <w:noWrap w:val="0"/>
            <w:vAlign w:val="center"/>
          </w:tcPr>
          <w:p w14:paraId="4156811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12</w:t>
            </w:r>
            <w:r>
              <w:rPr>
                <w:rFonts w:hint="eastAsia"/>
                <w:snapToGrid w:val="0"/>
                <w:color w:val="auto"/>
                <w:kern w:val="21"/>
                <w:szCs w:val="21"/>
              </w:rPr>
              <w:t>t/a</w:t>
            </w:r>
          </w:p>
        </w:tc>
        <w:tc>
          <w:tcPr>
            <w:tcW w:w="1688" w:type="dxa"/>
            <w:shd w:val="clear" w:color="auto" w:fill="auto"/>
            <w:noWrap w:val="0"/>
            <w:vAlign w:val="center"/>
          </w:tcPr>
          <w:p w14:paraId="71307E2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12t/a</w:t>
            </w:r>
          </w:p>
        </w:tc>
        <w:tc>
          <w:tcPr>
            <w:tcW w:w="1680" w:type="dxa"/>
            <w:shd w:val="clear" w:color="auto" w:fill="auto"/>
            <w:noWrap w:val="0"/>
            <w:vAlign w:val="center"/>
          </w:tcPr>
          <w:p w14:paraId="107AB6B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12</w:t>
            </w:r>
            <w:r>
              <w:rPr>
                <w:rFonts w:hint="eastAsia"/>
                <w:snapToGrid w:val="0"/>
                <w:color w:val="auto"/>
                <w:kern w:val="21"/>
                <w:szCs w:val="21"/>
              </w:rPr>
              <w:t>t/a</w:t>
            </w:r>
          </w:p>
        </w:tc>
        <w:tc>
          <w:tcPr>
            <w:tcW w:w="1178" w:type="dxa"/>
            <w:shd w:val="clear" w:color="auto" w:fill="auto"/>
            <w:noWrap w:val="0"/>
            <w:vAlign w:val="center"/>
          </w:tcPr>
          <w:p w14:paraId="6FC2673E">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p>
        </w:tc>
      </w:tr>
      <w:tr w14:paraId="46231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0880B6F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09F89A7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废活性炭</w:t>
            </w:r>
          </w:p>
        </w:tc>
        <w:tc>
          <w:tcPr>
            <w:tcW w:w="1701" w:type="dxa"/>
            <w:noWrap w:val="0"/>
            <w:vAlign w:val="center"/>
          </w:tcPr>
          <w:p w14:paraId="532D4C9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2.27t/a</w:t>
            </w:r>
          </w:p>
        </w:tc>
        <w:tc>
          <w:tcPr>
            <w:tcW w:w="1276" w:type="dxa"/>
            <w:noWrap w:val="0"/>
            <w:vAlign w:val="center"/>
          </w:tcPr>
          <w:p w14:paraId="5BF6631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4FA046C6">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2785EF1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1</w:t>
            </w:r>
            <w:r>
              <w:rPr>
                <w:rFonts w:hint="eastAsia"/>
                <w:color w:val="auto"/>
                <w:szCs w:val="21"/>
                <w:lang w:val="en-US" w:eastAsia="zh-CN"/>
              </w:rPr>
              <w:t>.35</w:t>
            </w:r>
            <w:r>
              <w:rPr>
                <w:rFonts w:hint="eastAsia"/>
                <w:snapToGrid w:val="0"/>
                <w:color w:val="auto"/>
                <w:kern w:val="21"/>
                <w:szCs w:val="21"/>
              </w:rPr>
              <w:t>t/a</w:t>
            </w:r>
          </w:p>
        </w:tc>
        <w:tc>
          <w:tcPr>
            <w:tcW w:w="1688" w:type="dxa"/>
            <w:shd w:val="clear" w:color="auto" w:fill="auto"/>
            <w:noWrap w:val="0"/>
            <w:vAlign w:val="center"/>
          </w:tcPr>
          <w:p w14:paraId="4515A44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2.27t/a</w:t>
            </w:r>
          </w:p>
        </w:tc>
        <w:tc>
          <w:tcPr>
            <w:tcW w:w="1680" w:type="dxa"/>
            <w:shd w:val="clear" w:color="auto" w:fill="auto"/>
            <w:noWrap w:val="0"/>
            <w:vAlign w:val="center"/>
          </w:tcPr>
          <w:p w14:paraId="0DD3EB2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1</w:t>
            </w:r>
            <w:r>
              <w:rPr>
                <w:rFonts w:hint="eastAsia"/>
                <w:color w:val="auto"/>
                <w:szCs w:val="21"/>
                <w:lang w:val="en-US" w:eastAsia="zh-CN"/>
              </w:rPr>
              <w:t>.35</w:t>
            </w:r>
            <w:r>
              <w:rPr>
                <w:rFonts w:hint="eastAsia"/>
                <w:snapToGrid w:val="0"/>
                <w:color w:val="auto"/>
                <w:kern w:val="21"/>
                <w:szCs w:val="21"/>
              </w:rPr>
              <w:t>t/a</w:t>
            </w:r>
          </w:p>
        </w:tc>
        <w:tc>
          <w:tcPr>
            <w:tcW w:w="1178" w:type="dxa"/>
            <w:noWrap w:val="0"/>
            <w:vAlign w:val="center"/>
          </w:tcPr>
          <w:p w14:paraId="557CC5D1">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-0.92</w:t>
            </w:r>
            <w:r>
              <w:rPr>
                <w:rFonts w:hint="eastAsia"/>
                <w:snapToGrid w:val="0"/>
                <w:color w:val="auto"/>
                <w:kern w:val="21"/>
                <w:szCs w:val="21"/>
              </w:rPr>
              <w:t>t/a</w:t>
            </w:r>
          </w:p>
        </w:tc>
      </w:tr>
      <w:tr w14:paraId="3F5845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7F29593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172F8A8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废含油抹布、手套</w:t>
            </w:r>
          </w:p>
        </w:tc>
        <w:tc>
          <w:tcPr>
            <w:tcW w:w="1701" w:type="dxa"/>
            <w:noWrap w:val="0"/>
            <w:vAlign w:val="center"/>
          </w:tcPr>
          <w:p w14:paraId="511CD96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0.02t/a</w:t>
            </w:r>
          </w:p>
        </w:tc>
        <w:tc>
          <w:tcPr>
            <w:tcW w:w="1276" w:type="dxa"/>
            <w:noWrap w:val="0"/>
            <w:vAlign w:val="center"/>
          </w:tcPr>
          <w:p w14:paraId="5577E9C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68EA5C8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279988D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0.02</w:t>
            </w:r>
            <w:r>
              <w:rPr>
                <w:rFonts w:hint="eastAsia"/>
                <w:snapToGrid w:val="0"/>
                <w:color w:val="auto"/>
                <w:kern w:val="21"/>
                <w:szCs w:val="21"/>
              </w:rPr>
              <w:t>t/a</w:t>
            </w:r>
          </w:p>
        </w:tc>
        <w:tc>
          <w:tcPr>
            <w:tcW w:w="1688" w:type="dxa"/>
            <w:shd w:val="clear" w:color="auto" w:fill="auto"/>
            <w:noWrap w:val="0"/>
            <w:vAlign w:val="center"/>
          </w:tcPr>
          <w:p w14:paraId="2DA9C6A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0.02t/a</w:t>
            </w:r>
          </w:p>
        </w:tc>
        <w:tc>
          <w:tcPr>
            <w:tcW w:w="1680" w:type="dxa"/>
            <w:shd w:val="clear" w:color="auto" w:fill="auto"/>
            <w:noWrap w:val="0"/>
            <w:vAlign w:val="center"/>
          </w:tcPr>
          <w:p w14:paraId="6FEAC61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0.02</w:t>
            </w:r>
            <w:r>
              <w:rPr>
                <w:rFonts w:hint="eastAsia"/>
                <w:snapToGrid w:val="0"/>
                <w:color w:val="auto"/>
                <w:kern w:val="21"/>
                <w:szCs w:val="21"/>
              </w:rPr>
              <w:t>t/a</w:t>
            </w:r>
          </w:p>
        </w:tc>
        <w:tc>
          <w:tcPr>
            <w:tcW w:w="1178" w:type="dxa"/>
            <w:noWrap w:val="0"/>
            <w:vAlign w:val="center"/>
          </w:tcPr>
          <w:p w14:paraId="7F96D4A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p>
        </w:tc>
      </w:tr>
      <w:tr w14:paraId="2CB87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56017E3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4B457F4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废</w:t>
            </w:r>
            <w:r>
              <w:rPr>
                <w:rFonts w:hint="eastAsia"/>
                <w:color w:val="auto"/>
                <w:szCs w:val="21"/>
                <w:lang w:val="en-US" w:eastAsia="zh-CN"/>
              </w:rPr>
              <w:t>机油</w:t>
            </w:r>
          </w:p>
        </w:tc>
        <w:tc>
          <w:tcPr>
            <w:tcW w:w="1701" w:type="dxa"/>
            <w:noWrap w:val="0"/>
            <w:vAlign w:val="center"/>
          </w:tcPr>
          <w:p w14:paraId="73A28612">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r>
              <w:rPr>
                <w:rFonts w:hint="eastAsia" w:ascii="Times New Roman" w:hAnsi="Times New Roman" w:eastAsia="宋体" w:cs="Times New Roman"/>
                <w:color w:val="auto"/>
                <w:szCs w:val="21"/>
                <w:lang w:val="en-US" w:eastAsia="zh-CN"/>
              </w:rPr>
              <w:t>.5t/a</w:t>
            </w:r>
          </w:p>
        </w:tc>
        <w:tc>
          <w:tcPr>
            <w:tcW w:w="1276" w:type="dxa"/>
            <w:noWrap w:val="0"/>
            <w:vAlign w:val="center"/>
          </w:tcPr>
          <w:p w14:paraId="24E0B80E">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704AFB3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2F9E735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r>
              <w:rPr>
                <w:rFonts w:hint="eastAsia"/>
                <w:snapToGrid w:val="0"/>
                <w:color w:val="auto"/>
                <w:kern w:val="21"/>
                <w:szCs w:val="21"/>
              </w:rPr>
              <w:t>t/a</w:t>
            </w:r>
          </w:p>
        </w:tc>
        <w:tc>
          <w:tcPr>
            <w:tcW w:w="1688" w:type="dxa"/>
            <w:shd w:val="clear" w:color="auto" w:fill="auto"/>
            <w:noWrap w:val="0"/>
            <w:vAlign w:val="center"/>
          </w:tcPr>
          <w:p w14:paraId="440FA89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0.5t/a</w:t>
            </w:r>
          </w:p>
        </w:tc>
        <w:tc>
          <w:tcPr>
            <w:tcW w:w="1680" w:type="dxa"/>
            <w:shd w:val="clear" w:color="auto" w:fill="auto"/>
            <w:noWrap w:val="0"/>
            <w:vAlign w:val="center"/>
          </w:tcPr>
          <w:p w14:paraId="2B2282D2">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r>
              <w:rPr>
                <w:rFonts w:hint="eastAsia"/>
                <w:snapToGrid w:val="0"/>
                <w:color w:val="auto"/>
                <w:kern w:val="21"/>
                <w:szCs w:val="21"/>
              </w:rPr>
              <w:t>t/a</w:t>
            </w:r>
          </w:p>
        </w:tc>
        <w:tc>
          <w:tcPr>
            <w:tcW w:w="1178" w:type="dxa"/>
            <w:noWrap w:val="0"/>
            <w:vAlign w:val="center"/>
          </w:tcPr>
          <w:p w14:paraId="4DF928BA">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p>
        </w:tc>
      </w:tr>
      <w:tr w14:paraId="08CFC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621D85D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722CBEB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废油桶</w:t>
            </w:r>
          </w:p>
        </w:tc>
        <w:tc>
          <w:tcPr>
            <w:tcW w:w="1701" w:type="dxa"/>
            <w:noWrap w:val="0"/>
            <w:vAlign w:val="center"/>
          </w:tcPr>
          <w:p w14:paraId="4DA73E3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791785E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6B2C855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04DBF07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r>
              <w:rPr>
                <w:rFonts w:hint="eastAsia"/>
                <w:snapToGrid w:val="0"/>
                <w:color w:val="auto"/>
                <w:kern w:val="21"/>
                <w:szCs w:val="21"/>
              </w:rPr>
              <w:t>t/a</w:t>
            </w:r>
          </w:p>
        </w:tc>
        <w:tc>
          <w:tcPr>
            <w:tcW w:w="1688" w:type="dxa"/>
            <w:shd w:val="clear" w:color="auto" w:fill="auto"/>
            <w:noWrap w:val="0"/>
            <w:vAlign w:val="center"/>
          </w:tcPr>
          <w:p w14:paraId="568696C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3A19036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r>
              <w:rPr>
                <w:rFonts w:hint="eastAsia"/>
                <w:snapToGrid w:val="0"/>
                <w:color w:val="auto"/>
                <w:kern w:val="21"/>
                <w:szCs w:val="21"/>
              </w:rPr>
              <w:t>t/a</w:t>
            </w:r>
          </w:p>
        </w:tc>
        <w:tc>
          <w:tcPr>
            <w:tcW w:w="1178" w:type="dxa"/>
            <w:noWrap w:val="0"/>
            <w:vAlign w:val="center"/>
          </w:tcPr>
          <w:p w14:paraId="31B08F9F">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color w:val="auto"/>
                <w:szCs w:val="21"/>
                <w:lang w:val="en-US" w:eastAsia="zh-CN"/>
              </w:rPr>
              <w:t>+0.15</w:t>
            </w:r>
            <w:r>
              <w:rPr>
                <w:rFonts w:hint="eastAsia"/>
                <w:snapToGrid w:val="0"/>
                <w:color w:val="auto"/>
                <w:kern w:val="21"/>
                <w:szCs w:val="21"/>
              </w:rPr>
              <w:t>t/a</w:t>
            </w:r>
          </w:p>
        </w:tc>
      </w:tr>
      <w:bookmarkEnd w:id="41"/>
    </w:tbl>
    <w:p w14:paraId="3BA18716">
      <w:pPr>
        <w:pStyle w:val="33"/>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Gloucester MT Extra Condensed">
    <w:panose1 w:val="02030808020601010101"/>
    <w:charset w:val="00"/>
    <w:family w:val="roman"/>
    <w:pitch w:val="default"/>
    <w:sig w:usb0="00000003" w:usb1="00000000" w:usb2="00000000" w:usb3="00000000" w:csb0="2000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3C32D">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46EC">
    <w:pPr>
      <w:pStyle w:val="16"/>
      <w:framePr w:wrap="around" w:vAnchor="text" w:hAnchor="margin" w:xAlign="center" w:y="1"/>
      <w:rPr>
        <w:rStyle w:val="30"/>
      </w:rPr>
    </w:pPr>
    <w:r>
      <w:fldChar w:fldCharType="begin"/>
    </w:r>
    <w:r>
      <w:rPr>
        <w:rStyle w:val="30"/>
      </w:rPr>
      <w:instrText xml:space="preserve">PAGE  </w:instrText>
    </w:r>
    <w:r>
      <w:fldChar w:fldCharType="end"/>
    </w:r>
  </w:p>
  <w:p w14:paraId="34E3DE94">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1A316">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8B3C8">
    <w:pPr>
      <w:pStyle w:val="16"/>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38</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62E2A452">
    <w:pPr>
      <w:pStyle w:val="1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3E299">
    <w:pPr>
      <w:pStyle w:val="16"/>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41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02E9E22B">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CD024">
    <w:pPr>
      <w:pStyle w:val="1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hZDYwOWJiYWRhNzExNmQ5OWM5MjU3MzJlYTc5YmEifQ=="/>
  </w:docVars>
  <w:rsids>
    <w:rsidRoot w:val="00172A27"/>
    <w:rsid w:val="000060B3"/>
    <w:rsid w:val="000102DF"/>
    <w:rsid w:val="000118A6"/>
    <w:rsid w:val="00015DC1"/>
    <w:rsid w:val="00022A7F"/>
    <w:rsid w:val="0003386A"/>
    <w:rsid w:val="00033CF2"/>
    <w:rsid w:val="00037065"/>
    <w:rsid w:val="0003746D"/>
    <w:rsid w:val="0004364B"/>
    <w:rsid w:val="000563FA"/>
    <w:rsid w:val="00060026"/>
    <w:rsid w:val="00061B1F"/>
    <w:rsid w:val="00067224"/>
    <w:rsid w:val="0006756A"/>
    <w:rsid w:val="000733C4"/>
    <w:rsid w:val="00074783"/>
    <w:rsid w:val="0007570F"/>
    <w:rsid w:val="0008070B"/>
    <w:rsid w:val="000810AC"/>
    <w:rsid w:val="00081A02"/>
    <w:rsid w:val="00082231"/>
    <w:rsid w:val="00082C65"/>
    <w:rsid w:val="000845F6"/>
    <w:rsid w:val="00092D38"/>
    <w:rsid w:val="0009377B"/>
    <w:rsid w:val="000A20C9"/>
    <w:rsid w:val="000A32F9"/>
    <w:rsid w:val="000B058F"/>
    <w:rsid w:val="000B4467"/>
    <w:rsid w:val="000B44D3"/>
    <w:rsid w:val="000B4DB9"/>
    <w:rsid w:val="000C09AC"/>
    <w:rsid w:val="000C2EA4"/>
    <w:rsid w:val="000C7191"/>
    <w:rsid w:val="000C767F"/>
    <w:rsid w:val="000D5A44"/>
    <w:rsid w:val="000D6095"/>
    <w:rsid w:val="000E3ED2"/>
    <w:rsid w:val="000E4AEC"/>
    <w:rsid w:val="000F0D6E"/>
    <w:rsid w:val="000F2B5A"/>
    <w:rsid w:val="000F448F"/>
    <w:rsid w:val="00103897"/>
    <w:rsid w:val="001139D5"/>
    <w:rsid w:val="0011760F"/>
    <w:rsid w:val="00127627"/>
    <w:rsid w:val="00130964"/>
    <w:rsid w:val="00131F42"/>
    <w:rsid w:val="00132B13"/>
    <w:rsid w:val="0013335E"/>
    <w:rsid w:val="0013454F"/>
    <w:rsid w:val="001357F1"/>
    <w:rsid w:val="00140FA8"/>
    <w:rsid w:val="00142FEB"/>
    <w:rsid w:val="00143A2D"/>
    <w:rsid w:val="00145A41"/>
    <w:rsid w:val="00151675"/>
    <w:rsid w:val="00152EFC"/>
    <w:rsid w:val="001570FF"/>
    <w:rsid w:val="00157435"/>
    <w:rsid w:val="00160A85"/>
    <w:rsid w:val="0016253B"/>
    <w:rsid w:val="0017504D"/>
    <w:rsid w:val="0017671A"/>
    <w:rsid w:val="0017698E"/>
    <w:rsid w:val="00177422"/>
    <w:rsid w:val="00184590"/>
    <w:rsid w:val="001870D1"/>
    <w:rsid w:val="0018781E"/>
    <w:rsid w:val="0019162B"/>
    <w:rsid w:val="0019262D"/>
    <w:rsid w:val="001A1B35"/>
    <w:rsid w:val="001A48A2"/>
    <w:rsid w:val="001A49D4"/>
    <w:rsid w:val="001A5968"/>
    <w:rsid w:val="001A6F61"/>
    <w:rsid w:val="001B04DF"/>
    <w:rsid w:val="001B223C"/>
    <w:rsid w:val="001B6759"/>
    <w:rsid w:val="001B72B8"/>
    <w:rsid w:val="001C3F22"/>
    <w:rsid w:val="001C5CD1"/>
    <w:rsid w:val="001C69B3"/>
    <w:rsid w:val="001D0E9C"/>
    <w:rsid w:val="001D5595"/>
    <w:rsid w:val="001D7874"/>
    <w:rsid w:val="001D7F22"/>
    <w:rsid w:val="001E3704"/>
    <w:rsid w:val="001F0F17"/>
    <w:rsid w:val="001F2A4F"/>
    <w:rsid w:val="001F3347"/>
    <w:rsid w:val="001F3942"/>
    <w:rsid w:val="001F69E4"/>
    <w:rsid w:val="001F7103"/>
    <w:rsid w:val="00200BFC"/>
    <w:rsid w:val="00203088"/>
    <w:rsid w:val="00203E05"/>
    <w:rsid w:val="00205219"/>
    <w:rsid w:val="00207852"/>
    <w:rsid w:val="002125B4"/>
    <w:rsid w:val="002155B8"/>
    <w:rsid w:val="00221F09"/>
    <w:rsid w:val="00223766"/>
    <w:rsid w:val="00224839"/>
    <w:rsid w:val="002249B2"/>
    <w:rsid w:val="00226574"/>
    <w:rsid w:val="002278EC"/>
    <w:rsid w:val="002311AF"/>
    <w:rsid w:val="0023280E"/>
    <w:rsid w:val="002377D1"/>
    <w:rsid w:val="00240844"/>
    <w:rsid w:val="00242CD0"/>
    <w:rsid w:val="002506BC"/>
    <w:rsid w:val="00252A92"/>
    <w:rsid w:val="00254345"/>
    <w:rsid w:val="00256BF9"/>
    <w:rsid w:val="00264557"/>
    <w:rsid w:val="0026533A"/>
    <w:rsid w:val="00270EC6"/>
    <w:rsid w:val="002805AB"/>
    <w:rsid w:val="00282BDD"/>
    <w:rsid w:val="00284204"/>
    <w:rsid w:val="00291773"/>
    <w:rsid w:val="00292BAB"/>
    <w:rsid w:val="002A168C"/>
    <w:rsid w:val="002A3DC7"/>
    <w:rsid w:val="002B49E2"/>
    <w:rsid w:val="002B5CB3"/>
    <w:rsid w:val="002B7B00"/>
    <w:rsid w:val="002B7C44"/>
    <w:rsid w:val="002C0875"/>
    <w:rsid w:val="002C2B17"/>
    <w:rsid w:val="002C4789"/>
    <w:rsid w:val="002D3DD0"/>
    <w:rsid w:val="002D45FF"/>
    <w:rsid w:val="002E1F3A"/>
    <w:rsid w:val="002E234E"/>
    <w:rsid w:val="002E298A"/>
    <w:rsid w:val="002F1C66"/>
    <w:rsid w:val="002F3332"/>
    <w:rsid w:val="00301978"/>
    <w:rsid w:val="0030332C"/>
    <w:rsid w:val="003051C2"/>
    <w:rsid w:val="00312296"/>
    <w:rsid w:val="00314F0E"/>
    <w:rsid w:val="00315F11"/>
    <w:rsid w:val="00321D8E"/>
    <w:rsid w:val="00322FDC"/>
    <w:rsid w:val="0032532D"/>
    <w:rsid w:val="00325928"/>
    <w:rsid w:val="003263A1"/>
    <w:rsid w:val="00332863"/>
    <w:rsid w:val="0033684D"/>
    <w:rsid w:val="00337B42"/>
    <w:rsid w:val="00341B42"/>
    <w:rsid w:val="0034348F"/>
    <w:rsid w:val="003520CE"/>
    <w:rsid w:val="00355CE5"/>
    <w:rsid w:val="00356653"/>
    <w:rsid w:val="00356661"/>
    <w:rsid w:val="0035743F"/>
    <w:rsid w:val="00357BE2"/>
    <w:rsid w:val="0036170C"/>
    <w:rsid w:val="00366E0F"/>
    <w:rsid w:val="0037500F"/>
    <w:rsid w:val="003750FA"/>
    <w:rsid w:val="00381A72"/>
    <w:rsid w:val="00381BD2"/>
    <w:rsid w:val="00384676"/>
    <w:rsid w:val="00390857"/>
    <w:rsid w:val="00391960"/>
    <w:rsid w:val="0039543B"/>
    <w:rsid w:val="003A0655"/>
    <w:rsid w:val="003A4BF3"/>
    <w:rsid w:val="003A64FA"/>
    <w:rsid w:val="003B2B36"/>
    <w:rsid w:val="003B420D"/>
    <w:rsid w:val="003B5A76"/>
    <w:rsid w:val="003C5670"/>
    <w:rsid w:val="003C6C16"/>
    <w:rsid w:val="003D6464"/>
    <w:rsid w:val="003D794D"/>
    <w:rsid w:val="003E3058"/>
    <w:rsid w:val="003E6F61"/>
    <w:rsid w:val="003E76A9"/>
    <w:rsid w:val="003F0809"/>
    <w:rsid w:val="003F20C8"/>
    <w:rsid w:val="003F417C"/>
    <w:rsid w:val="003F6A8C"/>
    <w:rsid w:val="003F755C"/>
    <w:rsid w:val="00406F01"/>
    <w:rsid w:val="00411CA3"/>
    <w:rsid w:val="00416D50"/>
    <w:rsid w:val="00416FD5"/>
    <w:rsid w:val="00417772"/>
    <w:rsid w:val="00420E6A"/>
    <w:rsid w:val="00425A9E"/>
    <w:rsid w:val="00426D6B"/>
    <w:rsid w:val="00427A16"/>
    <w:rsid w:val="00431556"/>
    <w:rsid w:val="00431E6C"/>
    <w:rsid w:val="00433CE7"/>
    <w:rsid w:val="00452738"/>
    <w:rsid w:val="00456091"/>
    <w:rsid w:val="0046619B"/>
    <w:rsid w:val="00466321"/>
    <w:rsid w:val="00472277"/>
    <w:rsid w:val="00473D8A"/>
    <w:rsid w:val="00484B9B"/>
    <w:rsid w:val="004855F6"/>
    <w:rsid w:val="00486203"/>
    <w:rsid w:val="0048661E"/>
    <w:rsid w:val="0049342A"/>
    <w:rsid w:val="00494670"/>
    <w:rsid w:val="004A3823"/>
    <w:rsid w:val="004E0863"/>
    <w:rsid w:val="004E124B"/>
    <w:rsid w:val="004E43BF"/>
    <w:rsid w:val="004E6946"/>
    <w:rsid w:val="004F1AD8"/>
    <w:rsid w:val="004F52A3"/>
    <w:rsid w:val="00500D82"/>
    <w:rsid w:val="005039CB"/>
    <w:rsid w:val="00503B44"/>
    <w:rsid w:val="0050558F"/>
    <w:rsid w:val="00506286"/>
    <w:rsid w:val="00507105"/>
    <w:rsid w:val="005077E6"/>
    <w:rsid w:val="00510813"/>
    <w:rsid w:val="00511990"/>
    <w:rsid w:val="00511DE0"/>
    <w:rsid w:val="00514445"/>
    <w:rsid w:val="00514870"/>
    <w:rsid w:val="00514B9B"/>
    <w:rsid w:val="0051536E"/>
    <w:rsid w:val="00517F02"/>
    <w:rsid w:val="00524303"/>
    <w:rsid w:val="005258A2"/>
    <w:rsid w:val="005316C2"/>
    <w:rsid w:val="005401AE"/>
    <w:rsid w:val="00542E07"/>
    <w:rsid w:val="00545424"/>
    <w:rsid w:val="00554A7B"/>
    <w:rsid w:val="0055572C"/>
    <w:rsid w:val="0055782B"/>
    <w:rsid w:val="0056106A"/>
    <w:rsid w:val="00566B95"/>
    <w:rsid w:val="0057114B"/>
    <w:rsid w:val="005720AE"/>
    <w:rsid w:val="005942A8"/>
    <w:rsid w:val="00594D77"/>
    <w:rsid w:val="005969E4"/>
    <w:rsid w:val="005A06B7"/>
    <w:rsid w:val="005A1759"/>
    <w:rsid w:val="005A1BE0"/>
    <w:rsid w:val="005A68A7"/>
    <w:rsid w:val="005A6ECC"/>
    <w:rsid w:val="005C0DEA"/>
    <w:rsid w:val="005C5266"/>
    <w:rsid w:val="005D36AB"/>
    <w:rsid w:val="005E57C5"/>
    <w:rsid w:val="006132D7"/>
    <w:rsid w:val="006144A9"/>
    <w:rsid w:val="00617CC3"/>
    <w:rsid w:val="00626880"/>
    <w:rsid w:val="0063194F"/>
    <w:rsid w:val="006377A6"/>
    <w:rsid w:val="00637A3D"/>
    <w:rsid w:val="006411EF"/>
    <w:rsid w:val="006570F0"/>
    <w:rsid w:val="00664178"/>
    <w:rsid w:val="0067304F"/>
    <w:rsid w:val="006748B8"/>
    <w:rsid w:val="006775C3"/>
    <w:rsid w:val="00680D99"/>
    <w:rsid w:val="00683463"/>
    <w:rsid w:val="006839F0"/>
    <w:rsid w:val="006845EF"/>
    <w:rsid w:val="0069290A"/>
    <w:rsid w:val="00696C70"/>
    <w:rsid w:val="0069775A"/>
    <w:rsid w:val="00697813"/>
    <w:rsid w:val="006A25E4"/>
    <w:rsid w:val="006A3EE8"/>
    <w:rsid w:val="006A72BF"/>
    <w:rsid w:val="006B03F2"/>
    <w:rsid w:val="006B37DC"/>
    <w:rsid w:val="006B4F68"/>
    <w:rsid w:val="006B6C44"/>
    <w:rsid w:val="006C0592"/>
    <w:rsid w:val="006C272E"/>
    <w:rsid w:val="006C49DB"/>
    <w:rsid w:val="006C5479"/>
    <w:rsid w:val="006D13B5"/>
    <w:rsid w:val="006D3659"/>
    <w:rsid w:val="006D5E93"/>
    <w:rsid w:val="006E12FF"/>
    <w:rsid w:val="006E607E"/>
    <w:rsid w:val="006F7362"/>
    <w:rsid w:val="006F7747"/>
    <w:rsid w:val="006F7EF7"/>
    <w:rsid w:val="00706C5D"/>
    <w:rsid w:val="00713F43"/>
    <w:rsid w:val="00720EA2"/>
    <w:rsid w:val="00732922"/>
    <w:rsid w:val="00733E26"/>
    <w:rsid w:val="007467FA"/>
    <w:rsid w:val="0075162E"/>
    <w:rsid w:val="00754034"/>
    <w:rsid w:val="00756556"/>
    <w:rsid w:val="007618C4"/>
    <w:rsid w:val="0076313E"/>
    <w:rsid w:val="00765F29"/>
    <w:rsid w:val="007668C3"/>
    <w:rsid w:val="00767980"/>
    <w:rsid w:val="00770B19"/>
    <w:rsid w:val="007725B0"/>
    <w:rsid w:val="0077463F"/>
    <w:rsid w:val="007756C4"/>
    <w:rsid w:val="00777666"/>
    <w:rsid w:val="007836EA"/>
    <w:rsid w:val="00784CDA"/>
    <w:rsid w:val="0078768E"/>
    <w:rsid w:val="00787CC8"/>
    <w:rsid w:val="007906C4"/>
    <w:rsid w:val="007940EA"/>
    <w:rsid w:val="007967E8"/>
    <w:rsid w:val="007A2170"/>
    <w:rsid w:val="007A22BF"/>
    <w:rsid w:val="007A3323"/>
    <w:rsid w:val="007A6F63"/>
    <w:rsid w:val="007B1BCC"/>
    <w:rsid w:val="007B611B"/>
    <w:rsid w:val="007B72B8"/>
    <w:rsid w:val="007B7A58"/>
    <w:rsid w:val="007C1C20"/>
    <w:rsid w:val="007C21B5"/>
    <w:rsid w:val="007D457B"/>
    <w:rsid w:val="007E4BD2"/>
    <w:rsid w:val="007E53E1"/>
    <w:rsid w:val="00801393"/>
    <w:rsid w:val="00802F88"/>
    <w:rsid w:val="008059E8"/>
    <w:rsid w:val="0081293E"/>
    <w:rsid w:val="00815465"/>
    <w:rsid w:val="00817E9A"/>
    <w:rsid w:val="008306BD"/>
    <w:rsid w:val="00831A80"/>
    <w:rsid w:val="00833743"/>
    <w:rsid w:val="008340A4"/>
    <w:rsid w:val="00834883"/>
    <w:rsid w:val="008359DF"/>
    <w:rsid w:val="00835BAA"/>
    <w:rsid w:val="00835EA5"/>
    <w:rsid w:val="0083653A"/>
    <w:rsid w:val="00844285"/>
    <w:rsid w:val="008550FA"/>
    <w:rsid w:val="00863321"/>
    <w:rsid w:val="00865854"/>
    <w:rsid w:val="0086732C"/>
    <w:rsid w:val="00870CE1"/>
    <w:rsid w:val="0087135F"/>
    <w:rsid w:val="008719D4"/>
    <w:rsid w:val="00872D94"/>
    <w:rsid w:val="00875C18"/>
    <w:rsid w:val="00876B88"/>
    <w:rsid w:val="00880364"/>
    <w:rsid w:val="008852D8"/>
    <w:rsid w:val="008868DB"/>
    <w:rsid w:val="00891592"/>
    <w:rsid w:val="0089189B"/>
    <w:rsid w:val="00891E9E"/>
    <w:rsid w:val="00896172"/>
    <w:rsid w:val="008A2F68"/>
    <w:rsid w:val="008B0202"/>
    <w:rsid w:val="008B0B2C"/>
    <w:rsid w:val="008B4FA6"/>
    <w:rsid w:val="008B5282"/>
    <w:rsid w:val="008B5F81"/>
    <w:rsid w:val="008B7C17"/>
    <w:rsid w:val="008C07DB"/>
    <w:rsid w:val="008C2D01"/>
    <w:rsid w:val="008C40E6"/>
    <w:rsid w:val="008D0F7A"/>
    <w:rsid w:val="008D68E4"/>
    <w:rsid w:val="008E0506"/>
    <w:rsid w:val="008E0CFF"/>
    <w:rsid w:val="008E4764"/>
    <w:rsid w:val="008E5D6B"/>
    <w:rsid w:val="008E76F0"/>
    <w:rsid w:val="008F15FE"/>
    <w:rsid w:val="008F2D29"/>
    <w:rsid w:val="008F3843"/>
    <w:rsid w:val="008F5187"/>
    <w:rsid w:val="008F56BA"/>
    <w:rsid w:val="008F60D8"/>
    <w:rsid w:val="008F6485"/>
    <w:rsid w:val="00902727"/>
    <w:rsid w:val="0090312B"/>
    <w:rsid w:val="009045D6"/>
    <w:rsid w:val="0091225B"/>
    <w:rsid w:val="00915BE6"/>
    <w:rsid w:val="0091736D"/>
    <w:rsid w:val="0093037A"/>
    <w:rsid w:val="00940918"/>
    <w:rsid w:val="0094154D"/>
    <w:rsid w:val="00945068"/>
    <w:rsid w:val="0095155F"/>
    <w:rsid w:val="00954429"/>
    <w:rsid w:val="009563CE"/>
    <w:rsid w:val="00960271"/>
    <w:rsid w:val="00976328"/>
    <w:rsid w:val="0097680D"/>
    <w:rsid w:val="00982438"/>
    <w:rsid w:val="0098404C"/>
    <w:rsid w:val="00985283"/>
    <w:rsid w:val="00992CCB"/>
    <w:rsid w:val="00994DE7"/>
    <w:rsid w:val="00995989"/>
    <w:rsid w:val="00995992"/>
    <w:rsid w:val="009A03E5"/>
    <w:rsid w:val="009A0F3B"/>
    <w:rsid w:val="009A1BB4"/>
    <w:rsid w:val="009A2628"/>
    <w:rsid w:val="009A3200"/>
    <w:rsid w:val="009A5800"/>
    <w:rsid w:val="009B040B"/>
    <w:rsid w:val="009B0897"/>
    <w:rsid w:val="009B729B"/>
    <w:rsid w:val="009B7BD9"/>
    <w:rsid w:val="009C15CF"/>
    <w:rsid w:val="009C4955"/>
    <w:rsid w:val="009C7DD5"/>
    <w:rsid w:val="009D6FDE"/>
    <w:rsid w:val="009E227D"/>
    <w:rsid w:val="009E363F"/>
    <w:rsid w:val="009E43DA"/>
    <w:rsid w:val="009E5019"/>
    <w:rsid w:val="00A038B6"/>
    <w:rsid w:val="00A045B1"/>
    <w:rsid w:val="00A04F1B"/>
    <w:rsid w:val="00A0501B"/>
    <w:rsid w:val="00A05C08"/>
    <w:rsid w:val="00A14947"/>
    <w:rsid w:val="00A2362A"/>
    <w:rsid w:val="00A32A83"/>
    <w:rsid w:val="00A33FA6"/>
    <w:rsid w:val="00A342D3"/>
    <w:rsid w:val="00A34B51"/>
    <w:rsid w:val="00A368DB"/>
    <w:rsid w:val="00A3693E"/>
    <w:rsid w:val="00A423AA"/>
    <w:rsid w:val="00A43493"/>
    <w:rsid w:val="00A44107"/>
    <w:rsid w:val="00A45237"/>
    <w:rsid w:val="00A462EF"/>
    <w:rsid w:val="00A46EF9"/>
    <w:rsid w:val="00A47045"/>
    <w:rsid w:val="00A5008B"/>
    <w:rsid w:val="00A53051"/>
    <w:rsid w:val="00A53EC6"/>
    <w:rsid w:val="00A55C0F"/>
    <w:rsid w:val="00A604ED"/>
    <w:rsid w:val="00A61269"/>
    <w:rsid w:val="00A6244D"/>
    <w:rsid w:val="00A65587"/>
    <w:rsid w:val="00A700AF"/>
    <w:rsid w:val="00A71C5E"/>
    <w:rsid w:val="00A75DF1"/>
    <w:rsid w:val="00A8713F"/>
    <w:rsid w:val="00A90BA1"/>
    <w:rsid w:val="00A913C9"/>
    <w:rsid w:val="00A95A9A"/>
    <w:rsid w:val="00A97A9A"/>
    <w:rsid w:val="00AA0671"/>
    <w:rsid w:val="00AA2531"/>
    <w:rsid w:val="00AB1DAA"/>
    <w:rsid w:val="00AB1E09"/>
    <w:rsid w:val="00AB2C9B"/>
    <w:rsid w:val="00AB5330"/>
    <w:rsid w:val="00AB5B63"/>
    <w:rsid w:val="00AB7747"/>
    <w:rsid w:val="00AC14CE"/>
    <w:rsid w:val="00AC2A56"/>
    <w:rsid w:val="00AD055E"/>
    <w:rsid w:val="00AD47A7"/>
    <w:rsid w:val="00AF0735"/>
    <w:rsid w:val="00AF0C53"/>
    <w:rsid w:val="00AF0CBF"/>
    <w:rsid w:val="00AF1D62"/>
    <w:rsid w:val="00AF257F"/>
    <w:rsid w:val="00AF33CF"/>
    <w:rsid w:val="00AF3839"/>
    <w:rsid w:val="00AF4D50"/>
    <w:rsid w:val="00AF6179"/>
    <w:rsid w:val="00B02430"/>
    <w:rsid w:val="00B02CE6"/>
    <w:rsid w:val="00B07924"/>
    <w:rsid w:val="00B07F6C"/>
    <w:rsid w:val="00B10FBB"/>
    <w:rsid w:val="00B1111A"/>
    <w:rsid w:val="00B1295A"/>
    <w:rsid w:val="00B154A3"/>
    <w:rsid w:val="00B16AB6"/>
    <w:rsid w:val="00B178F0"/>
    <w:rsid w:val="00B20A45"/>
    <w:rsid w:val="00B2149F"/>
    <w:rsid w:val="00B22228"/>
    <w:rsid w:val="00B228FF"/>
    <w:rsid w:val="00B22C5C"/>
    <w:rsid w:val="00B22D28"/>
    <w:rsid w:val="00B23AD3"/>
    <w:rsid w:val="00B24F30"/>
    <w:rsid w:val="00B3132B"/>
    <w:rsid w:val="00B31ABF"/>
    <w:rsid w:val="00B32474"/>
    <w:rsid w:val="00B33BE3"/>
    <w:rsid w:val="00B362BC"/>
    <w:rsid w:val="00B53B5D"/>
    <w:rsid w:val="00B6055E"/>
    <w:rsid w:val="00B6317D"/>
    <w:rsid w:val="00B63B9B"/>
    <w:rsid w:val="00B7723F"/>
    <w:rsid w:val="00B77334"/>
    <w:rsid w:val="00B802AD"/>
    <w:rsid w:val="00B80534"/>
    <w:rsid w:val="00B83CBA"/>
    <w:rsid w:val="00B8433C"/>
    <w:rsid w:val="00B84D47"/>
    <w:rsid w:val="00B87491"/>
    <w:rsid w:val="00B92181"/>
    <w:rsid w:val="00B93E11"/>
    <w:rsid w:val="00B97101"/>
    <w:rsid w:val="00BA051B"/>
    <w:rsid w:val="00BA132B"/>
    <w:rsid w:val="00BA29E9"/>
    <w:rsid w:val="00BA3924"/>
    <w:rsid w:val="00BA63B9"/>
    <w:rsid w:val="00BA7142"/>
    <w:rsid w:val="00BA7963"/>
    <w:rsid w:val="00BA7E53"/>
    <w:rsid w:val="00BB237C"/>
    <w:rsid w:val="00BB41A3"/>
    <w:rsid w:val="00BC32DC"/>
    <w:rsid w:val="00BC35B6"/>
    <w:rsid w:val="00BD1B51"/>
    <w:rsid w:val="00BD4596"/>
    <w:rsid w:val="00BE1405"/>
    <w:rsid w:val="00BE312D"/>
    <w:rsid w:val="00BF1C20"/>
    <w:rsid w:val="00BF54B7"/>
    <w:rsid w:val="00C07E59"/>
    <w:rsid w:val="00C10578"/>
    <w:rsid w:val="00C10A2B"/>
    <w:rsid w:val="00C12D58"/>
    <w:rsid w:val="00C135BC"/>
    <w:rsid w:val="00C15C95"/>
    <w:rsid w:val="00C2596A"/>
    <w:rsid w:val="00C27537"/>
    <w:rsid w:val="00C311F3"/>
    <w:rsid w:val="00C328FE"/>
    <w:rsid w:val="00C33507"/>
    <w:rsid w:val="00C42D5A"/>
    <w:rsid w:val="00C4409D"/>
    <w:rsid w:val="00C44E72"/>
    <w:rsid w:val="00C45A06"/>
    <w:rsid w:val="00C47E5B"/>
    <w:rsid w:val="00C50730"/>
    <w:rsid w:val="00C528D4"/>
    <w:rsid w:val="00C61E4B"/>
    <w:rsid w:val="00C64BFF"/>
    <w:rsid w:val="00C704E9"/>
    <w:rsid w:val="00C738C0"/>
    <w:rsid w:val="00C73FE7"/>
    <w:rsid w:val="00C763C9"/>
    <w:rsid w:val="00C80057"/>
    <w:rsid w:val="00C82232"/>
    <w:rsid w:val="00C82913"/>
    <w:rsid w:val="00C85F20"/>
    <w:rsid w:val="00C87201"/>
    <w:rsid w:val="00C972B1"/>
    <w:rsid w:val="00CA2CCE"/>
    <w:rsid w:val="00CA43FD"/>
    <w:rsid w:val="00CA4555"/>
    <w:rsid w:val="00CA7EF8"/>
    <w:rsid w:val="00CB11EA"/>
    <w:rsid w:val="00CC0ACE"/>
    <w:rsid w:val="00CC3BDA"/>
    <w:rsid w:val="00CC489B"/>
    <w:rsid w:val="00CD2BCD"/>
    <w:rsid w:val="00CD3A4C"/>
    <w:rsid w:val="00CD3D21"/>
    <w:rsid w:val="00CE10E9"/>
    <w:rsid w:val="00CE13C7"/>
    <w:rsid w:val="00CE2910"/>
    <w:rsid w:val="00CE5393"/>
    <w:rsid w:val="00CE7983"/>
    <w:rsid w:val="00CF1B3A"/>
    <w:rsid w:val="00CF36BE"/>
    <w:rsid w:val="00CF501A"/>
    <w:rsid w:val="00CF6000"/>
    <w:rsid w:val="00D003F3"/>
    <w:rsid w:val="00D0364F"/>
    <w:rsid w:val="00D06834"/>
    <w:rsid w:val="00D14996"/>
    <w:rsid w:val="00D20B4D"/>
    <w:rsid w:val="00D308ED"/>
    <w:rsid w:val="00D36D86"/>
    <w:rsid w:val="00D428AA"/>
    <w:rsid w:val="00D474F2"/>
    <w:rsid w:val="00D50A34"/>
    <w:rsid w:val="00D53EFA"/>
    <w:rsid w:val="00D92F15"/>
    <w:rsid w:val="00D94A7C"/>
    <w:rsid w:val="00D94CD1"/>
    <w:rsid w:val="00D95896"/>
    <w:rsid w:val="00DB2954"/>
    <w:rsid w:val="00DB2983"/>
    <w:rsid w:val="00DB69B8"/>
    <w:rsid w:val="00DC1257"/>
    <w:rsid w:val="00DC3DC0"/>
    <w:rsid w:val="00DC5B2B"/>
    <w:rsid w:val="00DC69AE"/>
    <w:rsid w:val="00DD318D"/>
    <w:rsid w:val="00DD3B7A"/>
    <w:rsid w:val="00DE1720"/>
    <w:rsid w:val="00DE24D1"/>
    <w:rsid w:val="00DE43FF"/>
    <w:rsid w:val="00DF2E12"/>
    <w:rsid w:val="00DF514A"/>
    <w:rsid w:val="00DF6690"/>
    <w:rsid w:val="00DF6804"/>
    <w:rsid w:val="00E0358D"/>
    <w:rsid w:val="00E03AE0"/>
    <w:rsid w:val="00E04323"/>
    <w:rsid w:val="00E070A2"/>
    <w:rsid w:val="00E071F2"/>
    <w:rsid w:val="00E10C95"/>
    <w:rsid w:val="00E15234"/>
    <w:rsid w:val="00E2117A"/>
    <w:rsid w:val="00E25E42"/>
    <w:rsid w:val="00E2656A"/>
    <w:rsid w:val="00E412D0"/>
    <w:rsid w:val="00E46B2F"/>
    <w:rsid w:val="00E54838"/>
    <w:rsid w:val="00E558D9"/>
    <w:rsid w:val="00E56322"/>
    <w:rsid w:val="00E60982"/>
    <w:rsid w:val="00E62C62"/>
    <w:rsid w:val="00E645F8"/>
    <w:rsid w:val="00E654C1"/>
    <w:rsid w:val="00E65D97"/>
    <w:rsid w:val="00E72A5A"/>
    <w:rsid w:val="00E73354"/>
    <w:rsid w:val="00E82E6A"/>
    <w:rsid w:val="00E9242D"/>
    <w:rsid w:val="00EA0EA3"/>
    <w:rsid w:val="00EB5255"/>
    <w:rsid w:val="00EB5C47"/>
    <w:rsid w:val="00EB71F7"/>
    <w:rsid w:val="00ED0639"/>
    <w:rsid w:val="00ED1953"/>
    <w:rsid w:val="00ED3C94"/>
    <w:rsid w:val="00EE0C27"/>
    <w:rsid w:val="00EF4755"/>
    <w:rsid w:val="00EF550C"/>
    <w:rsid w:val="00EF6BD4"/>
    <w:rsid w:val="00EF6C3C"/>
    <w:rsid w:val="00EF7135"/>
    <w:rsid w:val="00F00428"/>
    <w:rsid w:val="00F027DB"/>
    <w:rsid w:val="00F127F3"/>
    <w:rsid w:val="00F147E5"/>
    <w:rsid w:val="00F14A7A"/>
    <w:rsid w:val="00F17E89"/>
    <w:rsid w:val="00F21A48"/>
    <w:rsid w:val="00F22985"/>
    <w:rsid w:val="00F3383E"/>
    <w:rsid w:val="00F4267F"/>
    <w:rsid w:val="00F45E43"/>
    <w:rsid w:val="00F465A7"/>
    <w:rsid w:val="00F50B7C"/>
    <w:rsid w:val="00F53393"/>
    <w:rsid w:val="00F550E6"/>
    <w:rsid w:val="00F57058"/>
    <w:rsid w:val="00F6257D"/>
    <w:rsid w:val="00F71288"/>
    <w:rsid w:val="00F74345"/>
    <w:rsid w:val="00F80A0A"/>
    <w:rsid w:val="00F82B19"/>
    <w:rsid w:val="00F8645C"/>
    <w:rsid w:val="00F9212D"/>
    <w:rsid w:val="00F965DA"/>
    <w:rsid w:val="00FA406A"/>
    <w:rsid w:val="00FA648D"/>
    <w:rsid w:val="00FB503A"/>
    <w:rsid w:val="00FB516C"/>
    <w:rsid w:val="00FB6003"/>
    <w:rsid w:val="00FC450F"/>
    <w:rsid w:val="00FD0236"/>
    <w:rsid w:val="00FD18F4"/>
    <w:rsid w:val="00FD54DB"/>
    <w:rsid w:val="00FD619F"/>
    <w:rsid w:val="00FE2EC4"/>
    <w:rsid w:val="00FF703A"/>
    <w:rsid w:val="01024FFA"/>
    <w:rsid w:val="01064C9A"/>
    <w:rsid w:val="01066ED7"/>
    <w:rsid w:val="010827C0"/>
    <w:rsid w:val="01093E7C"/>
    <w:rsid w:val="010B7A7E"/>
    <w:rsid w:val="010D7DD7"/>
    <w:rsid w:val="011078C7"/>
    <w:rsid w:val="0112363F"/>
    <w:rsid w:val="01141165"/>
    <w:rsid w:val="01144266"/>
    <w:rsid w:val="011D503B"/>
    <w:rsid w:val="01203FAE"/>
    <w:rsid w:val="01290F7E"/>
    <w:rsid w:val="012A2737"/>
    <w:rsid w:val="012F2267"/>
    <w:rsid w:val="012F2F42"/>
    <w:rsid w:val="013122E4"/>
    <w:rsid w:val="01545A05"/>
    <w:rsid w:val="015D1E09"/>
    <w:rsid w:val="016E3B54"/>
    <w:rsid w:val="0179546C"/>
    <w:rsid w:val="017B11E4"/>
    <w:rsid w:val="017D4F5C"/>
    <w:rsid w:val="018A1427"/>
    <w:rsid w:val="018D0F17"/>
    <w:rsid w:val="018F2EE2"/>
    <w:rsid w:val="01964270"/>
    <w:rsid w:val="01981D96"/>
    <w:rsid w:val="01987FE8"/>
    <w:rsid w:val="01A544B3"/>
    <w:rsid w:val="01A71FD9"/>
    <w:rsid w:val="01AA1AC9"/>
    <w:rsid w:val="01AF2CB4"/>
    <w:rsid w:val="01BB5A85"/>
    <w:rsid w:val="01BB5D13"/>
    <w:rsid w:val="01BC2913"/>
    <w:rsid w:val="01C25065"/>
    <w:rsid w:val="01C60427"/>
    <w:rsid w:val="01C847F2"/>
    <w:rsid w:val="01C94D4E"/>
    <w:rsid w:val="01CA216C"/>
    <w:rsid w:val="01CC3A68"/>
    <w:rsid w:val="01D60B10"/>
    <w:rsid w:val="01DD4D72"/>
    <w:rsid w:val="01E52FAF"/>
    <w:rsid w:val="01EF12B8"/>
    <w:rsid w:val="01F33470"/>
    <w:rsid w:val="01FD42EF"/>
    <w:rsid w:val="020431C4"/>
    <w:rsid w:val="02135CA0"/>
    <w:rsid w:val="0215299B"/>
    <w:rsid w:val="021F7DC1"/>
    <w:rsid w:val="022A49B8"/>
    <w:rsid w:val="022B7969"/>
    <w:rsid w:val="022D3125"/>
    <w:rsid w:val="02331731"/>
    <w:rsid w:val="02385327"/>
    <w:rsid w:val="023B6BC5"/>
    <w:rsid w:val="02421B93"/>
    <w:rsid w:val="02431F65"/>
    <w:rsid w:val="02441F1E"/>
    <w:rsid w:val="0247234C"/>
    <w:rsid w:val="02555ED9"/>
    <w:rsid w:val="0256755B"/>
    <w:rsid w:val="025D08EA"/>
    <w:rsid w:val="026309D8"/>
    <w:rsid w:val="02693733"/>
    <w:rsid w:val="02697903"/>
    <w:rsid w:val="026B1259"/>
    <w:rsid w:val="026C1AFB"/>
    <w:rsid w:val="026C77BD"/>
    <w:rsid w:val="026E0D49"/>
    <w:rsid w:val="026E2AF7"/>
    <w:rsid w:val="02706CB6"/>
    <w:rsid w:val="0272648B"/>
    <w:rsid w:val="0273635F"/>
    <w:rsid w:val="02774A2E"/>
    <w:rsid w:val="02781BC8"/>
    <w:rsid w:val="027A76EE"/>
    <w:rsid w:val="0288312F"/>
    <w:rsid w:val="028E13EB"/>
    <w:rsid w:val="02924A37"/>
    <w:rsid w:val="02937591"/>
    <w:rsid w:val="02960419"/>
    <w:rsid w:val="029C71D7"/>
    <w:rsid w:val="02A43418"/>
    <w:rsid w:val="02B349AE"/>
    <w:rsid w:val="02B80216"/>
    <w:rsid w:val="02BC7D06"/>
    <w:rsid w:val="02C1356F"/>
    <w:rsid w:val="02C346E0"/>
    <w:rsid w:val="02C646E1"/>
    <w:rsid w:val="02C77F1B"/>
    <w:rsid w:val="02C92423"/>
    <w:rsid w:val="02D0021C"/>
    <w:rsid w:val="02D35365"/>
    <w:rsid w:val="02D45050"/>
    <w:rsid w:val="02DA1F3A"/>
    <w:rsid w:val="02DC3F04"/>
    <w:rsid w:val="02DD7CB8"/>
    <w:rsid w:val="02E07E1A"/>
    <w:rsid w:val="02E11724"/>
    <w:rsid w:val="02E62FD5"/>
    <w:rsid w:val="02E917C6"/>
    <w:rsid w:val="02EA6F62"/>
    <w:rsid w:val="02EB05EB"/>
    <w:rsid w:val="02ED7EC0"/>
    <w:rsid w:val="02F05C02"/>
    <w:rsid w:val="02F2197A"/>
    <w:rsid w:val="02F56D74"/>
    <w:rsid w:val="02F96569"/>
    <w:rsid w:val="02FA082F"/>
    <w:rsid w:val="02FB439A"/>
    <w:rsid w:val="02FE3E7B"/>
    <w:rsid w:val="02FF7BF3"/>
    <w:rsid w:val="0302794D"/>
    <w:rsid w:val="030769C5"/>
    <w:rsid w:val="03092820"/>
    <w:rsid w:val="030B6598"/>
    <w:rsid w:val="0313544C"/>
    <w:rsid w:val="031511C4"/>
    <w:rsid w:val="03174F3D"/>
    <w:rsid w:val="031C07A5"/>
    <w:rsid w:val="031E451D"/>
    <w:rsid w:val="03222B75"/>
    <w:rsid w:val="03267338"/>
    <w:rsid w:val="0328714A"/>
    <w:rsid w:val="03290669"/>
    <w:rsid w:val="032D1D37"/>
    <w:rsid w:val="032D29B2"/>
    <w:rsid w:val="033755DF"/>
    <w:rsid w:val="03380E3C"/>
    <w:rsid w:val="033E6E0B"/>
    <w:rsid w:val="03433F84"/>
    <w:rsid w:val="03464EA5"/>
    <w:rsid w:val="0347314F"/>
    <w:rsid w:val="0348159A"/>
    <w:rsid w:val="034C72DC"/>
    <w:rsid w:val="03563CB7"/>
    <w:rsid w:val="03581026"/>
    <w:rsid w:val="035B6942"/>
    <w:rsid w:val="035E4919"/>
    <w:rsid w:val="036118B7"/>
    <w:rsid w:val="036C29D6"/>
    <w:rsid w:val="036C739C"/>
    <w:rsid w:val="03732EE0"/>
    <w:rsid w:val="0374238F"/>
    <w:rsid w:val="037E320E"/>
    <w:rsid w:val="03871C83"/>
    <w:rsid w:val="0388408C"/>
    <w:rsid w:val="038D521D"/>
    <w:rsid w:val="03942A31"/>
    <w:rsid w:val="03962305"/>
    <w:rsid w:val="039842CF"/>
    <w:rsid w:val="039B791C"/>
    <w:rsid w:val="039D7B38"/>
    <w:rsid w:val="03A42F63"/>
    <w:rsid w:val="03A53155"/>
    <w:rsid w:val="03A762C0"/>
    <w:rsid w:val="03AC6FB5"/>
    <w:rsid w:val="03B22EB7"/>
    <w:rsid w:val="03B6091A"/>
    <w:rsid w:val="03B65FF1"/>
    <w:rsid w:val="03B927E6"/>
    <w:rsid w:val="03B94246"/>
    <w:rsid w:val="03B97AEE"/>
    <w:rsid w:val="03BA19CF"/>
    <w:rsid w:val="03BC0C61"/>
    <w:rsid w:val="03C07EBE"/>
    <w:rsid w:val="03D3225C"/>
    <w:rsid w:val="03DC75B8"/>
    <w:rsid w:val="03DF6E67"/>
    <w:rsid w:val="03E33071"/>
    <w:rsid w:val="03EA7B21"/>
    <w:rsid w:val="03EB37D0"/>
    <w:rsid w:val="03EE0393"/>
    <w:rsid w:val="03EE2141"/>
    <w:rsid w:val="04022077"/>
    <w:rsid w:val="04043713"/>
    <w:rsid w:val="04051239"/>
    <w:rsid w:val="04082AD7"/>
    <w:rsid w:val="040F5BED"/>
    <w:rsid w:val="04112693"/>
    <w:rsid w:val="04194CE4"/>
    <w:rsid w:val="041C3702"/>
    <w:rsid w:val="041D7745"/>
    <w:rsid w:val="04310E7B"/>
    <w:rsid w:val="0433224A"/>
    <w:rsid w:val="043543C3"/>
    <w:rsid w:val="043B56EB"/>
    <w:rsid w:val="04545D1C"/>
    <w:rsid w:val="04561A95"/>
    <w:rsid w:val="045F4DED"/>
    <w:rsid w:val="04620439"/>
    <w:rsid w:val="04632294"/>
    <w:rsid w:val="046504F3"/>
    <w:rsid w:val="04657F2A"/>
    <w:rsid w:val="04673CA2"/>
    <w:rsid w:val="0472627E"/>
    <w:rsid w:val="04787198"/>
    <w:rsid w:val="047B14FB"/>
    <w:rsid w:val="04893C18"/>
    <w:rsid w:val="049E0AF8"/>
    <w:rsid w:val="04A040B3"/>
    <w:rsid w:val="04A62A1C"/>
    <w:rsid w:val="04A84BE8"/>
    <w:rsid w:val="04A942BA"/>
    <w:rsid w:val="04B00DC4"/>
    <w:rsid w:val="04B72815"/>
    <w:rsid w:val="04B8699B"/>
    <w:rsid w:val="04C9670A"/>
    <w:rsid w:val="04CB041A"/>
    <w:rsid w:val="04CD61FB"/>
    <w:rsid w:val="04D37589"/>
    <w:rsid w:val="04DC643E"/>
    <w:rsid w:val="04E452F2"/>
    <w:rsid w:val="04E92843"/>
    <w:rsid w:val="04F81A70"/>
    <w:rsid w:val="05065269"/>
    <w:rsid w:val="05080FE1"/>
    <w:rsid w:val="05094D59"/>
    <w:rsid w:val="05184F9C"/>
    <w:rsid w:val="05263B5D"/>
    <w:rsid w:val="05281683"/>
    <w:rsid w:val="05283431"/>
    <w:rsid w:val="052851DF"/>
    <w:rsid w:val="052A3777"/>
    <w:rsid w:val="052B23FB"/>
    <w:rsid w:val="05340028"/>
    <w:rsid w:val="05445D91"/>
    <w:rsid w:val="054466C6"/>
    <w:rsid w:val="05483AD3"/>
    <w:rsid w:val="0549010F"/>
    <w:rsid w:val="054933A7"/>
    <w:rsid w:val="054F6A7F"/>
    <w:rsid w:val="055406CA"/>
    <w:rsid w:val="055661F0"/>
    <w:rsid w:val="0560750F"/>
    <w:rsid w:val="056160D1"/>
    <w:rsid w:val="05665D07"/>
    <w:rsid w:val="056703FD"/>
    <w:rsid w:val="056A3A4A"/>
    <w:rsid w:val="05706B86"/>
    <w:rsid w:val="057427F5"/>
    <w:rsid w:val="0576797F"/>
    <w:rsid w:val="057B5147"/>
    <w:rsid w:val="057C377D"/>
    <w:rsid w:val="057E371F"/>
    <w:rsid w:val="05814F14"/>
    <w:rsid w:val="05882122"/>
    <w:rsid w:val="0588600B"/>
    <w:rsid w:val="058A5E9A"/>
    <w:rsid w:val="058E660D"/>
    <w:rsid w:val="059146C9"/>
    <w:rsid w:val="05924E76"/>
    <w:rsid w:val="05926AFC"/>
    <w:rsid w:val="05A1543E"/>
    <w:rsid w:val="05A85BFA"/>
    <w:rsid w:val="05AB7BBE"/>
    <w:rsid w:val="05B64EE1"/>
    <w:rsid w:val="05BA31E4"/>
    <w:rsid w:val="05BB7FE0"/>
    <w:rsid w:val="05BE5B43"/>
    <w:rsid w:val="05C0366A"/>
    <w:rsid w:val="05C07B0D"/>
    <w:rsid w:val="05C237BA"/>
    <w:rsid w:val="05CF7D50"/>
    <w:rsid w:val="05D46A64"/>
    <w:rsid w:val="05D62E8D"/>
    <w:rsid w:val="05DE61E6"/>
    <w:rsid w:val="05F45A09"/>
    <w:rsid w:val="05F83EAE"/>
    <w:rsid w:val="06013DAA"/>
    <w:rsid w:val="06042351"/>
    <w:rsid w:val="06043E9E"/>
    <w:rsid w:val="060968FB"/>
    <w:rsid w:val="060A6FDB"/>
    <w:rsid w:val="060C7A04"/>
    <w:rsid w:val="060E0879"/>
    <w:rsid w:val="060E6ACB"/>
    <w:rsid w:val="060F45F1"/>
    <w:rsid w:val="06185ABE"/>
    <w:rsid w:val="061C5678"/>
    <w:rsid w:val="062067FE"/>
    <w:rsid w:val="0624009C"/>
    <w:rsid w:val="062718DE"/>
    <w:rsid w:val="062C1626"/>
    <w:rsid w:val="062E0F1B"/>
    <w:rsid w:val="063127B9"/>
    <w:rsid w:val="06316315"/>
    <w:rsid w:val="06316BF0"/>
    <w:rsid w:val="06336531"/>
    <w:rsid w:val="063876A4"/>
    <w:rsid w:val="063D4CBA"/>
    <w:rsid w:val="063E7D85"/>
    <w:rsid w:val="064424ED"/>
    <w:rsid w:val="06452ABE"/>
    <w:rsid w:val="06486D9A"/>
    <w:rsid w:val="064A5629"/>
    <w:rsid w:val="064C13A1"/>
    <w:rsid w:val="065D710A"/>
    <w:rsid w:val="06620BC5"/>
    <w:rsid w:val="06677F89"/>
    <w:rsid w:val="066A5E6C"/>
    <w:rsid w:val="066F06E3"/>
    <w:rsid w:val="06750665"/>
    <w:rsid w:val="067D4CEA"/>
    <w:rsid w:val="067F3525"/>
    <w:rsid w:val="068776D9"/>
    <w:rsid w:val="069074E0"/>
    <w:rsid w:val="06931805"/>
    <w:rsid w:val="069845E6"/>
    <w:rsid w:val="06997E88"/>
    <w:rsid w:val="06A411DD"/>
    <w:rsid w:val="06A42F8B"/>
    <w:rsid w:val="06A44D39"/>
    <w:rsid w:val="06A50AB1"/>
    <w:rsid w:val="06A92474"/>
    <w:rsid w:val="06AB0A0E"/>
    <w:rsid w:val="06AE3E0A"/>
    <w:rsid w:val="06B50CF4"/>
    <w:rsid w:val="06C62F02"/>
    <w:rsid w:val="06CE6EF4"/>
    <w:rsid w:val="06D27AF8"/>
    <w:rsid w:val="06DF2215"/>
    <w:rsid w:val="06E15F8D"/>
    <w:rsid w:val="06F061D0"/>
    <w:rsid w:val="06F20536"/>
    <w:rsid w:val="06F3181D"/>
    <w:rsid w:val="06F4336E"/>
    <w:rsid w:val="0703206D"/>
    <w:rsid w:val="07083C84"/>
    <w:rsid w:val="07155C37"/>
    <w:rsid w:val="071A324D"/>
    <w:rsid w:val="072445B9"/>
    <w:rsid w:val="07293586"/>
    <w:rsid w:val="07295285"/>
    <w:rsid w:val="07342561"/>
    <w:rsid w:val="073F7B07"/>
    <w:rsid w:val="07442078"/>
    <w:rsid w:val="07464042"/>
    <w:rsid w:val="074D717F"/>
    <w:rsid w:val="075229E7"/>
    <w:rsid w:val="07527F38"/>
    <w:rsid w:val="0757624F"/>
    <w:rsid w:val="075C73C2"/>
    <w:rsid w:val="07634BF4"/>
    <w:rsid w:val="07636392"/>
    <w:rsid w:val="07762063"/>
    <w:rsid w:val="07770C56"/>
    <w:rsid w:val="077B36C0"/>
    <w:rsid w:val="077C5CB6"/>
    <w:rsid w:val="077E558A"/>
    <w:rsid w:val="078608E3"/>
    <w:rsid w:val="078801B7"/>
    <w:rsid w:val="07881D66"/>
    <w:rsid w:val="07966D78"/>
    <w:rsid w:val="079B25E0"/>
    <w:rsid w:val="07AB4606"/>
    <w:rsid w:val="07B23486"/>
    <w:rsid w:val="07B47950"/>
    <w:rsid w:val="07B74F40"/>
    <w:rsid w:val="07B76CEE"/>
    <w:rsid w:val="07BA7A68"/>
    <w:rsid w:val="07C27AF6"/>
    <w:rsid w:val="07C35693"/>
    <w:rsid w:val="07C5765D"/>
    <w:rsid w:val="07C63E4A"/>
    <w:rsid w:val="07C95AF2"/>
    <w:rsid w:val="07CF228A"/>
    <w:rsid w:val="07D17DB0"/>
    <w:rsid w:val="07D94EB6"/>
    <w:rsid w:val="07DF36D0"/>
    <w:rsid w:val="07E327C2"/>
    <w:rsid w:val="07EC4BEA"/>
    <w:rsid w:val="07F023C3"/>
    <w:rsid w:val="07F43A9E"/>
    <w:rsid w:val="07F615C4"/>
    <w:rsid w:val="0802440D"/>
    <w:rsid w:val="08057A5A"/>
    <w:rsid w:val="0808754A"/>
    <w:rsid w:val="080B79E7"/>
    <w:rsid w:val="080C0DE8"/>
    <w:rsid w:val="08145EEF"/>
    <w:rsid w:val="081622BE"/>
    <w:rsid w:val="081B70BC"/>
    <w:rsid w:val="082B4AC2"/>
    <w:rsid w:val="082C16C5"/>
    <w:rsid w:val="08346591"/>
    <w:rsid w:val="08384337"/>
    <w:rsid w:val="08470072"/>
    <w:rsid w:val="084762C4"/>
    <w:rsid w:val="08485B98"/>
    <w:rsid w:val="084A19CD"/>
    <w:rsid w:val="084A22BC"/>
    <w:rsid w:val="084E5DED"/>
    <w:rsid w:val="08510EF1"/>
    <w:rsid w:val="0854278F"/>
    <w:rsid w:val="085E53BC"/>
    <w:rsid w:val="08753B36"/>
    <w:rsid w:val="088010FF"/>
    <w:rsid w:val="089112ED"/>
    <w:rsid w:val="08980644"/>
    <w:rsid w:val="089963F4"/>
    <w:rsid w:val="08A13584"/>
    <w:rsid w:val="08A234FA"/>
    <w:rsid w:val="08A2799E"/>
    <w:rsid w:val="08A84E85"/>
    <w:rsid w:val="08A904CA"/>
    <w:rsid w:val="08A9137D"/>
    <w:rsid w:val="08A94889"/>
    <w:rsid w:val="08AC4379"/>
    <w:rsid w:val="08AD581B"/>
    <w:rsid w:val="08AF4D90"/>
    <w:rsid w:val="08BB636A"/>
    <w:rsid w:val="08BC0A60"/>
    <w:rsid w:val="08BD6586"/>
    <w:rsid w:val="08C94F2B"/>
    <w:rsid w:val="08D33112"/>
    <w:rsid w:val="08D37B58"/>
    <w:rsid w:val="08E05092"/>
    <w:rsid w:val="08F17FDE"/>
    <w:rsid w:val="08F5187C"/>
    <w:rsid w:val="08FB7F22"/>
    <w:rsid w:val="08FD117F"/>
    <w:rsid w:val="090441B5"/>
    <w:rsid w:val="090D306A"/>
    <w:rsid w:val="0911242E"/>
    <w:rsid w:val="09134F41"/>
    <w:rsid w:val="092217DD"/>
    <w:rsid w:val="092E4D8E"/>
    <w:rsid w:val="09300B06"/>
    <w:rsid w:val="093A7294"/>
    <w:rsid w:val="0940376A"/>
    <w:rsid w:val="094273DC"/>
    <w:rsid w:val="094B3B92"/>
    <w:rsid w:val="09510CB4"/>
    <w:rsid w:val="0955056D"/>
    <w:rsid w:val="095742E5"/>
    <w:rsid w:val="095758A2"/>
    <w:rsid w:val="095A2027"/>
    <w:rsid w:val="095E521A"/>
    <w:rsid w:val="098350DA"/>
    <w:rsid w:val="098552F6"/>
    <w:rsid w:val="09913A13"/>
    <w:rsid w:val="099E0166"/>
    <w:rsid w:val="099E3CC2"/>
    <w:rsid w:val="09A245ED"/>
    <w:rsid w:val="09A7661F"/>
    <w:rsid w:val="09AD0E69"/>
    <w:rsid w:val="09AF2373"/>
    <w:rsid w:val="09B039F5"/>
    <w:rsid w:val="09BB0D18"/>
    <w:rsid w:val="09BD4F2F"/>
    <w:rsid w:val="09C54398"/>
    <w:rsid w:val="09CA2D09"/>
    <w:rsid w:val="09CF031F"/>
    <w:rsid w:val="09D26061"/>
    <w:rsid w:val="09D973F0"/>
    <w:rsid w:val="09DE7301"/>
    <w:rsid w:val="09E0252C"/>
    <w:rsid w:val="09E3649F"/>
    <w:rsid w:val="09F2225F"/>
    <w:rsid w:val="09F2400E"/>
    <w:rsid w:val="09F4422A"/>
    <w:rsid w:val="09F50B09"/>
    <w:rsid w:val="09F71624"/>
    <w:rsid w:val="09FE6E56"/>
    <w:rsid w:val="09FF5ECD"/>
    <w:rsid w:val="0A014251"/>
    <w:rsid w:val="0A067AB9"/>
    <w:rsid w:val="0A092BB9"/>
    <w:rsid w:val="0A0C6112"/>
    <w:rsid w:val="0A0D52EB"/>
    <w:rsid w:val="0A122902"/>
    <w:rsid w:val="0A12645E"/>
    <w:rsid w:val="0A19188B"/>
    <w:rsid w:val="0A193C90"/>
    <w:rsid w:val="0A1E4E03"/>
    <w:rsid w:val="0A24273B"/>
    <w:rsid w:val="0A263993"/>
    <w:rsid w:val="0A2A19F9"/>
    <w:rsid w:val="0A2A3A81"/>
    <w:rsid w:val="0A2C7FD3"/>
    <w:rsid w:val="0A2D3AC2"/>
    <w:rsid w:val="0A2E773B"/>
    <w:rsid w:val="0A2F386B"/>
    <w:rsid w:val="0A36039E"/>
    <w:rsid w:val="0A397E8E"/>
    <w:rsid w:val="0A3B3C06"/>
    <w:rsid w:val="0A3B6B8A"/>
    <w:rsid w:val="0A4106A1"/>
    <w:rsid w:val="0A432ABB"/>
    <w:rsid w:val="0A443D46"/>
    <w:rsid w:val="0A4E393A"/>
    <w:rsid w:val="0A516E0D"/>
    <w:rsid w:val="0A54037F"/>
    <w:rsid w:val="0A560A40"/>
    <w:rsid w:val="0A5A0EB0"/>
    <w:rsid w:val="0A5A709A"/>
    <w:rsid w:val="0A5D378E"/>
    <w:rsid w:val="0A5D556D"/>
    <w:rsid w:val="0A621193"/>
    <w:rsid w:val="0A636CB9"/>
    <w:rsid w:val="0A64315D"/>
    <w:rsid w:val="0A652A31"/>
    <w:rsid w:val="0A6776F8"/>
    <w:rsid w:val="0A6D2261"/>
    <w:rsid w:val="0A716483"/>
    <w:rsid w:val="0A747118"/>
    <w:rsid w:val="0A7B4003"/>
    <w:rsid w:val="0A7D5FCD"/>
    <w:rsid w:val="0A854E82"/>
    <w:rsid w:val="0A8D3D36"/>
    <w:rsid w:val="0A99282A"/>
    <w:rsid w:val="0A9E4B05"/>
    <w:rsid w:val="0AA755DF"/>
    <w:rsid w:val="0AAA69E4"/>
    <w:rsid w:val="0AB1211B"/>
    <w:rsid w:val="0AB2168A"/>
    <w:rsid w:val="0AB34339"/>
    <w:rsid w:val="0AB37C41"/>
    <w:rsid w:val="0ABC0D5D"/>
    <w:rsid w:val="0ABD286D"/>
    <w:rsid w:val="0ACF434F"/>
    <w:rsid w:val="0ACF7AE7"/>
    <w:rsid w:val="0AD876A7"/>
    <w:rsid w:val="0ADC17D3"/>
    <w:rsid w:val="0ADD6A6C"/>
    <w:rsid w:val="0AE26307"/>
    <w:rsid w:val="0AE93662"/>
    <w:rsid w:val="0AF30554"/>
    <w:rsid w:val="0AF3194E"/>
    <w:rsid w:val="0AF811A4"/>
    <w:rsid w:val="0AFA5870"/>
    <w:rsid w:val="0B057E05"/>
    <w:rsid w:val="0B08250A"/>
    <w:rsid w:val="0B0C10FF"/>
    <w:rsid w:val="0B120D44"/>
    <w:rsid w:val="0B13248D"/>
    <w:rsid w:val="0B1701D1"/>
    <w:rsid w:val="0B187AA4"/>
    <w:rsid w:val="0B1A7CC0"/>
    <w:rsid w:val="0B355D0C"/>
    <w:rsid w:val="0B3B5918"/>
    <w:rsid w:val="0B424B21"/>
    <w:rsid w:val="0B4B60CB"/>
    <w:rsid w:val="0B575FC8"/>
    <w:rsid w:val="0B5A00BC"/>
    <w:rsid w:val="0B5A630E"/>
    <w:rsid w:val="0B6158EF"/>
    <w:rsid w:val="0B753E53"/>
    <w:rsid w:val="0B7A42BB"/>
    <w:rsid w:val="0B84338B"/>
    <w:rsid w:val="0B922F96"/>
    <w:rsid w:val="0B927856"/>
    <w:rsid w:val="0B9463E0"/>
    <w:rsid w:val="0BA15CEB"/>
    <w:rsid w:val="0BA83BD6"/>
    <w:rsid w:val="0BAA1044"/>
    <w:rsid w:val="0BBA6DAD"/>
    <w:rsid w:val="0BC119BA"/>
    <w:rsid w:val="0BCB0FBA"/>
    <w:rsid w:val="0BCC266D"/>
    <w:rsid w:val="0BCD088E"/>
    <w:rsid w:val="0BD27BF6"/>
    <w:rsid w:val="0BE5207C"/>
    <w:rsid w:val="0BF20764"/>
    <w:rsid w:val="0BF502C6"/>
    <w:rsid w:val="0BFD6B61"/>
    <w:rsid w:val="0C0250CD"/>
    <w:rsid w:val="0C192780"/>
    <w:rsid w:val="0C1B3CF0"/>
    <w:rsid w:val="0C1C7A68"/>
    <w:rsid w:val="0C20118A"/>
    <w:rsid w:val="0C201306"/>
    <w:rsid w:val="0C230DF6"/>
    <w:rsid w:val="0C274EA9"/>
    <w:rsid w:val="0C2762D9"/>
    <w:rsid w:val="0C2A44ED"/>
    <w:rsid w:val="0C2D757F"/>
    <w:rsid w:val="0C3B3C7D"/>
    <w:rsid w:val="0C3C5A14"/>
    <w:rsid w:val="0C3D5107"/>
    <w:rsid w:val="0C3D7DED"/>
    <w:rsid w:val="0C3F7BB0"/>
    <w:rsid w:val="0C474AF2"/>
    <w:rsid w:val="0C4F3999"/>
    <w:rsid w:val="0C526FE5"/>
    <w:rsid w:val="0C587959"/>
    <w:rsid w:val="0C5B215F"/>
    <w:rsid w:val="0C5D1E9D"/>
    <w:rsid w:val="0C633BE0"/>
    <w:rsid w:val="0C692CAD"/>
    <w:rsid w:val="0C747D97"/>
    <w:rsid w:val="0C790A16"/>
    <w:rsid w:val="0C7927C4"/>
    <w:rsid w:val="0C7A0F32"/>
    <w:rsid w:val="0C7C4062"/>
    <w:rsid w:val="0C7F6C0A"/>
    <w:rsid w:val="0C8C699B"/>
    <w:rsid w:val="0C912C5C"/>
    <w:rsid w:val="0C936D5C"/>
    <w:rsid w:val="0C9777C3"/>
    <w:rsid w:val="0C99140A"/>
    <w:rsid w:val="0C994C14"/>
    <w:rsid w:val="0C9E222B"/>
    <w:rsid w:val="0CA5180B"/>
    <w:rsid w:val="0CA830A9"/>
    <w:rsid w:val="0CAA5CE1"/>
    <w:rsid w:val="0CAB2EAE"/>
    <w:rsid w:val="0CAF61E6"/>
    <w:rsid w:val="0CB63A18"/>
    <w:rsid w:val="0CBA524C"/>
    <w:rsid w:val="0CBB4B8B"/>
    <w:rsid w:val="0CCC4C4B"/>
    <w:rsid w:val="0CCE3913"/>
    <w:rsid w:val="0CCF6888"/>
    <w:rsid w:val="0CD520F0"/>
    <w:rsid w:val="0CD666EC"/>
    <w:rsid w:val="0CDA1F1F"/>
    <w:rsid w:val="0CDD71F7"/>
    <w:rsid w:val="0CDE6ACB"/>
    <w:rsid w:val="0CE75980"/>
    <w:rsid w:val="0CE9458E"/>
    <w:rsid w:val="0CEC2F96"/>
    <w:rsid w:val="0CEE1EA6"/>
    <w:rsid w:val="0CEF73D2"/>
    <w:rsid w:val="0CF81D5D"/>
    <w:rsid w:val="0CF87B8D"/>
    <w:rsid w:val="0CFB142B"/>
    <w:rsid w:val="0CFD33F5"/>
    <w:rsid w:val="0CFF54F2"/>
    <w:rsid w:val="0D044784"/>
    <w:rsid w:val="0D0E73B0"/>
    <w:rsid w:val="0D0F523E"/>
    <w:rsid w:val="0D151619"/>
    <w:rsid w:val="0D152301"/>
    <w:rsid w:val="0D1F1227"/>
    <w:rsid w:val="0D200E92"/>
    <w:rsid w:val="0D253AC7"/>
    <w:rsid w:val="0D26294C"/>
    <w:rsid w:val="0D2E1801"/>
    <w:rsid w:val="0D3517D5"/>
    <w:rsid w:val="0D3D5EE8"/>
    <w:rsid w:val="0D483D41"/>
    <w:rsid w:val="0D490C61"/>
    <w:rsid w:val="0D4C7E4E"/>
    <w:rsid w:val="0D5323DA"/>
    <w:rsid w:val="0D554FDF"/>
    <w:rsid w:val="0D58687D"/>
    <w:rsid w:val="0D5E7D23"/>
    <w:rsid w:val="0D605732"/>
    <w:rsid w:val="0D621C7D"/>
    <w:rsid w:val="0D62262A"/>
    <w:rsid w:val="0D643474"/>
    <w:rsid w:val="0D645222"/>
    <w:rsid w:val="0D676AC1"/>
    <w:rsid w:val="0D731909"/>
    <w:rsid w:val="0D7336B7"/>
    <w:rsid w:val="0D7A4A46"/>
    <w:rsid w:val="0D7C6A10"/>
    <w:rsid w:val="0D7E2E7B"/>
    <w:rsid w:val="0D814026"/>
    <w:rsid w:val="0D8238FA"/>
    <w:rsid w:val="0D870F11"/>
    <w:rsid w:val="0D874C81"/>
    <w:rsid w:val="0D8F21C5"/>
    <w:rsid w:val="0D977646"/>
    <w:rsid w:val="0D9D0E65"/>
    <w:rsid w:val="0DA10224"/>
    <w:rsid w:val="0DA675E9"/>
    <w:rsid w:val="0DAB2E51"/>
    <w:rsid w:val="0DB22432"/>
    <w:rsid w:val="0DB25F8E"/>
    <w:rsid w:val="0DB717F6"/>
    <w:rsid w:val="0DD00B0A"/>
    <w:rsid w:val="0DD62DD5"/>
    <w:rsid w:val="0DD779A6"/>
    <w:rsid w:val="0DDB093D"/>
    <w:rsid w:val="0DDE4F1D"/>
    <w:rsid w:val="0DE34153"/>
    <w:rsid w:val="0DE34399"/>
    <w:rsid w:val="0DE5117B"/>
    <w:rsid w:val="0DE545B5"/>
    <w:rsid w:val="0DE6032D"/>
    <w:rsid w:val="0DED16BC"/>
    <w:rsid w:val="0DEF69F4"/>
    <w:rsid w:val="0DF20A80"/>
    <w:rsid w:val="0DFA5B87"/>
    <w:rsid w:val="0E0C7AFE"/>
    <w:rsid w:val="0E0D6AF2"/>
    <w:rsid w:val="0E124C7E"/>
    <w:rsid w:val="0E166FCE"/>
    <w:rsid w:val="0E1A17D5"/>
    <w:rsid w:val="0E211D74"/>
    <w:rsid w:val="0E474F2A"/>
    <w:rsid w:val="0E4D215A"/>
    <w:rsid w:val="0E511C4A"/>
    <w:rsid w:val="0E5378BC"/>
    <w:rsid w:val="0E5864B3"/>
    <w:rsid w:val="0E603C3C"/>
    <w:rsid w:val="0E631DF4"/>
    <w:rsid w:val="0E6B25E0"/>
    <w:rsid w:val="0E6B438E"/>
    <w:rsid w:val="0E6B45A4"/>
    <w:rsid w:val="0E73034D"/>
    <w:rsid w:val="0E744A50"/>
    <w:rsid w:val="0E7476E7"/>
    <w:rsid w:val="0E7C6834"/>
    <w:rsid w:val="0E8679EA"/>
    <w:rsid w:val="0E87566C"/>
    <w:rsid w:val="0E8C4A31"/>
    <w:rsid w:val="0E8E1069"/>
    <w:rsid w:val="0E8E3F75"/>
    <w:rsid w:val="0E927B6D"/>
    <w:rsid w:val="0E940E56"/>
    <w:rsid w:val="0E9644C4"/>
    <w:rsid w:val="0E9658AF"/>
    <w:rsid w:val="0E96765D"/>
    <w:rsid w:val="0E9F36E7"/>
    <w:rsid w:val="0EA948C9"/>
    <w:rsid w:val="0EBC00EE"/>
    <w:rsid w:val="0EC41493"/>
    <w:rsid w:val="0EC71F0D"/>
    <w:rsid w:val="0EC95C85"/>
    <w:rsid w:val="0ED15F25"/>
    <w:rsid w:val="0ED4462A"/>
    <w:rsid w:val="0EE44AF3"/>
    <w:rsid w:val="0EE52393"/>
    <w:rsid w:val="0EE91002"/>
    <w:rsid w:val="0EEA79A9"/>
    <w:rsid w:val="0EF56A7A"/>
    <w:rsid w:val="0F024CF3"/>
    <w:rsid w:val="0F032819"/>
    <w:rsid w:val="0F046CBD"/>
    <w:rsid w:val="0F0D0F22"/>
    <w:rsid w:val="0F13775A"/>
    <w:rsid w:val="0F182F0F"/>
    <w:rsid w:val="0F186B39"/>
    <w:rsid w:val="0F1F034D"/>
    <w:rsid w:val="0F2227A9"/>
    <w:rsid w:val="0F2F360E"/>
    <w:rsid w:val="0F386966"/>
    <w:rsid w:val="0F3D5D2B"/>
    <w:rsid w:val="0F5111A6"/>
    <w:rsid w:val="0F587009"/>
    <w:rsid w:val="0F5D461F"/>
    <w:rsid w:val="0F5F45FE"/>
    <w:rsid w:val="0F657030"/>
    <w:rsid w:val="0F657DE8"/>
    <w:rsid w:val="0F6C6610"/>
    <w:rsid w:val="0F757FCC"/>
    <w:rsid w:val="0F7D081D"/>
    <w:rsid w:val="0F7F4595"/>
    <w:rsid w:val="0F824086"/>
    <w:rsid w:val="0F826BFB"/>
    <w:rsid w:val="0F953899"/>
    <w:rsid w:val="0F957915"/>
    <w:rsid w:val="0F985657"/>
    <w:rsid w:val="0F9A112B"/>
    <w:rsid w:val="0F9D5B71"/>
    <w:rsid w:val="0F9F0794"/>
    <w:rsid w:val="0FA1450C"/>
    <w:rsid w:val="0FA933C0"/>
    <w:rsid w:val="0FAB4E34"/>
    <w:rsid w:val="0FBF4992"/>
    <w:rsid w:val="0FC316EA"/>
    <w:rsid w:val="0FC85F3C"/>
    <w:rsid w:val="0FCA37D9"/>
    <w:rsid w:val="0FD22917"/>
    <w:rsid w:val="0FD73768"/>
    <w:rsid w:val="0FD820CA"/>
    <w:rsid w:val="0FDD12BC"/>
    <w:rsid w:val="0FDE750E"/>
    <w:rsid w:val="0FE120A6"/>
    <w:rsid w:val="0FE16FFE"/>
    <w:rsid w:val="0FF24D67"/>
    <w:rsid w:val="0FF7412C"/>
    <w:rsid w:val="0FF94348"/>
    <w:rsid w:val="0FFA1E6E"/>
    <w:rsid w:val="0FFC3CF9"/>
    <w:rsid w:val="10090303"/>
    <w:rsid w:val="10097D21"/>
    <w:rsid w:val="100F7D66"/>
    <w:rsid w:val="10125409"/>
    <w:rsid w:val="10143FAC"/>
    <w:rsid w:val="101A2510"/>
    <w:rsid w:val="101E7BF6"/>
    <w:rsid w:val="101F4657"/>
    <w:rsid w:val="10240C99"/>
    <w:rsid w:val="102665D2"/>
    <w:rsid w:val="102F7192"/>
    <w:rsid w:val="10321608"/>
    <w:rsid w:val="10345380"/>
    <w:rsid w:val="104135F9"/>
    <w:rsid w:val="104F29C6"/>
    <w:rsid w:val="10552B1C"/>
    <w:rsid w:val="105C6554"/>
    <w:rsid w:val="105C6BC2"/>
    <w:rsid w:val="106D2F64"/>
    <w:rsid w:val="10765998"/>
    <w:rsid w:val="107734BE"/>
    <w:rsid w:val="107C6D27"/>
    <w:rsid w:val="107F59CF"/>
    <w:rsid w:val="10806817"/>
    <w:rsid w:val="10831E63"/>
    <w:rsid w:val="10845A10"/>
    <w:rsid w:val="10857989"/>
    <w:rsid w:val="108628B1"/>
    <w:rsid w:val="108D1265"/>
    <w:rsid w:val="109127D2"/>
    <w:rsid w:val="10982F24"/>
    <w:rsid w:val="109E4EEF"/>
    <w:rsid w:val="109F048E"/>
    <w:rsid w:val="109F12F9"/>
    <w:rsid w:val="10A818CA"/>
    <w:rsid w:val="10A84707"/>
    <w:rsid w:val="10AA1601"/>
    <w:rsid w:val="10AD4B03"/>
    <w:rsid w:val="10AF4A06"/>
    <w:rsid w:val="10B17B50"/>
    <w:rsid w:val="10B63710"/>
    <w:rsid w:val="10B63C0C"/>
    <w:rsid w:val="10B86A16"/>
    <w:rsid w:val="10BB33AB"/>
    <w:rsid w:val="10BD451F"/>
    <w:rsid w:val="10BE733F"/>
    <w:rsid w:val="10C009C2"/>
    <w:rsid w:val="10C5422A"/>
    <w:rsid w:val="10D17D25"/>
    <w:rsid w:val="10DC6F8F"/>
    <w:rsid w:val="10E32902"/>
    <w:rsid w:val="10E3417A"/>
    <w:rsid w:val="10E723F2"/>
    <w:rsid w:val="10E87F18"/>
    <w:rsid w:val="10E943BC"/>
    <w:rsid w:val="10EF12A7"/>
    <w:rsid w:val="10F10820"/>
    <w:rsid w:val="10FB5E9E"/>
    <w:rsid w:val="10FC5772"/>
    <w:rsid w:val="110A4DCF"/>
    <w:rsid w:val="110D797F"/>
    <w:rsid w:val="110E055E"/>
    <w:rsid w:val="1111121D"/>
    <w:rsid w:val="111725AC"/>
    <w:rsid w:val="111C2F7A"/>
    <w:rsid w:val="111D7BC2"/>
    <w:rsid w:val="112371A2"/>
    <w:rsid w:val="112F55F3"/>
    <w:rsid w:val="11335637"/>
    <w:rsid w:val="113B4A70"/>
    <w:rsid w:val="1140317B"/>
    <w:rsid w:val="11433A97"/>
    <w:rsid w:val="11483E0A"/>
    <w:rsid w:val="11507455"/>
    <w:rsid w:val="11587AE7"/>
    <w:rsid w:val="116003F7"/>
    <w:rsid w:val="116021A5"/>
    <w:rsid w:val="11625554"/>
    <w:rsid w:val="11665CA1"/>
    <w:rsid w:val="116B3023"/>
    <w:rsid w:val="116C0B49"/>
    <w:rsid w:val="11705E6E"/>
    <w:rsid w:val="11706F49"/>
    <w:rsid w:val="11731ED8"/>
    <w:rsid w:val="11773B24"/>
    <w:rsid w:val="117B00A3"/>
    <w:rsid w:val="117B7CBC"/>
    <w:rsid w:val="117D3195"/>
    <w:rsid w:val="117D6D65"/>
    <w:rsid w:val="118557C7"/>
    <w:rsid w:val="119114EB"/>
    <w:rsid w:val="119360D6"/>
    <w:rsid w:val="11943BFC"/>
    <w:rsid w:val="11967974"/>
    <w:rsid w:val="11971413"/>
    <w:rsid w:val="11976650"/>
    <w:rsid w:val="11A03203"/>
    <w:rsid w:val="11A16A45"/>
    <w:rsid w:val="11A55E09"/>
    <w:rsid w:val="11A65EF9"/>
    <w:rsid w:val="11AC53EA"/>
    <w:rsid w:val="11AC5D7A"/>
    <w:rsid w:val="11B5429E"/>
    <w:rsid w:val="11BA7B07"/>
    <w:rsid w:val="11BD3153"/>
    <w:rsid w:val="11C55E5A"/>
    <w:rsid w:val="11C80E18"/>
    <w:rsid w:val="11CC3396"/>
    <w:rsid w:val="11CE7E08"/>
    <w:rsid w:val="11D0732A"/>
    <w:rsid w:val="11D13AA6"/>
    <w:rsid w:val="11D167DC"/>
    <w:rsid w:val="11D23A1B"/>
    <w:rsid w:val="11D64215"/>
    <w:rsid w:val="11D97AE4"/>
    <w:rsid w:val="11E93F48"/>
    <w:rsid w:val="11F1210F"/>
    <w:rsid w:val="11F50B3F"/>
    <w:rsid w:val="11FF551A"/>
    <w:rsid w:val="120D0BAC"/>
    <w:rsid w:val="12107727"/>
    <w:rsid w:val="12107D36"/>
    <w:rsid w:val="12162BF0"/>
    <w:rsid w:val="121675E9"/>
    <w:rsid w:val="12192A7F"/>
    <w:rsid w:val="121C256F"/>
    <w:rsid w:val="12245FAF"/>
    <w:rsid w:val="122570CD"/>
    <w:rsid w:val="12281C01"/>
    <w:rsid w:val="12301B77"/>
    <w:rsid w:val="12325830"/>
    <w:rsid w:val="123478B9"/>
    <w:rsid w:val="12386C7D"/>
    <w:rsid w:val="12456514"/>
    <w:rsid w:val="124A70DD"/>
    <w:rsid w:val="12543AB7"/>
    <w:rsid w:val="12565FAB"/>
    <w:rsid w:val="125735A8"/>
    <w:rsid w:val="125D0E86"/>
    <w:rsid w:val="12612198"/>
    <w:rsid w:val="126526E0"/>
    <w:rsid w:val="12660336"/>
    <w:rsid w:val="126A43E5"/>
    <w:rsid w:val="12706417"/>
    <w:rsid w:val="12732C0F"/>
    <w:rsid w:val="127465B7"/>
    <w:rsid w:val="12771554"/>
    <w:rsid w:val="127C300E"/>
    <w:rsid w:val="127C3DC5"/>
    <w:rsid w:val="127C6B6A"/>
    <w:rsid w:val="12850115"/>
    <w:rsid w:val="128916DA"/>
    <w:rsid w:val="128A74D9"/>
    <w:rsid w:val="128D0D77"/>
    <w:rsid w:val="128D6FC9"/>
    <w:rsid w:val="128D771C"/>
    <w:rsid w:val="12900868"/>
    <w:rsid w:val="12922832"/>
    <w:rsid w:val="12932D2A"/>
    <w:rsid w:val="129767DB"/>
    <w:rsid w:val="12985FB5"/>
    <w:rsid w:val="12992D55"/>
    <w:rsid w:val="1299596E"/>
    <w:rsid w:val="12A52565"/>
    <w:rsid w:val="12A760A9"/>
    <w:rsid w:val="12B46304"/>
    <w:rsid w:val="12BA34A8"/>
    <w:rsid w:val="12BB72B5"/>
    <w:rsid w:val="12BE53D5"/>
    <w:rsid w:val="12C02EFB"/>
    <w:rsid w:val="12D22C2E"/>
    <w:rsid w:val="12DF608A"/>
    <w:rsid w:val="12E05325"/>
    <w:rsid w:val="12E110C3"/>
    <w:rsid w:val="12E21EFB"/>
    <w:rsid w:val="12EA61CA"/>
    <w:rsid w:val="12EA7F14"/>
    <w:rsid w:val="12EB43C4"/>
    <w:rsid w:val="12EF37E0"/>
    <w:rsid w:val="12FA5AEA"/>
    <w:rsid w:val="130059ED"/>
    <w:rsid w:val="130318FD"/>
    <w:rsid w:val="13074598"/>
    <w:rsid w:val="130D010A"/>
    <w:rsid w:val="130F79DE"/>
    <w:rsid w:val="1316431C"/>
    <w:rsid w:val="131B45D5"/>
    <w:rsid w:val="13203999"/>
    <w:rsid w:val="13225964"/>
    <w:rsid w:val="132711CC"/>
    <w:rsid w:val="132B4976"/>
    <w:rsid w:val="132F7DF0"/>
    <w:rsid w:val="13390EFF"/>
    <w:rsid w:val="13394214"/>
    <w:rsid w:val="133A30B1"/>
    <w:rsid w:val="1340228E"/>
    <w:rsid w:val="1346119F"/>
    <w:rsid w:val="1346151B"/>
    <w:rsid w:val="134B4538"/>
    <w:rsid w:val="13531FC1"/>
    <w:rsid w:val="13534A56"/>
    <w:rsid w:val="13545D39"/>
    <w:rsid w:val="136046DE"/>
    <w:rsid w:val="13643432"/>
    <w:rsid w:val="13664FBF"/>
    <w:rsid w:val="136E0BA9"/>
    <w:rsid w:val="13737367"/>
    <w:rsid w:val="13765CAF"/>
    <w:rsid w:val="137766E8"/>
    <w:rsid w:val="137905F3"/>
    <w:rsid w:val="13822EA5"/>
    <w:rsid w:val="138403CC"/>
    <w:rsid w:val="138D7B40"/>
    <w:rsid w:val="13906D71"/>
    <w:rsid w:val="1393060F"/>
    <w:rsid w:val="13951726"/>
    <w:rsid w:val="13954387"/>
    <w:rsid w:val="13972729"/>
    <w:rsid w:val="1399374C"/>
    <w:rsid w:val="13A520F1"/>
    <w:rsid w:val="13AA5959"/>
    <w:rsid w:val="13AA66C2"/>
    <w:rsid w:val="13AA7707"/>
    <w:rsid w:val="13AC16D1"/>
    <w:rsid w:val="13B16CE7"/>
    <w:rsid w:val="13C62793"/>
    <w:rsid w:val="13D9039D"/>
    <w:rsid w:val="13DA19AE"/>
    <w:rsid w:val="13E62E35"/>
    <w:rsid w:val="13EC2F66"/>
    <w:rsid w:val="13EE6ED2"/>
    <w:rsid w:val="13F55BB2"/>
    <w:rsid w:val="140432BB"/>
    <w:rsid w:val="140A1395"/>
    <w:rsid w:val="14151024"/>
    <w:rsid w:val="14192544"/>
    <w:rsid w:val="14221120"/>
    <w:rsid w:val="142B4CEC"/>
    <w:rsid w:val="142D508B"/>
    <w:rsid w:val="14302302"/>
    <w:rsid w:val="14356B22"/>
    <w:rsid w:val="14396509"/>
    <w:rsid w:val="144052DA"/>
    <w:rsid w:val="14417417"/>
    <w:rsid w:val="14437F86"/>
    <w:rsid w:val="14496F20"/>
    <w:rsid w:val="144D69D1"/>
    <w:rsid w:val="144D6AC7"/>
    <w:rsid w:val="144E4536"/>
    <w:rsid w:val="14504752"/>
    <w:rsid w:val="14535FF1"/>
    <w:rsid w:val="14590FA4"/>
    <w:rsid w:val="146124BC"/>
    <w:rsid w:val="1461426A"/>
    <w:rsid w:val="14632AA9"/>
    <w:rsid w:val="14636A5F"/>
    <w:rsid w:val="14640F41"/>
    <w:rsid w:val="14641FAC"/>
    <w:rsid w:val="146855F8"/>
    <w:rsid w:val="146975C2"/>
    <w:rsid w:val="146B2EDA"/>
    <w:rsid w:val="147004F2"/>
    <w:rsid w:val="14711346"/>
    <w:rsid w:val="147A357D"/>
    <w:rsid w:val="14912710"/>
    <w:rsid w:val="14971778"/>
    <w:rsid w:val="14975EDD"/>
    <w:rsid w:val="14983A03"/>
    <w:rsid w:val="14A405FA"/>
    <w:rsid w:val="14B1053D"/>
    <w:rsid w:val="14B22D17"/>
    <w:rsid w:val="14BC5944"/>
    <w:rsid w:val="14BD1007"/>
    <w:rsid w:val="14C33793"/>
    <w:rsid w:val="14C42AB2"/>
    <w:rsid w:val="14CA4036"/>
    <w:rsid w:val="14CD2F2D"/>
    <w:rsid w:val="14CF38C9"/>
    <w:rsid w:val="14D41F21"/>
    <w:rsid w:val="14D64C58"/>
    <w:rsid w:val="14DB226E"/>
    <w:rsid w:val="14DD2C3C"/>
    <w:rsid w:val="14E10B7B"/>
    <w:rsid w:val="14E37DDB"/>
    <w:rsid w:val="14EC3ED4"/>
    <w:rsid w:val="14EC5AC5"/>
    <w:rsid w:val="14EF1875"/>
    <w:rsid w:val="14F57B48"/>
    <w:rsid w:val="14F926F4"/>
    <w:rsid w:val="150C68CB"/>
    <w:rsid w:val="150F7C50"/>
    <w:rsid w:val="1510766E"/>
    <w:rsid w:val="15113B97"/>
    <w:rsid w:val="15121A08"/>
    <w:rsid w:val="151614F8"/>
    <w:rsid w:val="1517701E"/>
    <w:rsid w:val="15194B44"/>
    <w:rsid w:val="15212CE3"/>
    <w:rsid w:val="15291F27"/>
    <w:rsid w:val="152C0D1B"/>
    <w:rsid w:val="15324AE0"/>
    <w:rsid w:val="153452D1"/>
    <w:rsid w:val="15387F91"/>
    <w:rsid w:val="153933C5"/>
    <w:rsid w:val="153B2D0D"/>
    <w:rsid w:val="15406575"/>
    <w:rsid w:val="154705B5"/>
    <w:rsid w:val="154725E3"/>
    <w:rsid w:val="15547ECE"/>
    <w:rsid w:val="15581B10"/>
    <w:rsid w:val="155A57B6"/>
    <w:rsid w:val="156758B0"/>
    <w:rsid w:val="15681628"/>
    <w:rsid w:val="15743B87"/>
    <w:rsid w:val="157D4AA8"/>
    <w:rsid w:val="157F52EF"/>
    <w:rsid w:val="15847E33"/>
    <w:rsid w:val="158521DA"/>
    <w:rsid w:val="158741A4"/>
    <w:rsid w:val="158F6E23"/>
    <w:rsid w:val="1598015F"/>
    <w:rsid w:val="159F14ED"/>
    <w:rsid w:val="15A563D8"/>
    <w:rsid w:val="15BE749A"/>
    <w:rsid w:val="15BF6190"/>
    <w:rsid w:val="15C05EC8"/>
    <w:rsid w:val="15C251DC"/>
    <w:rsid w:val="15C45954"/>
    <w:rsid w:val="15D02D14"/>
    <w:rsid w:val="15D62A35"/>
    <w:rsid w:val="15E74C42"/>
    <w:rsid w:val="15E769F0"/>
    <w:rsid w:val="15EA028F"/>
    <w:rsid w:val="15EC2259"/>
    <w:rsid w:val="15EE30A9"/>
    <w:rsid w:val="15F335E7"/>
    <w:rsid w:val="15FA3362"/>
    <w:rsid w:val="15FE3F1E"/>
    <w:rsid w:val="160457F4"/>
    <w:rsid w:val="16087E1D"/>
    <w:rsid w:val="160B6B83"/>
    <w:rsid w:val="16175528"/>
    <w:rsid w:val="161B669A"/>
    <w:rsid w:val="161D0664"/>
    <w:rsid w:val="16334878"/>
    <w:rsid w:val="163559AE"/>
    <w:rsid w:val="16380936"/>
    <w:rsid w:val="164107F7"/>
    <w:rsid w:val="164112E4"/>
    <w:rsid w:val="16502ABA"/>
    <w:rsid w:val="16536716"/>
    <w:rsid w:val="165C118C"/>
    <w:rsid w:val="16646231"/>
    <w:rsid w:val="16691AFB"/>
    <w:rsid w:val="166A787D"/>
    <w:rsid w:val="166D339A"/>
    <w:rsid w:val="166F578B"/>
    <w:rsid w:val="1676357B"/>
    <w:rsid w:val="1677397B"/>
    <w:rsid w:val="16797F90"/>
    <w:rsid w:val="167C0DF1"/>
    <w:rsid w:val="16815ED3"/>
    <w:rsid w:val="16893020"/>
    <w:rsid w:val="169052DA"/>
    <w:rsid w:val="169E17A5"/>
    <w:rsid w:val="16A3500D"/>
    <w:rsid w:val="16AA639C"/>
    <w:rsid w:val="16AB3EC2"/>
    <w:rsid w:val="16BA0A86"/>
    <w:rsid w:val="16BA2357"/>
    <w:rsid w:val="16CB00C0"/>
    <w:rsid w:val="16CF4DE3"/>
    <w:rsid w:val="16D52119"/>
    <w:rsid w:val="16DA0303"/>
    <w:rsid w:val="16DB4356"/>
    <w:rsid w:val="16DC407B"/>
    <w:rsid w:val="16E01DBD"/>
    <w:rsid w:val="16E15C12"/>
    <w:rsid w:val="16E64EFA"/>
    <w:rsid w:val="16EA353D"/>
    <w:rsid w:val="16EF2286"/>
    <w:rsid w:val="16EF7903"/>
    <w:rsid w:val="16F5513D"/>
    <w:rsid w:val="16F92E7F"/>
    <w:rsid w:val="16FC296F"/>
    <w:rsid w:val="16FF1DDB"/>
    <w:rsid w:val="16FF7D6A"/>
    <w:rsid w:val="17005FBC"/>
    <w:rsid w:val="170C0E1D"/>
    <w:rsid w:val="1716069D"/>
    <w:rsid w:val="17171557"/>
    <w:rsid w:val="1719456D"/>
    <w:rsid w:val="17235E23"/>
    <w:rsid w:val="172779EC"/>
    <w:rsid w:val="17281897"/>
    <w:rsid w:val="17285513"/>
    <w:rsid w:val="172D2B29"/>
    <w:rsid w:val="172F68A1"/>
    <w:rsid w:val="17301CC8"/>
    <w:rsid w:val="173043C7"/>
    <w:rsid w:val="173B5475"/>
    <w:rsid w:val="173C7F33"/>
    <w:rsid w:val="173D7210"/>
    <w:rsid w:val="173E4F6B"/>
    <w:rsid w:val="174A7237"/>
    <w:rsid w:val="175005C5"/>
    <w:rsid w:val="175400B6"/>
    <w:rsid w:val="17544559"/>
    <w:rsid w:val="175A078B"/>
    <w:rsid w:val="175B7696"/>
    <w:rsid w:val="175E0F34"/>
    <w:rsid w:val="17646B09"/>
    <w:rsid w:val="17701D14"/>
    <w:rsid w:val="17735226"/>
    <w:rsid w:val="17793FC0"/>
    <w:rsid w:val="177D585E"/>
    <w:rsid w:val="177F297E"/>
    <w:rsid w:val="17827DAF"/>
    <w:rsid w:val="17836BED"/>
    <w:rsid w:val="1788011D"/>
    <w:rsid w:val="17966920"/>
    <w:rsid w:val="179C36A9"/>
    <w:rsid w:val="179F2F2B"/>
    <w:rsid w:val="17A2667B"/>
    <w:rsid w:val="17A463C7"/>
    <w:rsid w:val="17A728DB"/>
    <w:rsid w:val="17B40D82"/>
    <w:rsid w:val="17B46DA6"/>
    <w:rsid w:val="17B60D70"/>
    <w:rsid w:val="17B629B5"/>
    <w:rsid w:val="17B97761"/>
    <w:rsid w:val="17BA0860"/>
    <w:rsid w:val="17C074F9"/>
    <w:rsid w:val="17C31A82"/>
    <w:rsid w:val="17D15BAA"/>
    <w:rsid w:val="17D252BA"/>
    <w:rsid w:val="17D44911"/>
    <w:rsid w:val="17D81EA9"/>
    <w:rsid w:val="17DE3E23"/>
    <w:rsid w:val="17E01949"/>
    <w:rsid w:val="17E05CA2"/>
    <w:rsid w:val="17E05DED"/>
    <w:rsid w:val="17F65611"/>
    <w:rsid w:val="18047D2E"/>
    <w:rsid w:val="180715CC"/>
    <w:rsid w:val="18076390"/>
    <w:rsid w:val="180A1D0F"/>
    <w:rsid w:val="180C4344"/>
    <w:rsid w:val="18117D55"/>
    <w:rsid w:val="1817268D"/>
    <w:rsid w:val="181C16C5"/>
    <w:rsid w:val="181D0DEF"/>
    <w:rsid w:val="18216F55"/>
    <w:rsid w:val="18221F62"/>
    <w:rsid w:val="18240ACE"/>
    <w:rsid w:val="1824217E"/>
    <w:rsid w:val="18251383"/>
    <w:rsid w:val="182577AE"/>
    <w:rsid w:val="182A0384"/>
    <w:rsid w:val="182A1589"/>
    <w:rsid w:val="183121A5"/>
    <w:rsid w:val="18335BB8"/>
    <w:rsid w:val="18351C95"/>
    <w:rsid w:val="183D3240"/>
    <w:rsid w:val="18453379"/>
    <w:rsid w:val="184974FD"/>
    <w:rsid w:val="184B0274"/>
    <w:rsid w:val="184C0003"/>
    <w:rsid w:val="18513D70"/>
    <w:rsid w:val="18585984"/>
    <w:rsid w:val="185F31B6"/>
    <w:rsid w:val="18626802"/>
    <w:rsid w:val="187622AE"/>
    <w:rsid w:val="18784278"/>
    <w:rsid w:val="18860D7D"/>
    <w:rsid w:val="188A5FFF"/>
    <w:rsid w:val="1890511D"/>
    <w:rsid w:val="18925339"/>
    <w:rsid w:val="18952734"/>
    <w:rsid w:val="18963BFB"/>
    <w:rsid w:val="189F624C"/>
    <w:rsid w:val="189F7A56"/>
    <w:rsid w:val="18A05D08"/>
    <w:rsid w:val="18A4506D"/>
    <w:rsid w:val="18A47F3B"/>
    <w:rsid w:val="18A70A60"/>
    <w:rsid w:val="18AC1F77"/>
    <w:rsid w:val="18AC5CCF"/>
    <w:rsid w:val="18AD2FE2"/>
    <w:rsid w:val="18BA03EC"/>
    <w:rsid w:val="18C354F3"/>
    <w:rsid w:val="18CB39A2"/>
    <w:rsid w:val="18DA0A8E"/>
    <w:rsid w:val="18E0247C"/>
    <w:rsid w:val="18E10C94"/>
    <w:rsid w:val="18E82296"/>
    <w:rsid w:val="18EC1E75"/>
    <w:rsid w:val="18F31882"/>
    <w:rsid w:val="18F774CF"/>
    <w:rsid w:val="18FD1CA1"/>
    <w:rsid w:val="18FE5C33"/>
    <w:rsid w:val="19081158"/>
    <w:rsid w:val="190B6E9A"/>
    <w:rsid w:val="190C6F25"/>
    <w:rsid w:val="190D0C78"/>
    <w:rsid w:val="19193365"/>
    <w:rsid w:val="191C10A7"/>
    <w:rsid w:val="192F2B88"/>
    <w:rsid w:val="194404DD"/>
    <w:rsid w:val="194B373A"/>
    <w:rsid w:val="194B54E8"/>
    <w:rsid w:val="194D1260"/>
    <w:rsid w:val="19502AFF"/>
    <w:rsid w:val="19566367"/>
    <w:rsid w:val="1957316B"/>
    <w:rsid w:val="195B1BCF"/>
    <w:rsid w:val="196565AA"/>
    <w:rsid w:val="196719E6"/>
    <w:rsid w:val="196A3626"/>
    <w:rsid w:val="19721C8F"/>
    <w:rsid w:val="19742D44"/>
    <w:rsid w:val="197902A7"/>
    <w:rsid w:val="197B7B7C"/>
    <w:rsid w:val="198033E4"/>
    <w:rsid w:val="19834C82"/>
    <w:rsid w:val="19882AEE"/>
    <w:rsid w:val="198A6011"/>
    <w:rsid w:val="19960E59"/>
    <w:rsid w:val="1997072D"/>
    <w:rsid w:val="199C3B09"/>
    <w:rsid w:val="19AB4380"/>
    <w:rsid w:val="19AC41D9"/>
    <w:rsid w:val="19B92850"/>
    <w:rsid w:val="19BE3F0C"/>
    <w:rsid w:val="19CF1C75"/>
    <w:rsid w:val="19D227B1"/>
    <w:rsid w:val="19D41982"/>
    <w:rsid w:val="19D64527"/>
    <w:rsid w:val="19D674A8"/>
    <w:rsid w:val="19DF45AE"/>
    <w:rsid w:val="19E67CA0"/>
    <w:rsid w:val="19EA2F53"/>
    <w:rsid w:val="19EE2A43"/>
    <w:rsid w:val="19EE582E"/>
    <w:rsid w:val="19F456F9"/>
    <w:rsid w:val="19F618F8"/>
    <w:rsid w:val="19F93196"/>
    <w:rsid w:val="19FA34BA"/>
    <w:rsid w:val="1A045DC3"/>
    <w:rsid w:val="1A091263"/>
    <w:rsid w:val="1A0933D0"/>
    <w:rsid w:val="1A0E067E"/>
    <w:rsid w:val="1A143B2C"/>
    <w:rsid w:val="1A1A3838"/>
    <w:rsid w:val="1A1B7FD5"/>
    <w:rsid w:val="1A1C66C0"/>
    <w:rsid w:val="1A236924"/>
    <w:rsid w:val="1A271AB1"/>
    <w:rsid w:val="1A277D03"/>
    <w:rsid w:val="1A2A15A2"/>
    <w:rsid w:val="1A2A6FF8"/>
    <w:rsid w:val="1A2E1092"/>
    <w:rsid w:val="1A2E2E40"/>
    <w:rsid w:val="1A332204"/>
    <w:rsid w:val="1A354793"/>
    <w:rsid w:val="1A36016C"/>
    <w:rsid w:val="1A366198"/>
    <w:rsid w:val="1A42393B"/>
    <w:rsid w:val="1A4276AF"/>
    <w:rsid w:val="1A450D00"/>
    <w:rsid w:val="1A4C1518"/>
    <w:rsid w:val="1A4C59BC"/>
    <w:rsid w:val="1A5658F8"/>
    <w:rsid w:val="1A587EBD"/>
    <w:rsid w:val="1A5E3B6D"/>
    <w:rsid w:val="1A607EA5"/>
    <w:rsid w:val="1A66082C"/>
    <w:rsid w:val="1A6D6992"/>
    <w:rsid w:val="1A73397C"/>
    <w:rsid w:val="1A7A42D7"/>
    <w:rsid w:val="1A807414"/>
    <w:rsid w:val="1AA66E7A"/>
    <w:rsid w:val="1AA67F85"/>
    <w:rsid w:val="1AAD45DE"/>
    <w:rsid w:val="1AB64BE3"/>
    <w:rsid w:val="1AB80B05"/>
    <w:rsid w:val="1ABA0B77"/>
    <w:rsid w:val="1ABB4342"/>
    <w:rsid w:val="1ABB6D6B"/>
    <w:rsid w:val="1ABC48F0"/>
    <w:rsid w:val="1ABD5F72"/>
    <w:rsid w:val="1AC3082E"/>
    <w:rsid w:val="1AC47300"/>
    <w:rsid w:val="1AC90DBB"/>
    <w:rsid w:val="1AD24661"/>
    <w:rsid w:val="1AD5150D"/>
    <w:rsid w:val="1ADC051E"/>
    <w:rsid w:val="1ADF238C"/>
    <w:rsid w:val="1ADF413A"/>
    <w:rsid w:val="1AE17EB2"/>
    <w:rsid w:val="1AE6196C"/>
    <w:rsid w:val="1AEC3646"/>
    <w:rsid w:val="1AEE25CF"/>
    <w:rsid w:val="1AF37BE5"/>
    <w:rsid w:val="1AF57E02"/>
    <w:rsid w:val="1AFA0F74"/>
    <w:rsid w:val="1AFD2812"/>
    <w:rsid w:val="1AFE38FA"/>
    <w:rsid w:val="1AFF47DC"/>
    <w:rsid w:val="1AFF658A"/>
    <w:rsid w:val="1B046F80"/>
    <w:rsid w:val="1B087B35"/>
    <w:rsid w:val="1B0B13D3"/>
    <w:rsid w:val="1B0D6EF9"/>
    <w:rsid w:val="1B174574"/>
    <w:rsid w:val="1B177D78"/>
    <w:rsid w:val="1B1D66B9"/>
    <w:rsid w:val="1B2270BF"/>
    <w:rsid w:val="1B267FBB"/>
    <w:rsid w:val="1B2B3823"/>
    <w:rsid w:val="1B2D6FD2"/>
    <w:rsid w:val="1B3267B5"/>
    <w:rsid w:val="1B334486"/>
    <w:rsid w:val="1B3721C8"/>
    <w:rsid w:val="1B3E3557"/>
    <w:rsid w:val="1B3F2E2B"/>
    <w:rsid w:val="1B40161D"/>
    <w:rsid w:val="1B441859"/>
    <w:rsid w:val="1B483E67"/>
    <w:rsid w:val="1B4F7512"/>
    <w:rsid w:val="1B5468D6"/>
    <w:rsid w:val="1B5C48BD"/>
    <w:rsid w:val="1B5C52F5"/>
    <w:rsid w:val="1B5C578B"/>
    <w:rsid w:val="1B5D67A3"/>
    <w:rsid w:val="1B5E19CF"/>
    <w:rsid w:val="1B5F448C"/>
    <w:rsid w:val="1B6606B1"/>
    <w:rsid w:val="1B6B4041"/>
    <w:rsid w:val="1B6D5BEA"/>
    <w:rsid w:val="1B6F3710"/>
    <w:rsid w:val="1B746F78"/>
    <w:rsid w:val="1B754A9E"/>
    <w:rsid w:val="1B7725C5"/>
    <w:rsid w:val="1B774D45"/>
    <w:rsid w:val="1B7C5A23"/>
    <w:rsid w:val="1B824429"/>
    <w:rsid w:val="1B854CE1"/>
    <w:rsid w:val="1B977D90"/>
    <w:rsid w:val="1B9D5DED"/>
    <w:rsid w:val="1BA27D36"/>
    <w:rsid w:val="1BA33FC4"/>
    <w:rsid w:val="1BA57132"/>
    <w:rsid w:val="1BA809D0"/>
    <w:rsid w:val="1BAB226E"/>
    <w:rsid w:val="1BB43819"/>
    <w:rsid w:val="1BB5686B"/>
    <w:rsid w:val="1BB9498B"/>
    <w:rsid w:val="1BC05D1A"/>
    <w:rsid w:val="1BC31CAE"/>
    <w:rsid w:val="1BCC11CE"/>
    <w:rsid w:val="1BE63742"/>
    <w:rsid w:val="1BEC38FA"/>
    <w:rsid w:val="1BF260EF"/>
    <w:rsid w:val="1C0227D6"/>
    <w:rsid w:val="1C0A0989"/>
    <w:rsid w:val="1C0C0F5F"/>
    <w:rsid w:val="1C13053F"/>
    <w:rsid w:val="1C1846B4"/>
    <w:rsid w:val="1C1B5646"/>
    <w:rsid w:val="1C1E0C92"/>
    <w:rsid w:val="1C210118"/>
    <w:rsid w:val="1C284AF5"/>
    <w:rsid w:val="1C2A5889"/>
    <w:rsid w:val="1C3A1F70"/>
    <w:rsid w:val="1C3B1844"/>
    <w:rsid w:val="1C3E30E2"/>
    <w:rsid w:val="1C46380A"/>
    <w:rsid w:val="1C4C3A51"/>
    <w:rsid w:val="1C4E71BE"/>
    <w:rsid w:val="1C5016D6"/>
    <w:rsid w:val="1C5126B8"/>
    <w:rsid w:val="1C5617FA"/>
    <w:rsid w:val="1C5E7925"/>
    <w:rsid w:val="1C64085A"/>
    <w:rsid w:val="1C683FA7"/>
    <w:rsid w:val="1C69015F"/>
    <w:rsid w:val="1C6917AC"/>
    <w:rsid w:val="1C6B037B"/>
    <w:rsid w:val="1C6E1C1A"/>
    <w:rsid w:val="1C7654F3"/>
    <w:rsid w:val="1C7D1E5D"/>
    <w:rsid w:val="1C7D71C4"/>
    <w:rsid w:val="1C7F3E27"/>
    <w:rsid w:val="1C821221"/>
    <w:rsid w:val="1C847C8D"/>
    <w:rsid w:val="1C850D11"/>
    <w:rsid w:val="1C864762"/>
    <w:rsid w:val="1C876837"/>
    <w:rsid w:val="1C8943F6"/>
    <w:rsid w:val="1C8C6544"/>
    <w:rsid w:val="1C8E5E18"/>
    <w:rsid w:val="1C906820"/>
    <w:rsid w:val="1C934695"/>
    <w:rsid w:val="1C962F1E"/>
    <w:rsid w:val="1C967D41"/>
    <w:rsid w:val="1CA150CB"/>
    <w:rsid w:val="1CA473E9"/>
    <w:rsid w:val="1CA64748"/>
    <w:rsid w:val="1CAE2016"/>
    <w:rsid w:val="1CB03FE0"/>
    <w:rsid w:val="1CB16FFC"/>
    <w:rsid w:val="1CB25FAA"/>
    <w:rsid w:val="1CC61A56"/>
    <w:rsid w:val="1CCB1BEA"/>
    <w:rsid w:val="1CCF6B59"/>
    <w:rsid w:val="1CD13F56"/>
    <w:rsid w:val="1CD53A47"/>
    <w:rsid w:val="1CD72FDB"/>
    <w:rsid w:val="1CDB4B7F"/>
    <w:rsid w:val="1CDC4DD5"/>
    <w:rsid w:val="1CDD6D9F"/>
    <w:rsid w:val="1CE13846"/>
    <w:rsid w:val="1CE32A5E"/>
    <w:rsid w:val="1CEB14BC"/>
    <w:rsid w:val="1CEE0AE4"/>
    <w:rsid w:val="1CEF6506"/>
    <w:rsid w:val="1CF245F9"/>
    <w:rsid w:val="1CF3211F"/>
    <w:rsid w:val="1CF616E5"/>
    <w:rsid w:val="1CFA525B"/>
    <w:rsid w:val="1CFD070F"/>
    <w:rsid w:val="1D036806"/>
    <w:rsid w:val="1D0600A4"/>
    <w:rsid w:val="1D0B56BA"/>
    <w:rsid w:val="1D11539C"/>
    <w:rsid w:val="1D117452"/>
    <w:rsid w:val="1D1722B1"/>
    <w:rsid w:val="1D17405F"/>
    <w:rsid w:val="1D2247B2"/>
    <w:rsid w:val="1D28001A"/>
    <w:rsid w:val="1D305121"/>
    <w:rsid w:val="1D306ECF"/>
    <w:rsid w:val="1D43117C"/>
    <w:rsid w:val="1D4B1F5B"/>
    <w:rsid w:val="1D4B5AB7"/>
    <w:rsid w:val="1D4D7A81"/>
    <w:rsid w:val="1D547F1B"/>
    <w:rsid w:val="1D5801D4"/>
    <w:rsid w:val="1D5F6196"/>
    <w:rsid w:val="1D60233E"/>
    <w:rsid w:val="1D6132A5"/>
    <w:rsid w:val="1D785CC2"/>
    <w:rsid w:val="1D7F4ED6"/>
    <w:rsid w:val="1D8611E5"/>
    <w:rsid w:val="1D8E56D5"/>
    <w:rsid w:val="1D901B97"/>
    <w:rsid w:val="1D9B4C90"/>
    <w:rsid w:val="1D9D3ED0"/>
    <w:rsid w:val="1DA43419"/>
    <w:rsid w:val="1DAB6D83"/>
    <w:rsid w:val="1DB45B06"/>
    <w:rsid w:val="1DB56858"/>
    <w:rsid w:val="1DB57D82"/>
    <w:rsid w:val="1DBE1A03"/>
    <w:rsid w:val="1DBE272D"/>
    <w:rsid w:val="1DBF7253"/>
    <w:rsid w:val="1DC15D79"/>
    <w:rsid w:val="1DC55869"/>
    <w:rsid w:val="1DC75A85"/>
    <w:rsid w:val="1DD17E23"/>
    <w:rsid w:val="1DDA003B"/>
    <w:rsid w:val="1DE2466D"/>
    <w:rsid w:val="1DE45D04"/>
    <w:rsid w:val="1DE83C3F"/>
    <w:rsid w:val="1DEC54EC"/>
    <w:rsid w:val="1DEC706D"/>
    <w:rsid w:val="1DEF6D8A"/>
    <w:rsid w:val="1DF26F3D"/>
    <w:rsid w:val="1DF47EFC"/>
    <w:rsid w:val="1DFC3DAF"/>
    <w:rsid w:val="1E0335B9"/>
    <w:rsid w:val="1E0740D4"/>
    <w:rsid w:val="1E0A5C67"/>
    <w:rsid w:val="1E0B5246"/>
    <w:rsid w:val="1E0C4801"/>
    <w:rsid w:val="1E0E450A"/>
    <w:rsid w:val="1E124827"/>
    <w:rsid w:val="1E1467F1"/>
    <w:rsid w:val="1E162569"/>
    <w:rsid w:val="1E1B7B7F"/>
    <w:rsid w:val="1E2A5D43"/>
    <w:rsid w:val="1E2B7E0D"/>
    <w:rsid w:val="1E2E2CDE"/>
    <w:rsid w:val="1E31059F"/>
    <w:rsid w:val="1E326C77"/>
    <w:rsid w:val="1E3C6B7B"/>
    <w:rsid w:val="1E432C32"/>
    <w:rsid w:val="1E491296"/>
    <w:rsid w:val="1E4D538F"/>
    <w:rsid w:val="1E5D0198"/>
    <w:rsid w:val="1E6257AE"/>
    <w:rsid w:val="1E64093C"/>
    <w:rsid w:val="1E7A2AF8"/>
    <w:rsid w:val="1E7A43DA"/>
    <w:rsid w:val="1E861030"/>
    <w:rsid w:val="1E8A6C52"/>
    <w:rsid w:val="1E8D490C"/>
    <w:rsid w:val="1E923683"/>
    <w:rsid w:val="1E933AF2"/>
    <w:rsid w:val="1E967C94"/>
    <w:rsid w:val="1E982F7E"/>
    <w:rsid w:val="1EA01E32"/>
    <w:rsid w:val="1EAA2CB1"/>
    <w:rsid w:val="1EAE0073"/>
    <w:rsid w:val="1EB52427"/>
    <w:rsid w:val="1EB633D3"/>
    <w:rsid w:val="1EBC7552"/>
    <w:rsid w:val="1EBF6312"/>
    <w:rsid w:val="1ECB1201"/>
    <w:rsid w:val="1ECB3353"/>
    <w:rsid w:val="1ECE2E43"/>
    <w:rsid w:val="1ED31A89"/>
    <w:rsid w:val="1ED4373A"/>
    <w:rsid w:val="1ED97CE5"/>
    <w:rsid w:val="1EDC2CC2"/>
    <w:rsid w:val="1EE066D3"/>
    <w:rsid w:val="1EE7180F"/>
    <w:rsid w:val="1EE73F05"/>
    <w:rsid w:val="1EF33837"/>
    <w:rsid w:val="1EF82045"/>
    <w:rsid w:val="1F040613"/>
    <w:rsid w:val="1F0B7A54"/>
    <w:rsid w:val="1F130856"/>
    <w:rsid w:val="1F170A41"/>
    <w:rsid w:val="1F1A3993"/>
    <w:rsid w:val="1F1A4B11"/>
    <w:rsid w:val="1F1D7927"/>
    <w:rsid w:val="1F1E7C64"/>
    <w:rsid w:val="1F200CB6"/>
    <w:rsid w:val="1F26058A"/>
    <w:rsid w:val="1F262338"/>
    <w:rsid w:val="1F2B5BA0"/>
    <w:rsid w:val="1F3225AD"/>
    <w:rsid w:val="1F330F4D"/>
    <w:rsid w:val="1F332147"/>
    <w:rsid w:val="1F3507CD"/>
    <w:rsid w:val="1F394761"/>
    <w:rsid w:val="1F4B7FF0"/>
    <w:rsid w:val="1F572E39"/>
    <w:rsid w:val="1F5844BB"/>
    <w:rsid w:val="1F5B4E40"/>
    <w:rsid w:val="1F5C044F"/>
    <w:rsid w:val="1F666BD8"/>
    <w:rsid w:val="1F6F0182"/>
    <w:rsid w:val="1F707A57"/>
    <w:rsid w:val="1F780608"/>
    <w:rsid w:val="1F78690B"/>
    <w:rsid w:val="1F811C64"/>
    <w:rsid w:val="1F874453"/>
    <w:rsid w:val="1F8D0A6D"/>
    <w:rsid w:val="1F903C55"/>
    <w:rsid w:val="1F915D98"/>
    <w:rsid w:val="1F925C1F"/>
    <w:rsid w:val="1F971487"/>
    <w:rsid w:val="1F974FE3"/>
    <w:rsid w:val="1F9768A6"/>
    <w:rsid w:val="1FA91429"/>
    <w:rsid w:val="1FAA740D"/>
    <w:rsid w:val="1FB07AC3"/>
    <w:rsid w:val="1FB355EB"/>
    <w:rsid w:val="1FB40B92"/>
    <w:rsid w:val="1FB77434"/>
    <w:rsid w:val="1FBA6F24"/>
    <w:rsid w:val="1FBD5916"/>
    <w:rsid w:val="1FC13134"/>
    <w:rsid w:val="1FC57DA2"/>
    <w:rsid w:val="1FC61D6D"/>
    <w:rsid w:val="1FCA360B"/>
    <w:rsid w:val="1FD16DFB"/>
    <w:rsid w:val="1FD46237"/>
    <w:rsid w:val="1FD55B0C"/>
    <w:rsid w:val="1FDC50EC"/>
    <w:rsid w:val="1FE12702"/>
    <w:rsid w:val="1FE3647B"/>
    <w:rsid w:val="1FE47FFE"/>
    <w:rsid w:val="1FE7539E"/>
    <w:rsid w:val="1FE81CE3"/>
    <w:rsid w:val="1FEB532F"/>
    <w:rsid w:val="1FF227DB"/>
    <w:rsid w:val="1FF64400"/>
    <w:rsid w:val="1FF86BEF"/>
    <w:rsid w:val="20036B1D"/>
    <w:rsid w:val="20036C4E"/>
    <w:rsid w:val="20085EE1"/>
    <w:rsid w:val="200C1136"/>
    <w:rsid w:val="200D2F2F"/>
    <w:rsid w:val="200F455B"/>
    <w:rsid w:val="20162293"/>
    <w:rsid w:val="20175D40"/>
    <w:rsid w:val="20190771"/>
    <w:rsid w:val="201A112B"/>
    <w:rsid w:val="2020322B"/>
    <w:rsid w:val="20283AB1"/>
    <w:rsid w:val="202D3B9A"/>
    <w:rsid w:val="204038CD"/>
    <w:rsid w:val="20421A6C"/>
    <w:rsid w:val="20452A2B"/>
    <w:rsid w:val="20470D0B"/>
    <w:rsid w:val="20476E39"/>
    <w:rsid w:val="20541126"/>
    <w:rsid w:val="2057365A"/>
    <w:rsid w:val="20586E69"/>
    <w:rsid w:val="205E0630"/>
    <w:rsid w:val="20647389"/>
    <w:rsid w:val="20651585"/>
    <w:rsid w:val="20671BE0"/>
    <w:rsid w:val="206770AC"/>
    <w:rsid w:val="207001F0"/>
    <w:rsid w:val="207806E2"/>
    <w:rsid w:val="20783067"/>
    <w:rsid w:val="207922E0"/>
    <w:rsid w:val="207B35E0"/>
    <w:rsid w:val="2080016D"/>
    <w:rsid w:val="2081016A"/>
    <w:rsid w:val="208337BA"/>
    <w:rsid w:val="20867C82"/>
    <w:rsid w:val="208A2733"/>
    <w:rsid w:val="208B2E53"/>
    <w:rsid w:val="208D58E4"/>
    <w:rsid w:val="20903634"/>
    <w:rsid w:val="20961159"/>
    <w:rsid w:val="2096173F"/>
    <w:rsid w:val="20963CB8"/>
    <w:rsid w:val="20971013"/>
    <w:rsid w:val="20994D8B"/>
    <w:rsid w:val="20A81A1B"/>
    <w:rsid w:val="20A94CEF"/>
    <w:rsid w:val="20AC0F62"/>
    <w:rsid w:val="20AC4ABE"/>
    <w:rsid w:val="20AF2801"/>
    <w:rsid w:val="20B07FB6"/>
    <w:rsid w:val="20B366A3"/>
    <w:rsid w:val="20B61DE1"/>
    <w:rsid w:val="20B646FB"/>
    <w:rsid w:val="20BA2413"/>
    <w:rsid w:val="20BD0520"/>
    <w:rsid w:val="20BD124F"/>
    <w:rsid w:val="20BE47F2"/>
    <w:rsid w:val="20BE5BD1"/>
    <w:rsid w:val="20CC08EC"/>
    <w:rsid w:val="20CC6F0F"/>
    <w:rsid w:val="20D14525"/>
    <w:rsid w:val="20D32E33"/>
    <w:rsid w:val="20D65FDF"/>
    <w:rsid w:val="20DD55C0"/>
    <w:rsid w:val="20E17005"/>
    <w:rsid w:val="20E223FB"/>
    <w:rsid w:val="20E26732"/>
    <w:rsid w:val="20E73D48"/>
    <w:rsid w:val="20EA55E7"/>
    <w:rsid w:val="20F46465"/>
    <w:rsid w:val="20FB5A46"/>
    <w:rsid w:val="20FB77F4"/>
    <w:rsid w:val="21015009"/>
    <w:rsid w:val="21026DD4"/>
    <w:rsid w:val="21050673"/>
    <w:rsid w:val="21091F11"/>
    <w:rsid w:val="2110329F"/>
    <w:rsid w:val="21184954"/>
    <w:rsid w:val="211A2370"/>
    <w:rsid w:val="21221225"/>
    <w:rsid w:val="21254871"/>
    <w:rsid w:val="212A1E87"/>
    <w:rsid w:val="21333432"/>
    <w:rsid w:val="213B74B1"/>
    <w:rsid w:val="214011AE"/>
    <w:rsid w:val="214178FD"/>
    <w:rsid w:val="214210C5"/>
    <w:rsid w:val="2145768F"/>
    <w:rsid w:val="2146548E"/>
    <w:rsid w:val="21486EDD"/>
    <w:rsid w:val="21493266"/>
    <w:rsid w:val="21500A96"/>
    <w:rsid w:val="215104A1"/>
    <w:rsid w:val="21597E73"/>
    <w:rsid w:val="215A1B85"/>
    <w:rsid w:val="215A2310"/>
    <w:rsid w:val="216058A9"/>
    <w:rsid w:val="21645399"/>
    <w:rsid w:val="216B17B1"/>
    <w:rsid w:val="217001E2"/>
    <w:rsid w:val="21731A80"/>
    <w:rsid w:val="21747CD2"/>
    <w:rsid w:val="21756DFF"/>
    <w:rsid w:val="217575A6"/>
    <w:rsid w:val="217A6BD0"/>
    <w:rsid w:val="217C26E3"/>
    <w:rsid w:val="217C34DD"/>
    <w:rsid w:val="217D645B"/>
    <w:rsid w:val="217E3D2F"/>
    <w:rsid w:val="217F0425"/>
    <w:rsid w:val="217F7202"/>
    <w:rsid w:val="218617B3"/>
    <w:rsid w:val="218A6FE3"/>
    <w:rsid w:val="218B6DCA"/>
    <w:rsid w:val="218D2B42"/>
    <w:rsid w:val="218D48F0"/>
    <w:rsid w:val="21933ED0"/>
    <w:rsid w:val="219C0FD7"/>
    <w:rsid w:val="21A25EC1"/>
    <w:rsid w:val="21A30EF9"/>
    <w:rsid w:val="21AB736B"/>
    <w:rsid w:val="21AE4D4A"/>
    <w:rsid w:val="21B207FA"/>
    <w:rsid w:val="21B225A8"/>
    <w:rsid w:val="21B300CF"/>
    <w:rsid w:val="21B52099"/>
    <w:rsid w:val="21BA36BB"/>
    <w:rsid w:val="21BC3427"/>
    <w:rsid w:val="21BE0F4D"/>
    <w:rsid w:val="21C61BB0"/>
    <w:rsid w:val="21C753AB"/>
    <w:rsid w:val="21CC5A37"/>
    <w:rsid w:val="21DB2BAA"/>
    <w:rsid w:val="21DC7625"/>
    <w:rsid w:val="21DE318A"/>
    <w:rsid w:val="21DF66D2"/>
    <w:rsid w:val="21E12E8E"/>
    <w:rsid w:val="21E7078F"/>
    <w:rsid w:val="21E707D6"/>
    <w:rsid w:val="21EF5B80"/>
    <w:rsid w:val="21F229A5"/>
    <w:rsid w:val="21F66BB3"/>
    <w:rsid w:val="22082E2B"/>
    <w:rsid w:val="220936AA"/>
    <w:rsid w:val="220B1CB9"/>
    <w:rsid w:val="220D3C83"/>
    <w:rsid w:val="22162B37"/>
    <w:rsid w:val="221E19EC"/>
    <w:rsid w:val="222114DC"/>
    <w:rsid w:val="222C5DDA"/>
    <w:rsid w:val="222F59A7"/>
    <w:rsid w:val="22310B3B"/>
    <w:rsid w:val="22324DB9"/>
    <w:rsid w:val="223261EB"/>
    <w:rsid w:val="22330BA6"/>
    <w:rsid w:val="22344E21"/>
    <w:rsid w:val="22350AE4"/>
    <w:rsid w:val="223E208E"/>
    <w:rsid w:val="2245341D"/>
    <w:rsid w:val="224F1BA5"/>
    <w:rsid w:val="22511DC1"/>
    <w:rsid w:val="22576990"/>
    <w:rsid w:val="22590C76"/>
    <w:rsid w:val="225C42C2"/>
    <w:rsid w:val="2261736A"/>
    <w:rsid w:val="22695B2D"/>
    <w:rsid w:val="226B2757"/>
    <w:rsid w:val="226D1E71"/>
    <w:rsid w:val="2274785E"/>
    <w:rsid w:val="227B5090"/>
    <w:rsid w:val="227E692E"/>
    <w:rsid w:val="22813D29"/>
    <w:rsid w:val="22847ED9"/>
    <w:rsid w:val="2288457A"/>
    <w:rsid w:val="228C2DF9"/>
    <w:rsid w:val="228D0920"/>
    <w:rsid w:val="229920C2"/>
    <w:rsid w:val="229A6618"/>
    <w:rsid w:val="22A31868"/>
    <w:rsid w:val="22A939AC"/>
    <w:rsid w:val="22B81E40"/>
    <w:rsid w:val="22B97967"/>
    <w:rsid w:val="22C40CFD"/>
    <w:rsid w:val="22CD6F6E"/>
    <w:rsid w:val="22CF0F38"/>
    <w:rsid w:val="22D4654E"/>
    <w:rsid w:val="22D52EF9"/>
    <w:rsid w:val="22D65567"/>
    <w:rsid w:val="22DB78DD"/>
    <w:rsid w:val="22E838FB"/>
    <w:rsid w:val="22EE5862"/>
    <w:rsid w:val="22F32E79"/>
    <w:rsid w:val="22F47480"/>
    <w:rsid w:val="230230BC"/>
    <w:rsid w:val="230A01C2"/>
    <w:rsid w:val="23152DEF"/>
    <w:rsid w:val="231D7EF5"/>
    <w:rsid w:val="23235910"/>
    <w:rsid w:val="2329689A"/>
    <w:rsid w:val="232C0139"/>
    <w:rsid w:val="23307C29"/>
    <w:rsid w:val="23492A98"/>
    <w:rsid w:val="2351194D"/>
    <w:rsid w:val="23575EA4"/>
    <w:rsid w:val="23580F2E"/>
    <w:rsid w:val="235E66B3"/>
    <w:rsid w:val="23645B24"/>
    <w:rsid w:val="23663BE5"/>
    <w:rsid w:val="23675615"/>
    <w:rsid w:val="23690A46"/>
    <w:rsid w:val="236B2A0F"/>
    <w:rsid w:val="236D2C2B"/>
    <w:rsid w:val="23795A60"/>
    <w:rsid w:val="237B68CE"/>
    <w:rsid w:val="237B69CA"/>
    <w:rsid w:val="237C03D1"/>
    <w:rsid w:val="237F295E"/>
    <w:rsid w:val="23807B6F"/>
    <w:rsid w:val="23816F6B"/>
    <w:rsid w:val="238735C1"/>
    <w:rsid w:val="238C0BD7"/>
    <w:rsid w:val="23A31D0C"/>
    <w:rsid w:val="23B51EDC"/>
    <w:rsid w:val="23B819CC"/>
    <w:rsid w:val="23B9280E"/>
    <w:rsid w:val="23B947F2"/>
    <w:rsid w:val="23C6233B"/>
    <w:rsid w:val="23CA4E29"/>
    <w:rsid w:val="23D031BA"/>
    <w:rsid w:val="23D245E4"/>
    <w:rsid w:val="23DC3749"/>
    <w:rsid w:val="23DE1C48"/>
    <w:rsid w:val="23F724F4"/>
    <w:rsid w:val="23FC7B0B"/>
    <w:rsid w:val="23FF13A9"/>
    <w:rsid w:val="240210CD"/>
    <w:rsid w:val="24022A5E"/>
    <w:rsid w:val="240370EB"/>
    <w:rsid w:val="240B2444"/>
    <w:rsid w:val="2418292E"/>
    <w:rsid w:val="2419690F"/>
    <w:rsid w:val="241B4109"/>
    <w:rsid w:val="241F1A4B"/>
    <w:rsid w:val="242670A6"/>
    <w:rsid w:val="2432749A"/>
    <w:rsid w:val="24354CFE"/>
    <w:rsid w:val="243D2C55"/>
    <w:rsid w:val="243D5AF5"/>
    <w:rsid w:val="243E45C7"/>
    <w:rsid w:val="243F7B71"/>
    <w:rsid w:val="24401886"/>
    <w:rsid w:val="2443573A"/>
    <w:rsid w:val="24443260"/>
    <w:rsid w:val="244517FB"/>
    <w:rsid w:val="244A1193"/>
    <w:rsid w:val="24540AD8"/>
    <w:rsid w:val="24561911"/>
    <w:rsid w:val="245711E5"/>
    <w:rsid w:val="245979BA"/>
    <w:rsid w:val="245C67FB"/>
    <w:rsid w:val="245E2E7B"/>
    <w:rsid w:val="24681EC0"/>
    <w:rsid w:val="246D27B7"/>
    <w:rsid w:val="247B1137"/>
    <w:rsid w:val="247D50F0"/>
    <w:rsid w:val="247E2C16"/>
    <w:rsid w:val="24822706"/>
    <w:rsid w:val="24855D52"/>
    <w:rsid w:val="24857B00"/>
    <w:rsid w:val="248829BB"/>
    <w:rsid w:val="24883A94"/>
    <w:rsid w:val="248A15BB"/>
    <w:rsid w:val="248D4C07"/>
    <w:rsid w:val="24912949"/>
    <w:rsid w:val="2492046F"/>
    <w:rsid w:val="24973CD7"/>
    <w:rsid w:val="249964C7"/>
    <w:rsid w:val="249B7324"/>
    <w:rsid w:val="24A17659"/>
    <w:rsid w:val="24A3214B"/>
    <w:rsid w:val="24A3442A"/>
    <w:rsid w:val="24A472A2"/>
    <w:rsid w:val="24A70ECC"/>
    <w:rsid w:val="24B108F5"/>
    <w:rsid w:val="24BF09F7"/>
    <w:rsid w:val="24C22B02"/>
    <w:rsid w:val="24C50845"/>
    <w:rsid w:val="24C543A1"/>
    <w:rsid w:val="24C85C3F"/>
    <w:rsid w:val="24D665AE"/>
    <w:rsid w:val="24D90223"/>
    <w:rsid w:val="24DE4DFC"/>
    <w:rsid w:val="24DF2007"/>
    <w:rsid w:val="24E55B1F"/>
    <w:rsid w:val="24EA02AB"/>
    <w:rsid w:val="24EC120C"/>
    <w:rsid w:val="24F876E9"/>
    <w:rsid w:val="24FB22EB"/>
    <w:rsid w:val="24FE5B05"/>
    <w:rsid w:val="250255F5"/>
    <w:rsid w:val="25070E5D"/>
    <w:rsid w:val="250B2CAC"/>
    <w:rsid w:val="251130A9"/>
    <w:rsid w:val="25113A8A"/>
    <w:rsid w:val="25115838"/>
    <w:rsid w:val="251B0465"/>
    <w:rsid w:val="25205A7B"/>
    <w:rsid w:val="252217F3"/>
    <w:rsid w:val="252512E3"/>
    <w:rsid w:val="252B36FA"/>
    <w:rsid w:val="252C08C4"/>
    <w:rsid w:val="252C3AF3"/>
    <w:rsid w:val="252D53FE"/>
    <w:rsid w:val="252F2DF5"/>
    <w:rsid w:val="25367D05"/>
    <w:rsid w:val="253F55D6"/>
    <w:rsid w:val="254016A1"/>
    <w:rsid w:val="2540611D"/>
    <w:rsid w:val="25464C90"/>
    <w:rsid w:val="2547125A"/>
    <w:rsid w:val="254E25E8"/>
    <w:rsid w:val="25513E86"/>
    <w:rsid w:val="255319AC"/>
    <w:rsid w:val="255D6CCF"/>
    <w:rsid w:val="255E3CBB"/>
    <w:rsid w:val="25691020"/>
    <w:rsid w:val="256E7B72"/>
    <w:rsid w:val="257066B4"/>
    <w:rsid w:val="25710DD0"/>
    <w:rsid w:val="257954FC"/>
    <w:rsid w:val="257F05A8"/>
    <w:rsid w:val="258C0D15"/>
    <w:rsid w:val="258C4EBE"/>
    <w:rsid w:val="259E35AA"/>
    <w:rsid w:val="25AA05B3"/>
    <w:rsid w:val="25B52667"/>
    <w:rsid w:val="25B53E66"/>
    <w:rsid w:val="25C4538A"/>
    <w:rsid w:val="25C7239A"/>
    <w:rsid w:val="25CB59E7"/>
    <w:rsid w:val="25D223DA"/>
    <w:rsid w:val="25D46A07"/>
    <w:rsid w:val="25D95944"/>
    <w:rsid w:val="25EC2D81"/>
    <w:rsid w:val="25F926A0"/>
    <w:rsid w:val="25F96315"/>
    <w:rsid w:val="26057784"/>
    <w:rsid w:val="260845C9"/>
    <w:rsid w:val="26121868"/>
    <w:rsid w:val="26175287"/>
    <w:rsid w:val="261832FF"/>
    <w:rsid w:val="26183390"/>
    <w:rsid w:val="261A76E2"/>
    <w:rsid w:val="262B35AA"/>
    <w:rsid w:val="26306192"/>
    <w:rsid w:val="263C18BA"/>
    <w:rsid w:val="263C4B36"/>
    <w:rsid w:val="263C7F80"/>
    <w:rsid w:val="26554B29"/>
    <w:rsid w:val="26557651"/>
    <w:rsid w:val="265D11E3"/>
    <w:rsid w:val="2661459D"/>
    <w:rsid w:val="2668592C"/>
    <w:rsid w:val="266876DA"/>
    <w:rsid w:val="266D4CF0"/>
    <w:rsid w:val="266F0A68"/>
    <w:rsid w:val="26740258"/>
    <w:rsid w:val="267B565F"/>
    <w:rsid w:val="267C13D7"/>
    <w:rsid w:val="267F67D1"/>
    <w:rsid w:val="26821B69"/>
    <w:rsid w:val="26877A00"/>
    <w:rsid w:val="26887CDD"/>
    <w:rsid w:val="268A0D1E"/>
    <w:rsid w:val="268B33C8"/>
    <w:rsid w:val="269009DE"/>
    <w:rsid w:val="26993D37"/>
    <w:rsid w:val="269E30FB"/>
    <w:rsid w:val="26A10E3D"/>
    <w:rsid w:val="26AD716D"/>
    <w:rsid w:val="26AF5308"/>
    <w:rsid w:val="26B26BA7"/>
    <w:rsid w:val="26B532BF"/>
    <w:rsid w:val="26B53AC2"/>
    <w:rsid w:val="26BB16C9"/>
    <w:rsid w:val="26BB5EEA"/>
    <w:rsid w:val="26BC3919"/>
    <w:rsid w:val="26BF0015"/>
    <w:rsid w:val="26C8461C"/>
    <w:rsid w:val="26C95EE2"/>
    <w:rsid w:val="26D20FF7"/>
    <w:rsid w:val="26D42FC1"/>
    <w:rsid w:val="26D62895"/>
    <w:rsid w:val="26DA72D5"/>
    <w:rsid w:val="26E256DE"/>
    <w:rsid w:val="26E34FB2"/>
    <w:rsid w:val="26E36D60"/>
    <w:rsid w:val="26E71D38"/>
    <w:rsid w:val="26EB0CFF"/>
    <w:rsid w:val="26EC030B"/>
    <w:rsid w:val="26ED5E31"/>
    <w:rsid w:val="26EE4083"/>
    <w:rsid w:val="26EF5362"/>
    <w:rsid w:val="26FE1DEC"/>
    <w:rsid w:val="26FE72C7"/>
    <w:rsid w:val="27057925"/>
    <w:rsid w:val="271433BD"/>
    <w:rsid w:val="27165388"/>
    <w:rsid w:val="271D1426"/>
    <w:rsid w:val="272730F1"/>
    <w:rsid w:val="27295433"/>
    <w:rsid w:val="272F6AF6"/>
    <w:rsid w:val="2735156F"/>
    <w:rsid w:val="27383550"/>
    <w:rsid w:val="274C2B57"/>
    <w:rsid w:val="274E51A4"/>
    <w:rsid w:val="276205CD"/>
    <w:rsid w:val="27624129"/>
    <w:rsid w:val="27684CFA"/>
    <w:rsid w:val="276A50FE"/>
    <w:rsid w:val="276F6228"/>
    <w:rsid w:val="277057A2"/>
    <w:rsid w:val="27710810"/>
    <w:rsid w:val="27731DE8"/>
    <w:rsid w:val="27790766"/>
    <w:rsid w:val="278247CB"/>
    <w:rsid w:val="27870033"/>
    <w:rsid w:val="2788080E"/>
    <w:rsid w:val="278B7B24"/>
    <w:rsid w:val="278E3170"/>
    <w:rsid w:val="279544FE"/>
    <w:rsid w:val="27AB5454"/>
    <w:rsid w:val="27AC335A"/>
    <w:rsid w:val="27AE736E"/>
    <w:rsid w:val="27B92B32"/>
    <w:rsid w:val="27BB3DDD"/>
    <w:rsid w:val="27BE4B1D"/>
    <w:rsid w:val="27C923FA"/>
    <w:rsid w:val="27C941A8"/>
    <w:rsid w:val="27CA7BEF"/>
    <w:rsid w:val="27CC3C98"/>
    <w:rsid w:val="27CC5A46"/>
    <w:rsid w:val="27D364F8"/>
    <w:rsid w:val="27DF7940"/>
    <w:rsid w:val="27E234BC"/>
    <w:rsid w:val="27E56B08"/>
    <w:rsid w:val="27EC60E8"/>
    <w:rsid w:val="27F54F9D"/>
    <w:rsid w:val="27F60D15"/>
    <w:rsid w:val="27FC457D"/>
    <w:rsid w:val="28043432"/>
    <w:rsid w:val="28096EB3"/>
    <w:rsid w:val="280B656E"/>
    <w:rsid w:val="280E2503"/>
    <w:rsid w:val="2811359A"/>
    <w:rsid w:val="281D6811"/>
    <w:rsid w:val="281E204D"/>
    <w:rsid w:val="28215D92"/>
    <w:rsid w:val="282619A3"/>
    <w:rsid w:val="2832687D"/>
    <w:rsid w:val="283828E8"/>
    <w:rsid w:val="283A50A6"/>
    <w:rsid w:val="28414686"/>
    <w:rsid w:val="28445F24"/>
    <w:rsid w:val="284A110F"/>
    <w:rsid w:val="28506677"/>
    <w:rsid w:val="28522822"/>
    <w:rsid w:val="28553C8E"/>
    <w:rsid w:val="2859257E"/>
    <w:rsid w:val="28601FDB"/>
    <w:rsid w:val="28602B64"/>
    <w:rsid w:val="28605180"/>
    <w:rsid w:val="286B75ED"/>
    <w:rsid w:val="286E6AFD"/>
    <w:rsid w:val="286E6B3B"/>
    <w:rsid w:val="28777EEE"/>
    <w:rsid w:val="288310E2"/>
    <w:rsid w:val="288759BA"/>
    <w:rsid w:val="288A7DDB"/>
    <w:rsid w:val="288B76AF"/>
    <w:rsid w:val="288D78CB"/>
    <w:rsid w:val="289522DC"/>
    <w:rsid w:val="289C1AC0"/>
    <w:rsid w:val="28A168D1"/>
    <w:rsid w:val="28A40771"/>
    <w:rsid w:val="28B46C06"/>
    <w:rsid w:val="28BE0636"/>
    <w:rsid w:val="28BE5C95"/>
    <w:rsid w:val="28C8445F"/>
    <w:rsid w:val="28D40A96"/>
    <w:rsid w:val="28D76D98"/>
    <w:rsid w:val="28DF17A9"/>
    <w:rsid w:val="28E219C5"/>
    <w:rsid w:val="28E61253"/>
    <w:rsid w:val="28EA6ACC"/>
    <w:rsid w:val="28F8625F"/>
    <w:rsid w:val="28F9286B"/>
    <w:rsid w:val="28FB0D3B"/>
    <w:rsid w:val="28FC05AD"/>
    <w:rsid w:val="290208B0"/>
    <w:rsid w:val="29022065"/>
    <w:rsid w:val="290A06F0"/>
    <w:rsid w:val="290B0003"/>
    <w:rsid w:val="291229A2"/>
    <w:rsid w:val="29147C8F"/>
    <w:rsid w:val="2919115F"/>
    <w:rsid w:val="29192F0D"/>
    <w:rsid w:val="291E72D3"/>
    <w:rsid w:val="29206EB8"/>
    <w:rsid w:val="292813A2"/>
    <w:rsid w:val="292C49EE"/>
    <w:rsid w:val="292D0766"/>
    <w:rsid w:val="292E22DB"/>
    <w:rsid w:val="292E7C8A"/>
    <w:rsid w:val="29310257"/>
    <w:rsid w:val="29361D11"/>
    <w:rsid w:val="293B2E83"/>
    <w:rsid w:val="29417F3D"/>
    <w:rsid w:val="29595666"/>
    <w:rsid w:val="295B52D4"/>
    <w:rsid w:val="295E3016"/>
    <w:rsid w:val="296168BE"/>
    <w:rsid w:val="2961705D"/>
    <w:rsid w:val="296B7852"/>
    <w:rsid w:val="29744DF6"/>
    <w:rsid w:val="29752839"/>
    <w:rsid w:val="297D349C"/>
    <w:rsid w:val="297E0FC2"/>
    <w:rsid w:val="297E7214"/>
    <w:rsid w:val="29847B4F"/>
    <w:rsid w:val="29874881"/>
    <w:rsid w:val="298A36D3"/>
    <w:rsid w:val="298A5BB9"/>
    <w:rsid w:val="298E56A9"/>
    <w:rsid w:val="298F711A"/>
    <w:rsid w:val="299046D4"/>
    <w:rsid w:val="29915E31"/>
    <w:rsid w:val="29984596"/>
    <w:rsid w:val="299A22A0"/>
    <w:rsid w:val="29A61117"/>
    <w:rsid w:val="29A7676B"/>
    <w:rsid w:val="29AF3D4D"/>
    <w:rsid w:val="29AF561F"/>
    <w:rsid w:val="29B669AE"/>
    <w:rsid w:val="29BF5862"/>
    <w:rsid w:val="29C323D4"/>
    <w:rsid w:val="29D02E18"/>
    <w:rsid w:val="29DE0731"/>
    <w:rsid w:val="29E325E0"/>
    <w:rsid w:val="29EC23D0"/>
    <w:rsid w:val="29EF3D8C"/>
    <w:rsid w:val="29FB79AB"/>
    <w:rsid w:val="29FF0355"/>
    <w:rsid w:val="2A0239A1"/>
    <w:rsid w:val="2A032407"/>
    <w:rsid w:val="2A0616E3"/>
    <w:rsid w:val="2A077209"/>
    <w:rsid w:val="2A111E36"/>
    <w:rsid w:val="2A1273FB"/>
    <w:rsid w:val="2A16744D"/>
    <w:rsid w:val="2A1E522B"/>
    <w:rsid w:val="2A1F27A5"/>
    <w:rsid w:val="2A224043"/>
    <w:rsid w:val="2A297180"/>
    <w:rsid w:val="2A363D2E"/>
    <w:rsid w:val="2A443FBA"/>
    <w:rsid w:val="2A447531"/>
    <w:rsid w:val="2A452503"/>
    <w:rsid w:val="2A453DA4"/>
    <w:rsid w:val="2A46319B"/>
    <w:rsid w:val="2A4E308A"/>
    <w:rsid w:val="2A585CB7"/>
    <w:rsid w:val="2A596F1F"/>
    <w:rsid w:val="2A5C08DB"/>
    <w:rsid w:val="2A634428"/>
    <w:rsid w:val="2A691F35"/>
    <w:rsid w:val="2A6B59EA"/>
    <w:rsid w:val="2A7228D5"/>
    <w:rsid w:val="2A781EB5"/>
    <w:rsid w:val="2A7D127A"/>
    <w:rsid w:val="2A7F3244"/>
    <w:rsid w:val="2A816FBC"/>
    <w:rsid w:val="2A830F86"/>
    <w:rsid w:val="2A836E9F"/>
    <w:rsid w:val="2A862824"/>
    <w:rsid w:val="2A8820F8"/>
    <w:rsid w:val="2A8E16D9"/>
    <w:rsid w:val="2A967095"/>
    <w:rsid w:val="2A9860B3"/>
    <w:rsid w:val="2A9D383D"/>
    <w:rsid w:val="2AA01927"/>
    <w:rsid w:val="2AA060CC"/>
    <w:rsid w:val="2AA5385F"/>
    <w:rsid w:val="2AAE128C"/>
    <w:rsid w:val="2AAE4B78"/>
    <w:rsid w:val="2AAE69E0"/>
    <w:rsid w:val="2AB033FD"/>
    <w:rsid w:val="2ABA760D"/>
    <w:rsid w:val="2ABB0720"/>
    <w:rsid w:val="2ABF1892"/>
    <w:rsid w:val="2AC24226"/>
    <w:rsid w:val="2AC375D4"/>
    <w:rsid w:val="2ACB1B5C"/>
    <w:rsid w:val="2ACD3758"/>
    <w:rsid w:val="2ACD7E07"/>
    <w:rsid w:val="2AD73080"/>
    <w:rsid w:val="2ADE4C65"/>
    <w:rsid w:val="2AE00186"/>
    <w:rsid w:val="2AE8703B"/>
    <w:rsid w:val="2AEA4B61"/>
    <w:rsid w:val="2AEA6272"/>
    <w:rsid w:val="2AED6E40"/>
    <w:rsid w:val="2AF75775"/>
    <w:rsid w:val="2B05199B"/>
    <w:rsid w:val="2B053D5F"/>
    <w:rsid w:val="2B0B4AD7"/>
    <w:rsid w:val="2B14398C"/>
    <w:rsid w:val="2B2303E8"/>
    <w:rsid w:val="2B2B6F28"/>
    <w:rsid w:val="2B2E6011"/>
    <w:rsid w:val="2B31027F"/>
    <w:rsid w:val="2B361B54"/>
    <w:rsid w:val="2B365FF8"/>
    <w:rsid w:val="2B406E77"/>
    <w:rsid w:val="2B430715"/>
    <w:rsid w:val="2B550B72"/>
    <w:rsid w:val="2B5B15BB"/>
    <w:rsid w:val="2B5E72FD"/>
    <w:rsid w:val="2B626DED"/>
    <w:rsid w:val="2B667F60"/>
    <w:rsid w:val="2B6C5721"/>
    <w:rsid w:val="2B6C7A10"/>
    <w:rsid w:val="2B6E5792"/>
    <w:rsid w:val="2B6F4038"/>
    <w:rsid w:val="2B705804"/>
    <w:rsid w:val="2B715282"/>
    <w:rsid w:val="2B716C91"/>
    <w:rsid w:val="2B7663F5"/>
    <w:rsid w:val="2B797443"/>
    <w:rsid w:val="2B7D5129"/>
    <w:rsid w:val="2B7D7783"/>
    <w:rsid w:val="2B7E56FB"/>
    <w:rsid w:val="2B7E67D4"/>
    <w:rsid w:val="2B8054C5"/>
    <w:rsid w:val="2B856638"/>
    <w:rsid w:val="2B8A6344"/>
    <w:rsid w:val="2B8D373E"/>
    <w:rsid w:val="2B8E1990"/>
    <w:rsid w:val="2B9351F9"/>
    <w:rsid w:val="2B94005B"/>
    <w:rsid w:val="2B97729C"/>
    <w:rsid w:val="2B9975D1"/>
    <w:rsid w:val="2BA411B4"/>
    <w:rsid w:val="2BA4617C"/>
    <w:rsid w:val="2BA47F0E"/>
    <w:rsid w:val="2BA936A8"/>
    <w:rsid w:val="2BAF4E76"/>
    <w:rsid w:val="2BB313F7"/>
    <w:rsid w:val="2BB3210D"/>
    <w:rsid w:val="2BB84C5F"/>
    <w:rsid w:val="2BC9034B"/>
    <w:rsid w:val="2BCB0852"/>
    <w:rsid w:val="2BD4136D"/>
    <w:rsid w:val="2BD80E5D"/>
    <w:rsid w:val="2BD96984"/>
    <w:rsid w:val="2BDF21EC"/>
    <w:rsid w:val="2BE56DE3"/>
    <w:rsid w:val="2BE63897"/>
    <w:rsid w:val="2BEE68D3"/>
    <w:rsid w:val="2BEF7F55"/>
    <w:rsid w:val="2BF832AE"/>
    <w:rsid w:val="2BFC0FF0"/>
    <w:rsid w:val="2BFC4B0F"/>
    <w:rsid w:val="2C027C88"/>
    <w:rsid w:val="2C0C0B07"/>
    <w:rsid w:val="2C155C0E"/>
    <w:rsid w:val="2C163734"/>
    <w:rsid w:val="2C1B0D4A"/>
    <w:rsid w:val="2C1F4CDE"/>
    <w:rsid w:val="2C1F6A8C"/>
    <w:rsid w:val="2C2045B2"/>
    <w:rsid w:val="2C22657D"/>
    <w:rsid w:val="2C29790B"/>
    <w:rsid w:val="2C2D7EEF"/>
    <w:rsid w:val="2C315A5A"/>
    <w:rsid w:val="2C365B84"/>
    <w:rsid w:val="2C3A38C6"/>
    <w:rsid w:val="2C3B319A"/>
    <w:rsid w:val="2C3C2D18"/>
    <w:rsid w:val="2C421A4F"/>
    <w:rsid w:val="2C464019"/>
    <w:rsid w:val="2C4B1C25"/>
    <w:rsid w:val="2C57491F"/>
    <w:rsid w:val="2C5C49F7"/>
    <w:rsid w:val="2C5D5807"/>
    <w:rsid w:val="2C6F0A0B"/>
    <w:rsid w:val="2C707240"/>
    <w:rsid w:val="2C7D37B3"/>
    <w:rsid w:val="2C866B0B"/>
    <w:rsid w:val="2C872A6D"/>
    <w:rsid w:val="2C8B4122"/>
    <w:rsid w:val="2C923702"/>
    <w:rsid w:val="2C97336C"/>
    <w:rsid w:val="2C98683F"/>
    <w:rsid w:val="2C9A25B7"/>
    <w:rsid w:val="2CA62D0A"/>
    <w:rsid w:val="2CA71209"/>
    <w:rsid w:val="2CAF7012"/>
    <w:rsid w:val="2CB61A5F"/>
    <w:rsid w:val="2CB660D6"/>
    <w:rsid w:val="2CBC307A"/>
    <w:rsid w:val="2CC56979"/>
    <w:rsid w:val="2CC6186D"/>
    <w:rsid w:val="2CCB09C2"/>
    <w:rsid w:val="2CCD473A"/>
    <w:rsid w:val="2CCE10F8"/>
    <w:rsid w:val="2CD21D51"/>
    <w:rsid w:val="2CD53F28"/>
    <w:rsid w:val="2CD5539D"/>
    <w:rsid w:val="2CD63AAE"/>
    <w:rsid w:val="2CD66D68"/>
    <w:rsid w:val="2CD930DF"/>
    <w:rsid w:val="2CDA1BE8"/>
    <w:rsid w:val="2CE470F2"/>
    <w:rsid w:val="2CE61358"/>
    <w:rsid w:val="2CE657FC"/>
    <w:rsid w:val="2CE83322"/>
    <w:rsid w:val="2CF9552F"/>
    <w:rsid w:val="2CFB6F8F"/>
    <w:rsid w:val="2CFC41F4"/>
    <w:rsid w:val="2D0068BE"/>
    <w:rsid w:val="2D0143E4"/>
    <w:rsid w:val="2D062840"/>
    <w:rsid w:val="2D074C87"/>
    <w:rsid w:val="2D087520"/>
    <w:rsid w:val="2D095047"/>
    <w:rsid w:val="2D0F4D53"/>
    <w:rsid w:val="2D110FC4"/>
    <w:rsid w:val="2D1C121E"/>
    <w:rsid w:val="2D1C7470"/>
    <w:rsid w:val="2D25724E"/>
    <w:rsid w:val="2D2B33A6"/>
    <w:rsid w:val="2D2F71A3"/>
    <w:rsid w:val="2D360531"/>
    <w:rsid w:val="2D3B5192"/>
    <w:rsid w:val="2D3C366E"/>
    <w:rsid w:val="2D3E2F42"/>
    <w:rsid w:val="2D3F0BD9"/>
    <w:rsid w:val="2D430559"/>
    <w:rsid w:val="2D460049"/>
    <w:rsid w:val="2D480265"/>
    <w:rsid w:val="2D4B565F"/>
    <w:rsid w:val="2D4E5E92"/>
    <w:rsid w:val="2D572256"/>
    <w:rsid w:val="2D595FCE"/>
    <w:rsid w:val="2D5C786C"/>
    <w:rsid w:val="2D614EEF"/>
    <w:rsid w:val="2D616C31"/>
    <w:rsid w:val="2D652BC5"/>
    <w:rsid w:val="2D72482E"/>
    <w:rsid w:val="2D796670"/>
    <w:rsid w:val="2D83129D"/>
    <w:rsid w:val="2D8813F3"/>
    <w:rsid w:val="2D8B7F3A"/>
    <w:rsid w:val="2D8C49DC"/>
    <w:rsid w:val="2D8F7C42"/>
    <w:rsid w:val="2D940DB4"/>
    <w:rsid w:val="2D990AC0"/>
    <w:rsid w:val="2D9E56F5"/>
    <w:rsid w:val="2DA74F8B"/>
    <w:rsid w:val="2DA800FA"/>
    <w:rsid w:val="2DB60670"/>
    <w:rsid w:val="2DB651CE"/>
    <w:rsid w:val="2DB73D70"/>
    <w:rsid w:val="2DB94CBF"/>
    <w:rsid w:val="2DC01BA9"/>
    <w:rsid w:val="2DCE52E4"/>
    <w:rsid w:val="2DD45655"/>
    <w:rsid w:val="2DD92044"/>
    <w:rsid w:val="2DDA15BD"/>
    <w:rsid w:val="2DDD09AD"/>
    <w:rsid w:val="2DDE64D3"/>
    <w:rsid w:val="2DE24215"/>
    <w:rsid w:val="2DE41D3C"/>
    <w:rsid w:val="2DE7182C"/>
    <w:rsid w:val="2DE955A4"/>
    <w:rsid w:val="2DEC308B"/>
    <w:rsid w:val="2DF126AA"/>
    <w:rsid w:val="2DF950BB"/>
    <w:rsid w:val="2E0979F4"/>
    <w:rsid w:val="2E0E4BBE"/>
    <w:rsid w:val="2E132621"/>
    <w:rsid w:val="2E1343CF"/>
    <w:rsid w:val="2E1E1492"/>
    <w:rsid w:val="2E1F6373"/>
    <w:rsid w:val="2E267445"/>
    <w:rsid w:val="2E2B796A"/>
    <w:rsid w:val="2E2D6DDD"/>
    <w:rsid w:val="2E3108A3"/>
    <w:rsid w:val="2E340DCB"/>
    <w:rsid w:val="2E3658B9"/>
    <w:rsid w:val="2E3B3926"/>
    <w:rsid w:val="2E3B743A"/>
    <w:rsid w:val="2E3F6F72"/>
    <w:rsid w:val="2E462D64"/>
    <w:rsid w:val="2E4C5B33"/>
    <w:rsid w:val="2E50117F"/>
    <w:rsid w:val="2E541E94"/>
    <w:rsid w:val="2E596304"/>
    <w:rsid w:val="2E5C7A80"/>
    <w:rsid w:val="2E625356"/>
    <w:rsid w:val="2E642E7C"/>
    <w:rsid w:val="2E667F96"/>
    <w:rsid w:val="2E6D5A02"/>
    <w:rsid w:val="2E731311"/>
    <w:rsid w:val="2E732CBC"/>
    <w:rsid w:val="2E734E6D"/>
    <w:rsid w:val="2E762651"/>
    <w:rsid w:val="2E7A26A0"/>
    <w:rsid w:val="2E7B1F74"/>
    <w:rsid w:val="2E7C5ADB"/>
    <w:rsid w:val="2E8005CC"/>
    <w:rsid w:val="2E8226AB"/>
    <w:rsid w:val="2E8452CD"/>
    <w:rsid w:val="2E882AA2"/>
    <w:rsid w:val="2E884DBD"/>
    <w:rsid w:val="2E894691"/>
    <w:rsid w:val="2E8E7EF9"/>
    <w:rsid w:val="2E913546"/>
    <w:rsid w:val="2E953036"/>
    <w:rsid w:val="2E9865E3"/>
    <w:rsid w:val="2E9A4AF0"/>
    <w:rsid w:val="2E9C2616"/>
    <w:rsid w:val="2E9E6274"/>
    <w:rsid w:val="2EAB2859"/>
    <w:rsid w:val="2EB23BE8"/>
    <w:rsid w:val="2EB4358B"/>
    <w:rsid w:val="2EBD1794"/>
    <w:rsid w:val="2EBD3C1D"/>
    <w:rsid w:val="2EC7218B"/>
    <w:rsid w:val="2EC76F67"/>
    <w:rsid w:val="2ED05311"/>
    <w:rsid w:val="2ED20D19"/>
    <w:rsid w:val="2EDC2A13"/>
    <w:rsid w:val="2EDF0755"/>
    <w:rsid w:val="2EE15714"/>
    <w:rsid w:val="2EE23DA1"/>
    <w:rsid w:val="2EE315AC"/>
    <w:rsid w:val="2EEA5520"/>
    <w:rsid w:val="2EF22482"/>
    <w:rsid w:val="2EF43956"/>
    <w:rsid w:val="2EF813AC"/>
    <w:rsid w:val="2EF824B3"/>
    <w:rsid w:val="2EF97A69"/>
    <w:rsid w:val="2F02582B"/>
    <w:rsid w:val="2F0361F1"/>
    <w:rsid w:val="2F091059"/>
    <w:rsid w:val="2F092F3C"/>
    <w:rsid w:val="2F0C651A"/>
    <w:rsid w:val="2F0D0D54"/>
    <w:rsid w:val="2F0F2AFC"/>
    <w:rsid w:val="2F1273BC"/>
    <w:rsid w:val="2F133481"/>
    <w:rsid w:val="2F1523C9"/>
    <w:rsid w:val="2F1C5505"/>
    <w:rsid w:val="2F201022"/>
    <w:rsid w:val="2F23266D"/>
    <w:rsid w:val="2F2F1BF5"/>
    <w:rsid w:val="2F331C81"/>
    <w:rsid w:val="2F372D50"/>
    <w:rsid w:val="2F40122E"/>
    <w:rsid w:val="2F4607D4"/>
    <w:rsid w:val="2F4A02C4"/>
    <w:rsid w:val="2F4A3E20"/>
    <w:rsid w:val="2F5527C5"/>
    <w:rsid w:val="2F5E1127"/>
    <w:rsid w:val="2F5E167A"/>
    <w:rsid w:val="2F637F91"/>
    <w:rsid w:val="2F697366"/>
    <w:rsid w:val="2F713AA3"/>
    <w:rsid w:val="2F7470EF"/>
    <w:rsid w:val="2F807842"/>
    <w:rsid w:val="2F865112"/>
    <w:rsid w:val="2F8951B2"/>
    <w:rsid w:val="2F8C4439"/>
    <w:rsid w:val="2F963509"/>
    <w:rsid w:val="2F974B8C"/>
    <w:rsid w:val="2F990904"/>
    <w:rsid w:val="2F9B79DA"/>
    <w:rsid w:val="2FA05C2B"/>
    <w:rsid w:val="2FA31782"/>
    <w:rsid w:val="2FA572A9"/>
    <w:rsid w:val="2FA77F0B"/>
    <w:rsid w:val="2FAC4ADB"/>
    <w:rsid w:val="2FB67708"/>
    <w:rsid w:val="2FB83480"/>
    <w:rsid w:val="2FBC45F2"/>
    <w:rsid w:val="2FC516F9"/>
    <w:rsid w:val="2FC8343D"/>
    <w:rsid w:val="2FCC78E9"/>
    <w:rsid w:val="2FCD4A51"/>
    <w:rsid w:val="2FCE6DEF"/>
    <w:rsid w:val="2FD065E6"/>
    <w:rsid w:val="2FD22068"/>
    <w:rsid w:val="2FD602BF"/>
    <w:rsid w:val="2FD935ED"/>
    <w:rsid w:val="2FD96870"/>
    <w:rsid w:val="2FDC6A42"/>
    <w:rsid w:val="2FE14059"/>
    <w:rsid w:val="2FE37DD1"/>
    <w:rsid w:val="2FEA0FE9"/>
    <w:rsid w:val="2FEF72DA"/>
    <w:rsid w:val="2FF0698E"/>
    <w:rsid w:val="2FFB15BE"/>
    <w:rsid w:val="300555CC"/>
    <w:rsid w:val="30057C02"/>
    <w:rsid w:val="300F0BC6"/>
    <w:rsid w:val="30182170"/>
    <w:rsid w:val="30191C64"/>
    <w:rsid w:val="301B62F3"/>
    <w:rsid w:val="30264334"/>
    <w:rsid w:val="302A6F6F"/>
    <w:rsid w:val="3034687E"/>
    <w:rsid w:val="30354AD0"/>
    <w:rsid w:val="30395C43"/>
    <w:rsid w:val="303D5733"/>
    <w:rsid w:val="303F76FD"/>
    <w:rsid w:val="30406FD1"/>
    <w:rsid w:val="30421FF7"/>
    <w:rsid w:val="30580BC9"/>
    <w:rsid w:val="305E0778"/>
    <w:rsid w:val="30607673"/>
    <w:rsid w:val="30615D13"/>
    <w:rsid w:val="306929CC"/>
    <w:rsid w:val="3069477A"/>
    <w:rsid w:val="306C7DC6"/>
    <w:rsid w:val="307153DD"/>
    <w:rsid w:val="30717AD3"/>
    <w:rsid w:val="30744ECD"/>
    <w:rsid w:val="307D0225"/>
    <w:rsid w:val="308D45AF"/>
    <w:rsid w:val="308E41E1"/>
    <w:rsid w:val="308F062E"/>
    <w:rsid w:val="30913CD1"/>
    <w:rsid w:val="3095556F"/>
    <w:rsid w:val="309B06AC"/>
    <w:rsid w:val="309C68FD"/>
    <w:rsid w:val="309D1B37"/>
    <w:rsid w:val="30A532D8"/>
    <w:rsid w:val="30A849A8"/>
    <w:rsid w:val="30AE4883"/>
    <w:rsid w:val="30B356A2"/>
    <w:rsid w:val="30B4002F"/>
    <w:rsid w:val="30B84529"/>
    <w:rsid w:val="30BA6D84"/>
    <w:rsid w:val="30C43B08"/>
    <w:rsid w:val="30CC4D09"/>
    <w:rsid w:val="30CE0A81"/>
    <w:rsid w:val="30D320BD"/>
    <w:rsid w:val="30D4212B"/>
    <w:rsid w:val="30DC4E9A"/>
    <w:rsid w:val="30EB518F"/>
    <w:rsid w:val="30EC5240"/>
    <w:rsid w:val="30F54260"/>
    <w:rsid w:val="310149B3"/>
    <w:rsid w:val="31046C43"/>
    <w:rsid w:val="31092890"/>
    <w:rsid w:val="311741D6"/>
    <w:rsid w:val="311C17EC"/>
    <w:rsid w:val="311E2ED7"/>
    <w:rsid w:val="311F0FAA"/>
    <w:rsid w:val="312344DF"/>
    <w:rsid w:val="31256607"/>
    <w:rsid w:val="31292053"/>
    <w:rsid w:val="31293AB6"/>
    <w:rsid w:val="312A215B"/>
    <w:rsid w:val="312A311A"/>
    <w:rsid w:val="31300B2E"/>
    <w:rsid w:val="3131346A"/>
    <w:rsid w:val="31344D88"/>
    <w:rsid w:val="31370CF0"/>
    <w:rsid w:val="3148438F"/>
    <w:rsid w:val="3149541A"/>
    <w:rsid w:val="314B0324"/>
    <w:rsid w:val="314D409C"/>
    <w:rsid w:val="31505F30"/>
    <w:rsid w:val="315619EE"/>
    <w:rsid w:val="31592A40"/>
    <w:rsid w:val="315C449C"/>
    <w:rsid w:val="315C7E9F"/>
    <w:rsid w:val="31605B7D"/>
    <w:rsid w:val="31684AA4"/>
    <w:rsid w:val="316A69FC"/>
    <w:rsid w:val="316F392C"/>
    <w:rsid w:val="317A4765"/>
    <w:rsid w:val="317E24A7"/>
    <w:rsid w:val="317F1D7B"/>
    <w:rsid w:val="31864EB8"/>
    <w:rsid w:val="31882F82"/>
    <w:rsid w:val="318848C0"/>
    <w:rsid w:val="318F1FBE"/>
    <w:rsid w:val="31936DFD"/>
    <w:rsid w:val="31994BEB"/>
    <w:rsid w:val="319C302E"/>
    <w:rsid w:val="31A00FB3"/>
    <w:rsid w:val="31A0241D"/>
    <w:rsid w:val="31AA6DF8"/>
    <w:rsid w:val="31AF440F"/>
    <w:rsid w:val="31B3446B"/>
    <w:rsid w:val="31B5579D"/>
    <w:rsid w:val="31B82709"/>
    <w:rsid w:val="31BE7835"/>
    <w:rsid w:val="31C13ED0"/>
    <w:rsid w:val="31C205E6"/>
    <w:rsid w:val="31CA1248"/>
    <w:rsid w:val="31D05482"/>
    <w:rsid w:val="31D74E48"/>
    <w:rsid w:val="31E22A36"/>
    <w:rsid w:val="31E24A78"/>
    <w:rsid w:val="31E40A5B"/>
    <w:rsid w:val="31E82AB3"/>
    <w:rsid w:val="31EF6F01"/>
    <w:rsid w:val="31F44517"/>
    <w:rsid w:val="31F65EB1"/>
    <w:rsid w:val="31F665E8"/>
    <w:rsid w:val="31F7440B"/>
    <w:rsid w:val="32004C6A"/>
    <w:rsid w:val="320504D2"/>
    <w:rsid w:val="3206092D"/>
    <w:rsid w:val="320F30FF"/>
    <w:rsid w:val="3210784B"/>
    <w:rsid w:val="32183566"/>
    <w:rsid w:val="321E1594"/>
    <w:rsid w:val="322070BA"/>
    <w:rsid w:val="32264603"/>
    <w:rsid w:val="322D7368"/>
    <w:rsid w:val="32335040"/>
    <w:rsid w:val="32342B66"/>
    <w:rsid w:val="323A65B8"/>
    <w:rsid w:val="323C1FC8"/>
    <w:rsid w:val="323D6EED"/>
    <w:rsid w:val="32400B34"/>
    <w:rsid w:val="32451796"/>
    <w:rsid w:val="32472899"/>
    <w:rsid w:val="32495726"/>
    <w:rsid w:val="324A4137"/>
    <w:rsid w:val="324A55FD"/>
    <w:rsid w:val="324F58D8"/>
    <w:rsid w:val="324F5BF1"/>
    <w:rsid w:val="32513718"/>
    <w:rsid w:val="325167B6"/>
    <w:rsid w:val="32536CC0"/>
    <w:rsid w:val="32570EF9"/>
    <w:rsid w:val="325925CC"/>
    <w:rsid w:val="32601BAD"/>
    <w:rsid w:val="32630C08"/>
    <w:rsid w:val="326E6078"/>
    <w:rsid w:val="32717916"/>
    <w:rsid w:val="32786EF6"/>
    <w:rsid w:val="327C08CF"/>
    <w:rsid w:val="327F2033"/>
    <w:rsid w:val="328408AA"/>
    <w:rsid w:val="328C29A2"/>
    <w:rsid w:val="32951856"/>
    <w:rsid w:val="329769BD"/>
    <w:rsid w:val="329E6876"/>
    <w:rsid w:val="32A13281"/>
    <w:rsid w:val="32A25D21"/>
    <w:rsid w:val="32A47CEB"/>
    <w:rsid w:val="32A81629"/>
    <w:rsid w:val="32AD2F28"/>
    <w:rsid w:val="32B45635"/>
    <w:rsid w:val="32BB0AB8"/>
    <w:rsid w:val="32BB6DE3"/>
    <w:rsid w:val="32BC3287"/>
    <w:rsid w:val="32C37B36"/>
    <w:rsid w:val="32C428D3"/>
    <w:rsid w:val="32CC50EE"/>
    <w:rsid w:val="32CE2FBA"/>
    <w:rsid w:val="32D95FDB"/>
    <w:rsid w:val="32E4633A"/>
    <w:rsid w:val="32E57A1E"/>
    <w:rsid w:val="32E61D73"/>
    <w:rsid w:val="32E75E2A"/>
    <w:rsid w:val="32E93950"/>
    <w:rsid w:val="32EE6A32"/>
    <w:rsid w:val="32F02F31"/>
    <w:rsid w:val="32F21E9F"/>
    <w:rsid w:val="33057D4F"/>
    <w:rsid w:val="33062754"/>
    <w:rsid w:val="330C4325"/>
    <w:rsid w:val="3310712F"/>
    <w:rsid w:val="33114C55"/>
    <w:rsid w:val="33233306"/>
    <w:rsid w:val="332447BD"/>
    <w:rsid w:val="33250A89"/>
    <w:rsid w:val="33265EB1"/>
    <w:rsid w:val="333015F2"/>
    <w:rsid w:val="33331BF2"/>
    <w:rsid w:val="33334342"/>
    <w:rsid w:val="333C2F84"/>
    <w:rsid w:val="334461B7"/>
    <w:rsid w:val="334B6320"/>
    <w:rsid w:val="33553C3C"/>
    <w:rsid w:val="33590DE0"/>
    <w:rsid w:val="33641229"/>
    <w:rsid w:val="336B25B7"/>
    <w:rsid w:val="33704071"/>
    <w:rsid w:val="33705E1F"/>
    <w:rsid w:val="33743B62"/>
    <w:rsid w:val="33744ECB"/>
    <w:rsid w:val="33802506"/>
    <w:rsid w:val="33835B53"/>
    <w:rsid w:val="338777E7"/>
    <w:rsid w:val="338868F9"/>
    <w:rsid w:val="338A536B"/>
    <w:rsid w:val="33A201D2"/>
    <w:rsid w:val="33A61841"/>
    <w:rsid w:val="33B43F5E"/>
    <w:rsid w:val="33B51B6E"/>
    <w:rsid w:val="33BB57E2"/>
    <w:rsid w:val="33C5689E"/>
    <w:rsid w:val="33C61EE3"/>
    <w:rsid w:val="33CB74FA"/>
    <w:rsid w:val="33D00B17"/>
    <w:rsid w:val="33D046D9"/>
    <w:rsid w:val="33D068BE"/>
    <w:rsid w:val="33D11A5A"/>
    <w:rsid w:val="33D21212"/>
    <w:rsid w:val="33D21774"/>
    <w:rsid w:val="33D26ADA"/>
    <w:rsid w:val="33D41E6C"/>
    <w:rsid w:val="33D53ED4"/>
    <w:rsid w:val="33D56B35"/>
    <w:rsid w:val="33D934D4"/>
    <w:rsid w:val="33DF2CC3"/>
    <w:rsid w:val="33E12879"/>
    <w:rsid w:val="33EA07F6"/>
    <w:rsid w:val="33F26834"/>
    <w:rsid w:val="33F937EB"/>
    <w:rsid w:val="33F95E15"/>
    <w:rsid w:val="33F97DCE"/>
    <w:rsid w:val="33FB7DDF"/>
    <w:rsid w:val="33FE2F6A"/>
    <w:rsid w:val="34012F1B"/>
    <w:rsid w:val="34030A42"/>
    <w:rsid w:val="34032C97"/>
    <w:rsid w:val="34034EE6"/>
    <w:rsid w:val="340E07E5"/>
    <w:rsid w:val="340E5410"/>
    <w:rsid w:val="3417159D"/>
    <w:rsid w:val="341817A7"/>
    <w:rsid w:val="3420114E"/>
    <w:rsid w:val="3422536C"/>
    <w:rsid w:val="34235BF7"/>
    <w:rsid w:val="34270BD4"/>
    <w:rsid w:val="34276179"/>
    <w:rsid w:val="34290C40"/>
    <w:rsid w:val="343D373A"/>
    <w:rsid w:val="343E5F1E"/>
    <w:rsid w:val="34433534"/>
    <w:rsid w:val="344352E2"/>
    <w:rsid w:val="344559EB"/>
    <w:rsid w:val="344A0DB7"/>
    <w:rsid w:val="344A48C2"/>
    <w:rsid w:val="344B63D6"/>
    <w:rsid w:val="344F012B"/>
    <w:rsid w:val="344F5981"/>
    <w:rsid w:val="34533777"/>
    <w:rsid w:val="3454405D"/>
    <w:rsid w:val="345614B9"/>
    <w:rsid w:val="34565015"/>
    <w:rsid w:val="345849C9"/>
    <w:rsid w:val="345A38E9"/>
    <w:rsid w:val="34610250"/>
    <w:rsid w:val="346A0AC1"/>
    <w:rsid w:val="346A6D13"/>
    <w:rsid w:val="346E05B1"/>
    <w:rsid w:val="34726D5F"/>
    <w:rsid w:val="34784F8C"/>
    <w:rsid w:val="347B408A"/>
    <w:rsid w:val="347D6A46"/>
    <w:rsid w:val="34847DD4"/>
    <w:rsid w:val="348A4CBF"/>
    <w:rsid w:val="348E47AF"/>
    <w:rsid w:val="34987079"/>
    <w:rsid w:val="349A13A6"/>
    <w:rsid w:val="34A915E9"/>
    <w:rsid w:val="34AA5361"/>
    <w:rsid w:val="34AC70A4"/>
    <w:rsid w:val="34B306BA"/>
    <w:rsid w:val="34B32468"/>
    <w:rsid w:val="34C340DF"/>
    <w:rsid w:val="34CE1050"/>
    <w:rsid w:val="34D11AB0"/>
    <w:rsid w:val="34D128EE"/>
    <w:rsid w:val="34D502D9"/>
    <w:rsid w:val="34DB40E6"/>
    <w:rsid w:val="34DB551B"/>
    <w:rsid w:val="34DC7A0A"/>
    <w:rsid w:val="34E649B7"/>
    <w:rsid w:val="34EB1C02"/>
    <w:rsid w:val="34EC3BCC"/>
    <w:rsid w:val="34F0546A"/>
    <w:rsid w:val="34F07218"/>
    <w:rsid w:val="34F6554F"/>
    <w:rsid w:val="34FA42D3"/>
    <w:rsid w:val="350361FA"/>
    <w:rsid w:val="3509044E"/>
    <w:rsid w:val="350E58F0"/>
    <w:rsid w:val="35101668"/>
    <w:rsid w:val="351C625F"/>
    <w:rsid w:val="35213875"/>
    <w:rsid w:val="3526277B"/>
    <w:rsid w:val="352E7D40"/>
    <w:rsid w:val="352F0FB7"/>
    <w:rsid w:val="353A66E5"/>
    <w:rsid w:val="353D7F83"/>
    <w:rsid w:val="35431A3E"/>
    <w:rsid w:val="35470E02"/>
    <w:rsid w:val="35533747"/>
    <w:rsid w:val="355552CD"/>
    <w:rsid w:val="355D23D3"/>
    <w:rsid w:val="356130B4"/>
    <w:rsid w:val="35630160"/>
    <w:rsid w:val="35643762"/>
    <w:rsid w:val="3567321C"/>
    <w:rsid w:val="3569521C"/>
    <w:rsid w:val="356C33B4"/>
    <w:rsid w:val="358838F4"/>
    <w:rsid w:val="358856A2"/>
    <w:rsid w:val="358C5FA8"/>
    <w:rsid w:val="358D26E0"/>
    <w:rsid w:val="35903754"/>
    <w:rsid w:val="3599165E"/>
    <w:rsid w:val="359C114E"/>
    <w:rsid w:val="359D6409"/>
    <w:rsid w:val="35A76B9B"/>
    <w:rsid w:val="35A95619"/>
    <w:rsid w:val="35AC596B"/>
    <w:rsid w:val="35B27E72"/>
    <w:rsid w:val="35B45818"/>
    <w:rsid w:val="35B5220F"/>
    <w:rsid w:val="35B53FBD"/>
    <w:rsid w:val="35BA7E46"/>
    <w:rsid w:val="35BD6C41"/>
    <w:rsid w:val="35BE10C4"/>
    <w:rsid w:val="35C15DF1"/>
    <w:rsid w:val="35C81F43"/>
    <w:rsid w:val="35C8255D"/>
    <w:rsid w:val="35D546B3"/>
    <w:rsid w:val="35DF103A"/>
    <w:rsid w:val="35E84393"/>
    <w:rsid w:val="35E86141"/>
    <w:rsid w:val="35E87EEF"/>
    <w:rsid w:val="35F72828"/>
    <w:rsid w:val="35F779DD"/>
    <w:rsid w:val="35FE5964"/>
    <w:rsid w:val="36050807"/>
    <w:rsid w:val="36074A7F"/>
    <w:rsid w:val="360B4F3D"/>
    <w:rsid w:val="361231BE"/>
    <w:rsid w:val="36140CE4"/>
    <w:rsid w:val="36145188"/>
    <w:rsid w:val="361959FD"/>
    <w:rsid w:val="36195E29"/>
    <w:rsid w:val="361A2073"/>
    <w:rsid w:val="36200AE6"/>
    <w:rsid w:val="36213401"/>
    <w:rsid w:val="36257395"/>
    <w:rsid w:val="362829E1"/>
    <w:rsid w:val="36290B8D"/>
    <w:rsid w:val="362E4914"/>
    <w:rsid w:val="3647730B"/>
    <w:rsid w:val="364C5A34"/>
    <w:rsid w:val="364F61C0"/>
    <w:rsid w:val="36516E4D"/>
    <w:rsid w:val="365C07EF"/>
    <w:rsid w:val="365C7A2D"/>
    <w:rsid w:val="36614792"/>
    <w:rsid w:val="36645842"/>
    <w:rsid w:val="36794FEB"/>
    <w:rsid w:val="367E2601"/>
    <w:rsid w:val="3683397A"/>
    <w:rsid w:val="368816D2"/>
    <w:rsid w:val="368C11C2"/>
    <w:rsid w:val="368F480F"/>
    <w:rsid w:val="36923549"/>
    <w:rsid w:val="36940077"/>
    <w:rsid w:val="36987B67"/>
    <w:rsid w:val="36A00CF5"/>
    <w:rsid w:val="36A111C5"/>
    <w:rsid w:val="36AA33F6"/>
    <w:rsid w:val="36AD487C"/>
    <w:rsid w:val="36AD7188"/>
    <w:rsid w:val="36AF6757"/>
    <w:rsid w:val="36B727D3"/>
    <w:rsid w:val="36B75FBF"/>
    <w:rsid w:val="36BD0C45"/>
    <w:rsid w:val="36BD4C49"/>
    <w:rsid w:val="36CB13CC"/>
    <w:rsid w:val="36CE5337"/>
    <w:rsid w:val="36D32BC4"/>
    <w:rsid w:val="36D46EB4"/>
    <w:rsid w:val="36E20DE2"/>
    <w:rsid w:val="36E763F9"/>
    <w:rsid w:val="36E772A6"/>
    <w:rsid w:val="36EF52AD"/>
    <w:rsid w:val="36FD3E6E"/>
    <w:rsid w:val="37113475"/>
    <w:rsid w:val="371F2036"/>
    <w:rsid w:val="3720190B"/>
    <w:rsid w:val="37202BF5"/>
    <w:rsid w:val="37217C5B"/>
    <w:rsid w:val="372274FB"/>
    <w:rsid w:val="3724764D"/>
    <w:rsid w:val="372E65F2"/>
    <w:rsid w:val="373158C6"/>
    <w:rsid w:val="37332011"/>
    <w:rsid w:val="37333052"/>
    <w:rsid w:val="37357164"/>
    <w:rsid w:val="37362EDC"/>
    <w:rsid w:val="373A29CC"/>
    <w:rsid w:val="374455F9"/>
    <w:rsid w:val="37476E97"/>
    <w:rsid w:val="374A78A2"/>
    <w:rsid w:val="374C73ED"/>
    <w:rsid w:val="37515F68"/>
    <w:rsid w:val="37537F32"/>
    <w:rsid w:val="375810A4"/>
    <w:rsid w:val="37591A74"/>
    <w:rsid w:val="375D66BB"/>
    <w:rsid w:val="37702E86"/>
    <w:rsid w:val="37727331"/>
    <w:rsid w:val="37797999"/>
    <w:rsid w:val="378123A9"/>
    <w:rsid w:val="378846EB"/>
    <w:rsid w:val="3789594F"/>
    <w:rsid w:val="378B02EC"/>
    <w:rsid w:val="378D57C0"/>
    <w:rsid w:val="378E2D18"/>
    <w:rsid w:val="37906A90"/>
    <w:rsid w:val="37920A5A"/>
    <w:rsid w:val="3793032E"/>
    <w:rsid w:val="37955371"/>
    <w:rsid w:val="379C5435"/>
    <w:rsid w:val="37A12A4B"/>
    <w:rsid w:val="37B502A5"/>
    <w:rsid w:val="37B971EB"/>
    <w:rsid w:val="37BA38BF"/>
    <w:rsid w:val="37BC1633"/>
    <w:rsid w:val="37C624B2"/>
    <w:rsid w:val="37C865A4"/>
    <w:rsid w:val="37CA5CB6"/>
    <w:rsid w:val="37CB1876"/>
    <w:rsid w:val="37CB3BC8"/>
    <w:rsid w:val="37CB7DC9"/>
    <w:rsid w:val="37CC183C"/>
    <w:rsid w:val="37CD1A92"/>
    <w:rsid w:val="37D12A37"/>
    <w:rsid w:val="37D33B5F"/>
    <w:rsid w:val="37D746BF"/>
    <w:rsid w:val="37DA7D0B"/>
    <w:rsid w:val="37DD15AA"/>
    <w:rsid w:val="37E00298"/>
    <w:rsid w:val="37E5578B"/>
    <w:rsid w:val="37E56DDC"/>
    <w:rsid w:val="37E82428"/>
    <w:rsid w:val="37ED78B2"/>
    <w:rsid w:val="37F012DD"/>
    <w:rsid w:val="37F45271"/>
    <w:rsid w:val="37F74639"/>
    <w:rsid w:val="37FA104F"/>
    <w:rsid w:val="37FF59C4"/>
    <w:rsid w:val="38005AB4"/>
    <w:rsid w:val="38194CD8"/>
    <w:rsid w:val="382C4A0B"/>
    <w:rsid w:val="382C5C4E"/>
    <w:rsid w:val="382D0783"/>
    <w:rsid w:val="3836000A"/>
    <w:rsid w:val="3840753A"/>
    <w:rsid w:val="38415FDC"/>
    <w:rsid w:val="38431D54"/>
    <w:rsid w:val="384653A1"/>
    <w:rsid w:val="38471845"/>
    <w:rsid w:val="384C6E5B"/>
    <w:rsid w:val="385E26EA"/>
    <w:rsid w:val="38606463"/>
    <w:rsid w:val="386121DB"/>
    <w:rsid w:val="38633130"/>
    <w:rsid w:val="38653A79"/>
    <w:rsid w:val="38657F1D"/>
    <w:rsid w:val="386638E8"/>
    <w:rsid w:val="38685317"/>
    <w:rsid w:val="38737065"/>
    <w:rsid w:val="387737AC"/>
    <w:rsid w:val="387B14EE"/>
    <w:rsid w:val="38840FA1"/>
    <w:rsid w:val="38883C0B"/>
    <w:rsid w:val="388859B9"/>
    <w:rsid w:val="389257F7"/>
    <w:rsid w:val="38957B51"/>
    <w:rsid w:val="38997362"/>
    <w:rsid w:val="389E0773"/>
    <w:rsid w:val="38B003A6"/>
    <w:rsid w:val="38B302F9"/>
    <w:rsid w:val="38B467AE"/>
    <w:rsid w:val="38BF7A8E"/>
    <w:rsid w:val="38C20ECB"/>
    <w:rsid w:val="38CA7F62"/>
    <w:rsid w:val="38CC7F9C"/>
    <w:rsid w:val="38CF183A"/>
    <w:rsid w:val="38EF3C8A"/>
    <w:rsid w:val="38F12CD3"/>
    <w:rsid w:val="38F8669B"/>
    <w:rsid w:val="38F94775"/>
    <w:rsid w:val="38FE3794"/>
    <w:rsid w:val="39047736"/>
    <w:rsid w:val="390860AC"/>
    <w:rsid w:val="390A2872"/>
    <w:rsid w:val="3911775D"/>
    <w:rsid w:val="391A72EC"/>
    <w:rsid w:val="392971ED"/>
    <w:rsid w:val="392A081F"/>
    <w:rsid w:val="392E47B3"/>
    <w:rsid w:val="393022D9"/>
    <w:rsid w:val="39325651"/>
    <w:rsid w:val="39400042"/>
    <w:rsid w:val="39411074"/>
    <w:rsid w:val="39447B32"/>
    <w:rsid w:val="39475874"/>
    <w:rsid w:val="39477776"/>
    <w:rsid w:val="395A1104"/>
    <w:rsid w:val="395F4C11"/>
    <w:rsid w:val="3962620A"/>
    <w:rsid w:val="39644B89"/>
    <w:rsid w:val="3967248F"/>
    <w:rsid w:val="396B1BD1"/>
    <w:rsid w:val="396E1053"/>
    <w:rsid w:val="397523E2"/>
    <w:rsid w:val="39761CB6"/>
    <w:rsid w:val="397751A2"/>
    <w:rsid w:val="397F6DBC"/>
    <w:rsid w:val="39845C94"/>
    <w:rsid w:val="39873EC3"/>
    <w:rsid w:val="398B39B3"/>
    <w:rsid w:val="399565E0"/>
    <w:rsid w:val="399B5A0C"/>
    <w:rsid w:val="399D36E6"/>
    <w:rsid w:val="399D7242"/>
    <w:rsid w:val="39A95BE7"/>
    <w:rsid w:val="39AD1779"/>
    <w:rsid w:val="39BA7DF4"/>
    <w:rsid w:val="39BE07C6"/>
    <w:rsid w:val="39D23390"/>
    <w:rsid w:val="39D4535A"/>
    <w:rsid w:val="39DA6754"/>
    <w:rsid w:val="39DF4C62"/>
    <w:rsid w:val="39E66F22"/>
    <w:rsid w:val="39E84962"/>
    <w:rsid w:val="39F85119"/>
    <w:rsid w:val="39FC665F"/>
    <w:rsid w:val="39FF3A59"/>
    <w:rsid w:val="3A045513"/>
    <w:rsid w:val="3A0B4AF4"/>
    <w:rsid w:val="3A0D6176"/>
    <w:rsid w:val="3A0E6802"/>
    <w:rsid w:val="3A10210A"/>
    <w:rsid w:val="3A1204A1"/>
    <w:rsid w:val="3A137505"/>
    <w:rsid w:val="3A15327D"/>
    <w:rsid w:val="3A1C285D"/>
    <w:rsid w:val="3A217E73"/>
    <w:rsid w:val="3A223F8F"/>
    <w:rsid w:val="3A235B1B"/>
    <w:rsid w:val="3A241712"/>
    <w:rsid w:val="3A267238"/>
    <w:rsid w:val="3A296D8E"/>
    <w:rsid w:val="3A2A3068"/>
    <w:rsid w:val="3A2C041E"/>
    <w:rsid w:val="3A2D05C6"/>
    <w:rsid w:val="3A345DF9"/>
    <w:rsid w:val="3A433156"/>
    <w:rsid w:val="3A485400"/>
    <w:rsid w:val="3A502507"/>
    <w:rsid w:val="3A571AE7"/>
    <w:rsid w:val="3A610AB5"/>
    <w:rsid w:val="3A661D2A"/>
    <w:rsid w:val="3A6A62B8"/>
    <w:rsid w:val="3A706705"/>
    <w:rsid w:val="3A751F6D"/>
    <w:rsid w:val="3A766411"/>
    <w:rsid w:val="3A7D77A0"/>
    <w:rsid w:val="3A830B2E"/>
    <w:rsid w:val="3A872856"/>
    <w:rsid w:val="3A874A9B"/>
    <w:rsid w:val="3A95616C"/>
    <w:rsid w:val="3AA22748"/>
    <w:rsid w:val="3AAC3BE1"/>
    <w:rsid w:val="3AAC5A7D"/>
    <w:rsid w:val="3AB95E7B"/>
    <w:rsid w:val="3AC0143A"/>
    <w:rsid w:val="3AC52EF5"/>
    <w:rsid w:val="3ACD1DA9"/>
    <w:rsid w:val="3ACD736D"/>
    <w:rsid w:val="3AE93180"/>
    <w:rsid w:val="3AED7D56"/>
    <w:rsid w:val="3AF1054B"/>
    <w:rsid w:val="3AFD0AE1"/>
    <w:rsid w:val="3B014914"/>
    <w:rsid w:val="3B0716D8"/>
    <w:rsid w:val="3B077069"/>
    <w:rsid w:val="3B0A5AAC"/>
    <w:rsid w:val="3B12348C"/>
    <w:rsid w:val="3B133C60"/>
    <w:rsid w:val="3B135A0E"/>
    <w:rsid w:val="3B1B48C3"/>
    <w:rsid w:val="3B1D688D"/>
    <w:rsid w:val="3B247EB6"/>
    <w:rsid w:val="3B2B7465"/>
    <w:rsid w:val="3B365BA1"/>
    <w:rsid w:val="3B3763D1"/>
    <w:rsid w:val="3B41771A"/>
    <w:rsid w:val="3B4D0803"/>
    <w:rsid w:val="3B5241A1"/>
    <w:rsid w:val="3B5E186E"/>
    <w:rsid w:val="3B5F6EA5"/>
    <w:rsid w:val="3B6A55BB"/>
    <w:rsid w:val="3B702E61"/>
    <w:rsid w:val="3B72426C"/>
    <w:rsid w:val="3B7346FF"/>
    <w:rsid w:val="3B7653F9"/>
    <w:rsid w:val="3B7A3CDF"/>
    <w:rsid w:val="3B7E2BA1"/>
    <w:rsid w:val="3B7F4711"/>
    <w:rsid w:val="3B8406BA"/>
    <w:rsid w:val="3B8E32E7"/>
    <w:rsid w:val="3B913AA8"/>
    <w:rsid w:val="3B9308FD"/>
    <w:rsid w:val="3B9862F5"/>
    <w:rsid w:val="3B9D4D46"/>
    <w:rsid w:val="3BA75EA6"/>
    <w:rsid w:val="3BB15227"/>
    <w:rsid w:val="3BB577F9"/>
    <w:rsid w:val="3BB84807"/>
    <w:rsid w:val="3BBB7E54"/>
    <w:rsid w:val="3BBD1E80"/>
    <w:rsid w:val="3BC36704"/>
    <w:rsid w:val="3BC66F24"/>
    <w:rsid w:val="3BD01B51"/>
    <w:rsid w:val="3BD333EF"/>
    <w:rsid w:val="3BD57167"/>
    <w:rsid w:val="3BD86C58"/>
    <w:rsid w:val="3BDC04F6"/>
    <w:rsid w:val="3BDD7DCA"/>
    <w:rsid w:val="3BDF06B7"/>
    <w:rsid w:val="3BDF3B42"/>
    <w:rsid w:val="3BE87B78"/>
    <w:rsid w:val="3BEA469E"/>
    <w:rsid w:val="3BEB6954"/>
    <w:rsid w:val="3BEC4ABF"/>
    <w:rsid w:val="3BED123F"/>
    <w:rsid w:val="3BF03FA1"/>
    <w:rsid w:val="3BF5322F"/>
    <w:rsid w:val="3BF80E06"/>
    <w:rsid w:val="3BF9276B"/>
    <w:rsid w:val="3BFA097C"/>
    <w:rsid w:val="3BFA6B5D"/>
    <w:rsid w:val="3BFB5D9F"/>
    <w:rsid w:val="3C055B26"/>
    <w:rsid w:val="3C0C0A17"/>
    <w:rsid w:val="3C0D4B53"/>
    <w:rsid w:val="3C0F1543"/>
    <w:rsid w:val="3C103098"/>
    <w:rsid w:val="3C1258D6"/>
    <w:rsid w:val="3C2123AD"/>
    <w:rsid w:val="3C237ED3"/>
    <w:rsid w:val="3C272976"/>
    <w:rsid w:val="3C276D02"/>
    <w:rsid w:val="3C2D6471"/>
    <w:rsid w:val="3C2F6E1E"/>
    <w:rsid w:val="3C302214"/>
    <w:rsid w:val="3C30439E"/>
    <w:rsid w:val="3C340332"/>
    <w:rsid w:val="3C373371"/>
    <w:rsid w:val="3C391E2B"/>
    <w:rsid w:val="3C3B487A"/>
    <w:rsid w:val="3C3C7CC1"/>
    <w:rsid w:val="3C3D7980"/>
    <w:rsid w:val="3C3F2833"/>
    <w:rsid w:val="3C463BC1"/>
    <w:rsid w:val="3C4663C4"/>
    <w:rsid w:val="3C4E2A76"/>
    <w:rsid w:val="3C4F64BA"/>
    <w:rsid w:val="3C5207B8"/>
    <w:rsid w:val="3C5B518D"/>
    <w:rsid w:val="3C601127"/>
    <w:rsid w:val="3C6308F8"/>
    <w:rsid w:val="3C657C7B"/>
    <w:rsid w:val="3C6635A5"/>
    <w:rsid w:val="3C681651"/>
    <w:rsid w:val="3C6B77D1"/>
    <w:rsid w:val="3C8446EA"/>
    <w:rsid w:val="3C862210"/>
    <w:rsid w:val="3C8E7BF3"/>
    <w:rsid w:val="3C905AD5"/>
    <w:rsid w:val="3C9B067D"/>
    <w:rsid w:val="3CA3113C"/>
    <w:rsid w:val="3CAE6A45"/>
    <w:rsid w:val="3CC22DEC"/>
    <w:rsid w:val="3CD41336"/>
    <w:rsid w:val="3CD92C87"/>
    <w:rsid w:val="3CDA245A"/>
    <w:rsid w:val="3CDE3DFA"/>
    <w:rsid w:val="3CE522BB"/>
    <w:rsid w:val="3CE97201"/>
    <w:rsid w:val="3CED646D"/>
    <w:rsid w:val="3CF61143"/>
    <w:rsid w:val="3CF8135F"/>
    <w:rsid w:val="3CFA5C50"/>
    <w:rsid w:val="3CFD4BC8"/>
    <w:rsid w:val="3D006466"/>
    <w:rsid w:val="3D110C09"/>
    <w:rsid w:val="3D1C0F21"/>
    <w:rsid w:val="3D1C4EFB"/>
    <w:rsid w:val="3D1E06B7"/>
    <w:rsid w:val="3D275FD4"/>
    <w:rsid w:val="3D287784"/>
    <w:rsid w:val="3D2B2340"/>
    <w:rsid w:val="3D2C7970"/>
    <w:rsid w:val="3D3B0486"/>
    <w:rsid w:val="3D3F6F8E"/>
    <w:rsid w:val="3D42082D"/>
    <w:rsid w:val="3D4470F6"/>
    <w:rsid w:val="3D4817DC"/>
    <w:rsid w:val="3D4A76E1"/>
    <w:rsid w:val="3D4C3459"/>
    <w:rsid w:val="3D4E5423"/>
    <w:rsid w:val="3D4F2D0B"/>
    <w:rsid w:val="3D51281E"/>
    <w:rsid w:val="3D5D233E"/>
    <w:rsid w:val="3D5F13DF"/>
    <w:rsid w:val="3D600CB3"/>
    <w:rsid w:val="3D624A2B"/>
    <w:rsid w:val="3D697AC8"/>
    <w:rsid w:val="3D6F7148"/>
    <w:rsid w:val="3D70539A"/>
    <w:rsid w:val="3D7133BA"/>
    <w:rsid w:val="3D714C6E"/>
    <w:rsid w:val="3D7D72CD"/>
    <w:rsid w:val="3D89020A"/>
    <w:rsid w:val="3D8B21D4"/>
    <w:rsid w:val="3D9461A5"/>
    <w:rsid w:val="3D98669F"/>
    <w:rsid w:val="3D9A2417"/>
    <w:rsid w:val="3D9C6F36"/>
    <w:rsid w:val="3DA155A0"/>
    <w:rsid w:val="3DA212CB"/>
    <w:rsid w:val="3DA276B6"/>
    <w:rsid w:val="3DA440D7"/>
    <w:rsid w:val="3DA6700D"/>
    <w:rsid w:val="3DA70690"/>
    <w:rsid w:val="3DAE7C70"/>
    <w:rsid w:val="3DB07174"/>
    <w:rsid w:val="3DB86D41"/>
    <w:rsid w:val="3DBA4277"/>
    <w:rsid w:val="3DBA4867"/>
    <w:rsid w:val="3DBF1E7D"/>
    <w:rsid w:val="3DC63504"/>
    <w:rsid w:val="3DC80F55"/>
    <w:rsid w:val="3DC96858"/>
    <w:rsid w:val="3DCF09D8"/>
    <w:rsid w:val="3DCF3BCD"/>
    <w:rsid w:val="3DD32C78"/>
    <w:rsid w:val="3DD5344F"/>
    <w:rsid w:val="3DD5726D"/>
    <w:rsid w:val="3DD85E77"/>
    <w:rsid w:val="3DDB658B"/>
    <w:rsid w:val="3DDF42CD"/>
    <w:rsid w:val="3DE03BA2"/>
    <w:rsid w:val="3DE43692"/>
    <w:rsid w:val="3DE47B36"/>
    <w:rsid w:val="3DED7156"/>
    <w:rsid w:val="3DF25D34"/>
    <w:rsid w:val="3DF31B27"/>
    <w:rsid w:val="3DF5764D"/>
    <w:rsid w:val="3DFE7643"/>
    <w:rsid w:val="3E0E070F"/>
    <w:rsid w:val="3E0F5FE9"/>
    <w:rsid w:val="3E1F46CA"/>
    <w:rsid w:val="3E27797F"/>
    <w:rsid w:val="3E2E0DB1"/>
    <w:rsid w:val="3E385855"/>
    <w:rsid w:val="3E391C30"/>
    <w:rsid w:val="3E3A16E2"/>
    <w:rsid w:val="3E4037B8"/>
    <w:rsid w:val="3E404C1B"/>
    <w:rsid w:val="3E4638AA"/>
    <w:rsid w:val="3E467527"/>
    <w:rsid w:val="3E495BEB"/>
    <w:rsid w:val="3E4C4EDB"/>
    <w:rsid w:val="3E4D1237"/>
    <w:rsid w:val="3E4E3201"/>
    <w:rsid w:val="3E5A3954"/>
    <w:rsid w:val="3E6349D5"/>
    <w:rsid w:val="3E636CAD"/>
    <w:rsid w:val="3E72475D"/>
    <w:rsid w:val="3E725142"/>
    <w:rsid w:val="3E772758"/>
    <w:rsid w:val="3E7A47B8"/>
    <w:rsid w:val="3E84126F"/>
    <w:rsid w:val="3E895FE7"/>
    <w:rsid w:val="3E897B14"/>
    <w:rsid w:val="3E8B70E7"/>
    <w:rsid w:val="3E946E66"/>
    <w:rsid w:val="3E951F7E"/>
    <w:rsid w:val="3EA03A5D"/>
    <w:rsid w:val="3EA73CF9"/>
    <w:rsid w:val="3EA90437"/>
    <w:rsid w:val="3EB70DA6"/>
    <w:rsid w:val="3EBC016B"/>
    <w:rsid w:val="3EBD6576"/>
    <w:rsid w:val="3EC040FF"/>
    <w:rsid w:val="3EC11C25"/>
    <w:rsid w:val="3EC87463"/>
    <w:rsid w:val="3ECB2A96"/>
    <w:rsid w:val="3ECF6D64"/>
    <w:rsid w:val="3ED022A8"/>
    <w:rsid w:val="3ED656D0"/>
    <w:rsid w:val="3ED870D5"/>
    <w:rsid w:val="3ED951C1"/>
    <w:rsid w:val="3EDA0523"/>
    <w:rsid w:val="3EE871B2"/>
    <w:rsid w:val="3EE959C4"/>
    <w:rsid w:val="3EED0CD4"/>
    <w:rsid w:val="3EF313C9"/>
    <w:rsid w:val="3EF913BF"/>
    <w:rsid w:val="3EFE753A"/>
    <w:rsid w:val="3F043D71"/>
    <w:rsid w:val="3F080FE0"/>
    <w:rsid w:val="3F0B21C9"/>
    <w:rsid w:val="3F0B2EA0"/>
    <w:rsid w:val="3F125FDD"/>
    <w:rsid w:val="3F1471E7"/>
    <w:rsid w:val="3F185CE9"/>
    <w:rsid w:val="3F1A40AF"/>
    <w:rsid w:val="3F2521B4"/>
    <w:rsid w:val="3F2D2E17"/>
    <w:rsid w:val="3F2E0AF4"/>
    <w:rsid w:val="3F340649"/>
    <w:rsid w:val="3F3B3785"/>
    <w:rsid w:val="3F3B5533"/>
    <w:rsid w:val="3F3C60C8"/>
    <w:rsid w:val="3F473ED8"/>
    <w:rsid w:val="3F4C2E78"/>
    <w:rsid w:val="3F4E1E96"/>
    <w:rsid w:val="3F4F0FDF"/>
    <w:rsid w:val="3F584337"/>
    <w:rsid w:val="3F5E56C6"/>
    <w:rsid w:val="3F604F9A"/>
    <w:rsid w:val="3F641DBA"/>
    <w:rsid w:val="3F656A54"/>
    <w:rsid w:val="3F6A7BC7"/>
    <w:rsid w:val="3F733C7E"/>
    <w:rsid w:val="3F7B2ECB"/>
    <w:rsid w:val="3F850EA5"/>
    <w:rsid w:val="3F891D17"/>
    <w:rsid w:val="3F942E96"/>
    <w:rsid w:val="3F952863"/>
    <w:rsid w:val="3F980BD8"/>
    <w:rsid w:val="3F9B2476"/>
    <w:rsid w:val="3F9E5AC2"/>
    <w:rsid w:val="3FA56E51"/>
    <w:rsid w:val="3FB05CC3"/>
    <w:rsid w:val="3FB11C9A"/>
    <w:rsid w:val="3FB229FA"/>
    <w:rsid w:val="3FB8126D"/>
    <w:rsid w:val="3FC1012F"/>
    <w:rsid w:val="3FC27A03"/>
    <w:rsid w:val="3FC61AFC"/>
    <w:rsid w:val="3FC714BD"/>
    <w:rsid w:val="3FCA2E92"/>
    <w:rsid w:val="3FDC0668"/>
    <w:rsid w:val="3FDF05B5"/>
    <w:rsid w:val="3FE22A62"/>
    <w:rsid w:val="3FE931E1"/>
    <w:rsid w:val="3FEF16A0"/>
    <w:rsid w:val="3FEF631E"/>
    <w:rsid w:val="3FF1653A"/>
    <w:rsid w:val="3FF43934"/>
    <w:rsid w:val="3FF65710"/>
    <w:rsid w:val="3FF76AB3"/>
    <w:rsid w:val="3FFF2A05"/>
    <w:rsid w:val="4000052B"/>
    <w:rsid w:val="4000299E"/>
    <w:rsid w:val="40037389"/>
    <w:rsid w:val="40041DC9"/>
    <w:rsid w:val="4010076F"/>
    <w:rsid w:val="401364B0"/>
    <w:rsid w:val="40162CEE"/>
    <w:rsid w:val="4017189D"/>
    <w:rsid w:val="40195AFD"/>
    <w:rsid w:val="401C35B7"/>
    <w:rsid w:val="402C30CE"/>
    <w:rsid w:val="4031498F"/>
    <w:rsid w:val="4037219F"/>
    <w:rsid w:val="40381A73"/>
    <w:rsid w:val="40385F17"/>
    <w:rsid w:val="40491ED2"/>
    <w:rsid w:val="40492A4A"/>
    <w:rsid w:val="405014B2"/>
    <w:rsid w:val="406311E6"/>
    <w:rsid w:val="40637DA0"/>
    <w:rsid w:val="4068051B"/>
    <w:rsid w:val="406805AA"/>
    <w:rsid w:val="4068695F"/>
    <w:rsid w:val="406960D0"/>
    <w:rsid w:val="406E36E7"/>
    <w:rsid w:val="407056B1"/>
    <w:rsid w:val="40762BF0"/>
    <w:rsid w:val="407A6407"/>
    <w:rsid w:val="407D392A"/>
    <w:rsid w:val="408D0011"/>
    <w:rsid w:val="408D4E8C"/>
    <w:rsid w:val="408F1B0A"/>
    <w:rsid w:val="4090365D"/>
    <w:rsid w:val="40913503"/>
    <w:rsid w:val="409502F9"/>
    <w:rsid w:val="409F1AF2"/>
    <w:rsid w:val="40B05AAD"/>
    <w:rsid w:val="40B27A77"/>
    <w:rsid w:val="40BC26A4"/>
    <w:rsid w:val="40C94DC1"/>
    <w:rsid w:val="40D14A10"/>
    <w:rsid w:val="40D45C40"/>
    <w:rsid w:val="40E67721"/>
    <w:rsid w:val="40E774FA"/>
    <w:rsid w:val="40F2256A"/>
    <w:rsid w:val="40F82B79"/>
    <w:rsid w:val="40F938F8"/>
    <w:rsid w:val="40FA4F7A"/>
    <w:rsid w:val="40FB1697"/>
    <w:rsid w:val="40FC0CF2"/>
    <w:rsid w:val="40FC6F44"/>
    <w:rsid w:val="40FE1E80"/>
    <w:rsid w:val="41040A5E"/>
    <w:rsid w:val="41040D80"/>
    <w:rsid w:val="41061B71"/>
    <w:rsid w:val="41083B3B"/>
    <w:rsid w:val="41120516"/>
    <w:rsid w:val="411424E0"/>
    <w:rsid w:val="4114603C"/>
    <w:rsid w:val="41185E69"/>
    <w:rsid w:val="411B4F23"/>
    <w:rsid w:val="41232723"/>
    <w:rsid w:val="4125649B"/>
    <w:rsid w:val="41265D6F"/>
    <w:rsid w:val="4128652E"/>
    <w:rsid w:val="412C1E99"/>
    <w:rsid w:val="41304EAA"/>
    <w:rsid w:val="41345E57"/>
    <w:rsid w:val="413606A8"/>
    <w:rsid w:val="413972D0"/>
    <w:rsid w:val="413B5CBF"/>
    <w:rsid w:val="413C7D3D"/>
    <w:rsid w:val="41403F31"/>
    <w:rsid w:val="41436921"/>
    <w:rsid w:val="415648A7"/>
    <w:rsid w:val="41597EF3"/>
    <w:rsid w:val="415F68CF"/>
    <w:rsid w:val="41664311"/>
    <w:rsid w:val="416C0640"/>
    <w:rsid w:val="417116E0"/>
    <w:rsid w:val="417A1800"/>
    <w:rsid w:val="41853DB4"/>
    <w:rsid w:val="418A27A2"/>
    <w:rsid w:val="418D4040"/>
    <w:rsid w:val="418F600A"/>
    <w:rsid w:val="419057A5"/>
    <w:rsid w:val="419B79D8"/>
    <w:rsid w:val="419D38A3"/>
    <w:rsid w:val="41A53138"/>
    <w:rsid w:val="41AA074E"/>
    <w:rsid w:val="41AA0CB6"/>
    <w:rsid w:val="41B63E5C"/>
    <w:rsid w:val="41B9573A"/>
    <w:rsid w:val="41BD0482"/>
    <w:rsid w:val="41C04416"/>
    <w:rsid w:val="41C21F3C"/>
    <w:rsid w:val="41C448F1"/>
    <w:rsid w:val="41C5180D"/>
    <w:rsid w:val="41CA7043"/>
    <w:rsid w:val="41CF220D"/>
    <w:rsid w:val="41D34149"/>
    <w:rsid w:val="41D430D7"/>
    <w:rsid w:val="41D8350E"/>
    <w:rsid w:val="41DD28D2"/>
    <w:rsid w:val="41E00614"/>
    <w:rsid w:val="41EE4ADF"/>
    <w:rsid w:val="41F540C0"/>
    <w:rsid w:val="41F67E38"/>
    <w:rsid w:val="41FB36A0"/>
    <w:rsid w:val="41FD02A1"/>
    <w:rsid w:val="4200449D"/>
    <w:rsid w:val="42042555"/>
    <w:rsid w:val="42061E16"/>
    <w:rsid w:val="420C31B7"/>
    <w:rsid w:val="42114C71"/>
    <w:rsid w:val="42191CCE"/>
    <w:rsid w:val="421F2EEA"/>
    <w:rsid w:val="42220C2D"/>
    <w:rsid w:val="42224789"/>
    <w:rsid w:val="4226071D"/>
    <w:rsid w:val="422A3EDB"/>
    <w:rsid w:val="422E312E"/>
    <w:rsid w:val="4235270E"/>
    <w:rsid w:val="423746D8"/>
    <w:rsid w:val="423A3BCC"/>
    <w:rsid w:val="423B584A"/>
    <w:rsid w:val="4242307D"/>
    <w:rsid w:val="4248764D"/>
    <w:rsid w:val="424E57D2"/>
    <w:rsid w:val="42613503"/>
    <w:rsid w:val="42644B59"/>
    <w:rsid w:val="426B6130"/>
    <w:rsid w:val="426C3C56"/>
    <w:rsid w:val="42725D1F"/>
    <w:rsid w:val="427D5E63"/>
    <w:rsid w:val="427E2307"/>
    <w:rsid w:val="427F71A4"/>
    <w:rsid w:val="42890CAC"/>
    <w:rsid w:val="428D254A"/>
    <w:rsid w:val="428E62FD"/>
    <w:rsid w:val="42903DE8"/>
    <w:rsid w:val="42914FE4"/>
    <w:rsid w:val="42976F25"/>
    <w:rsid w:val="42A23ABA"/>
    <w:rsid w:val="42A31D6D"/>
    <w:rsid w:val="42A41642"/>
    <w:rsid w:val="42A6756C"/>
    <w:rsid w:val="42B21FB1"/>
    <w:rsid w:val="42B26C49"/>
    <w:rsid w:val="42BA66B9"/>
    <w:rsid w:val="42C121F4"/>
    <w:rsid w:val="42C42DAE"/>
    <w:rsid w:val="42CA2995"/>
    <w:rsid w:val="42DA72D4"/>
    <w:rsid w:val="42E45EE2"/>
    <w:rsid w:val="42EB101F"/>
    <w:rsid w:val="42F56341"/>
    <w:rsid w:val="42F82423"/>
    <w:rsid w:val="42FA74B4"/>
    <w:rsid w:val="430343A0"/>
    <w:rsid w:val="430A51E4"/>
    <w:rsid w:val="430F2F5F"/>
    <w:rsid w:val="43170066"/>
    <w:rsid w:val="431840BE"/>
    <w:rsid w:val="431A0263"/>
    <w:rsid w:val="431C742A"/>
    <w:rsid w:val="431E235B"/>
    <w:rsid w:val="4320516C"/>
    <w:rsid w:val="43212C92"/>
    <w:rsid w:val="43234C5C"/>
    <w:rsid w:val="43244531"/>
    <w:rsid w:val="432525EE"/>
    <w:rsid w:val="43282273"/>
    <w:rsid w:val="43320C1A"/>
    <w:rsid w:val="43324E9F"/>
    <w:rsid w:val="433A6FE6"/>
    <w:rsid w:val="433B01F8"/>
    <w:rsid w:val="433C5D1E"/>
    <w:rsid w:val="433C7ACC"/>
    <w:rsid w:val="434150E2"/>
    <w:rsid w:val="43432C09"/>
    <w:rsid w:val="434338C8"/>
    <w:rsid w:val="434626F9"/>
    <w:rsid w:val="43480868"/>
    <w:rsid w:val="43482554"/>
    <w:rsid w:val="434D7F2B"/>
    <w:rsid w:val="4350713C"/>
    <w:rsid w:val="435D0E81"/>
    <w:rsid w:val="43601C4C"/>
    <w:rsid w:val="436653E0"/>
    <w:rsid w:val="43707776"/>
    <w:rsid w:val="43721740"/>
    <w:rsid w:val="43741014"/>
    <w:rsid w:val="43751301"/>
    <w:rsid w:val="43770B04"/>
    <w:rsid w:val="437C436D"/>
    <w:rsid w:val="43806810"/>
    <w:rsid w:val="438430B3"/>
    <w:rsid w:val="4391606A"/>
    <w:rsid w:val="43917DF2"/>
    <w:rsid w:val="43947908"/>
    <w:rsid w:val="43963680"/>
    <w:rsid w:val="4396542E"/>
    <w:rsid w:val="439711A6"/>
    <w:rsid w:val="43995E63"/>
    <w:rsid w:val="43A0005B"/>
    <w:rsid w:val="43A20863"/>
    <w:rsid w:val="43A21908"/>
    <w:rsid w:val="43A37B4B"/>
    <w:rsid w:val="43AA0EDA"/>
    <w:rsid w:val="43AA121A"/>
    <w:rsid w:val="43AF71D5"/>
    <w:rsid w:val="43B121B6"/>
    <w:rsid w:val="43B20DD3"/>
    <w:rsid w:val="43B458B4"/>
    <w:rsid w:val="43B65AD0"/>
    <w:rsid w:val="43BA28E6"/>
    <w:rsid w:val="43BE4E4B"/>
    <w:rsid w:val="43C4431A"/>
    <w:rsid w:val="43C5095E"/>
    <w:rsid w:val="43D34200"/>
    <w:rsid w:val="43D64779"/>
    <w:rsid w:val="43D67A4B"/>
    <w:rsid w:val="43E1612F"/>
    <w:rsid w:val="43E4263E"/>
    <w:rsid w:val="43E53CC0"/>
    <w:rsid w:val="43E9763D"/>
    <w:rsid w:val="43E97C54"/>
    <w:rsid w:val="43EB2DF5"/>
    <w:rsid w:val="43F42155"/>
    <w:rsid w:val="43F45D3F"/>
    <w:rsid w:val="43F746B7"/>
    <w:rsid w:val="43FD725B"/>
    <w:rsid w:val="44004F9E"/>
    <w:rsid w:val="44056110"/>
    <w:rsid w:val="440A1978"/>
    <w:rsid w:val="44120D48"/>
    <w:rsid w:val="44130F3B"/>
    <w:rsid w:val="44150BB1"/>
    <w:rsid w:val="441647C1"/>
    <w:rsid w:val="44184095"/>
    <w:rsid w:val="441A6E88"/>
    <w:rsid w:val="442347E8"/>
    <w:rsid w:val="442A5B77"/>
    <w:rsid w:val="442D183B"/>
    <w:rsid w:val="442D3FA2"/>
    <w:rsid w:val="44301C90"/>
    <w:rsid w:val="44447EB3"/>
    <w:rsid w:val="44452CEF"/>
    <w:rsid w:val="44467F30"/>
    <w:rsid w:val="44513E1B"/>
    <w:rsid w:val="445D1E68"/>
    <w:rsid w:val="445F7F77"/>
    <w:rsid w:val="44615A3C"/>
    <w:rsid w:val="44643563"/>
    <w:rsid w:val="4466037D"/>
    <w:rsid w:val="44670B79"/>
    <w:rsid w:val="4469669F"/>
    <w:rsid w:val="446E1F07"/>
    <w:rsid w:val="44716EBB"/>
    <w:rsid w:val="4473751E"/>
    <w:rsid w:val="447470B6"/>
    <w:rsid w:val="44760DBC"/>
    <w:rsid w:val="4476700E"/>
    <w:rsid w:val="44783E9F"/>
    <w:rsid w:val="447C334E"/>
    <w:rsid w:val="447F1240"/>
    <w:rsid w:val="44901E7E"/>
    <w:rsid w:val="44913578"/>
    <w:rsid w:val="44930DA6"/>
    <w:rsid w:val="44973F3B"/>
    <w:rsid w:val="4498343B"/>
    <w:rsid w:val="449A2CFC"/>
    <w:rsid w:val="449B7B7F"/>
    <w:rsid w:val="449F6565"/>
    <w:rsid w:val="44A01F6C"/>
    <w:rsid w:val="44A27E80"/>
    <w:rsid w:val="44A45929"/>
    <w:rsid w:val="44A667A7"/>
    <w:rsid w:val="44A66BDE"/>
    <w:rsid w:val="44B229C3"/>
    <w:rsid w:val="44B57B36"/>
    <w:rsid w:val="44B92D35"/>
    <w:rsid w:val="44B951CC"/>
    <w:rsid w:val="44BA6EFA"/>
    <w:rsid w:val="44BF37CB"/>
    <w:rsid w:val="44C63AF1"/>
    <w:rsid w:val="44C67F95"/>
    <w:rsid w:val="44C83C34"/>
    <w:rsid w:val="44CA73EE"/>
    <w:rsid w:val="44CD14E0"/>
    <w:rsid w:val="44D34460"/>
    <w:rsid w:val="44DC1567"/>
    <w:rsid w:val="44E73A68"/>
    <w:rsid w:val="44ED5522"/>
    <w:rsid w:val="44EE129A"/>
    <w:rsid w:val="44EE1E77"/>
    <w:rsid w:val="44F1354D"/>
    <w:rsid w:val="44F20B0B"/>
    <w:rsid w:val="44F24B1B"/>
    <w:rsid w:val="44F7490B"/>
    <w:rsid w:val="44FF0DB1"/>
    <w:rsid w:val="44FF3B1B"/>
    <w:rsid w:val="4503739E"/>
    <w:rsid w:val="450E4BBE"/>
    <w:rsid w:val="451C7BB5"/>
    <w:rsid w:val="452840C0"/>
    <w:rsid w:val="452E5F4C"/>
    <w:rsid w:val="45321187"/>
    <w:rsid w:val="453C3DB3"/>
    <w:rsid w:val="453E3DF5"/>
    <w:rsid w:val="453E7B2C"/>
    <w:rsid w:val="453F0617"/>
    <w:rsid w:val="453F378C"/>
    <w:rsid w:val="453F38A4"/>
    <w:rsid w:val="4540771A"/>
    <w:rsid w:val="454A2A50"/>
    <w:rsid w:val="45513D03"/>
    <w:rsid w:val="455410FD"/>
    <w:rsid w:val="45582F6F"/>
    <w:rsid w:val="45612018"/>
    <w:rsid w:val="45704A8F"/>
    <w:rsid w:val="4574179F"/>
    <w:rsid w:val="457572C5"/>
    <w:rsid w:val="45781253"/>
    <w:rsid w:val="457E43CC"/>
    <w:rsid w:val="45860F94"/>
    <w:rsid w:val="458946E9"/>
    <w:rsid w:val="458A2D71"/>
    <w:rsid w:val="458D25B3"/>
    <w:rsid w:val="458F230D"/>
    <w:rsid w:val="458F482B"/>
    <w:rsid w:val="459C2C46"/>
    <w:rsid w:val="45A47C0E"/>
    <w:rsid w:val="45A71B75"/>
    <w:rsid w:val="45A91930"/>
    <w:rsid w:val="45BD46DC"/>
    <w:rsid w:val="45C73FC5"/>
    <w:rsid w:val="45C81AEB"/>
    <w:rsid w:val="45C83899"/>
    <w:rsid w:val="45DC4A98"/>
    <w:rsid w:val="45DE4E6B"/>
    <w:rsid w:val="45E2495B"/>
    <w:rsid w:val="45E4156E"/>
    <w:rsid w:val="45E83F3B"/>
    <w:rsid w:val="45F11042"/>
    <w:rsid w:val="4609638B"/>
    <w:rsid w:val="461751AB"/>
    <w:rsid w:val="4618037D"/>
    <w:rsid w:val="461D54B7"/>
    <w:rsid w:val="461E422C"/>
    <w:rsid w:val="461F622E"/>
    <w:rsid w:val="462E5DF2"/>
    <w:rsid w:val="462F1B6A"/>
    <w:rsid w:val="4631143E"/>
    <w:rsid w:val="463469A8"/>
    <w:rsid w:val="46354F72"/>
    <w:rsid w:val="463902F3"/>
    <w:rsid w:val="463C61FF"/>
    <w:rsid w:val="464253F9"/>
    <w:rsid w:val="46453B38"/>
    <w:rsid w:val="46577FD6"/>
    <w:rsid w:val="46601D24"/>
    <w:rsid w:val="466B2BA2"/>
    <w:rsid w:val="46771F61"/>
    <w:rsid w:val="467A2DE5"/>
    <w:rsid w:val="468477C0"/>
    <w:rsid w:val="469A5235"/>
    <w:rsid w:val="469C7200"/>
    <w:rsid w:val="46A04C6D"/>
    <w:rsid w:val="46AA2F9F"/>
    <w:rsid w:val="46B362F7"/>
    <w:rsid w:val="46B75DE7"/>
    <w:rsid w:val="46B8390E"/>
    <w:rsid w:val="46C027C2"/>
    <w:rsid w:val="46C52607"/>
    <w:rsid w:val="46C66E6B"/>
    <w:rsid w:val="46CB1893"/>
    <w:rsid w:val="46CB3641"/>
    <w:rsid w:val="46D813B2"/>
    <w:rsid w:val="46D955A7"/>
    <w:rsid w:val="46DA1AD6"/>
    <w:rsid w:val="46E144F8"/>
    <w:rsid w:val="46E21BFB"/>
    <w:rsid w:val="46E86CDC"/>
    <w:rsid w:val="46ED333D"/>
    <w:rsid w:val="46ED38F4"/>
    <w:rsid w:val="46F10BCE"/>
    <w:rsid w:val="46F20B12"/>
    <w:rsid w:val="46F506BE"/>
    <w:rsid w:val="46FA3F26"/>
    <w:rsid w:val="46FC1DFB"/>
    <w:rsid w:val="46FF32EA"/>
    <w:rsid w:val="46FF778E"/>
    <w:rsid w:val="470637FB"/>
    <w:rsid w:val="470703F1"/>
    <w:rsid w:val="47095015"/>
    <w:rsid w:val="471054F8"/>
    <w:rsid w:val="47133957"/>
    <w:rsid w:val="471A6376"/>
    <w:rsid w:val="471D19C3"/>
    <w:rsid w:val="4723522B"/>
    <w:rsid w:val="4724166B"/>
    <w:rsid w:val="472965B9"/>
    <w:rsid w:val="472B15B9"/>
    <w:rsid w:val="472D60AA"/>
    <w:rsid w:val="472E597E"/>
    <w:rsid w:val="473A16AB"/>
    <w:rsid w:val="473E02B7"/>
    <w:rsid w:val="47411B55"/>
    <w:rsid w:val="474B29D4"/>
    <w:rsid w:val="47510C8C"/>
    <w:rsid w:val="4757737F"/>
    <w:rsid w:val="475851FE"/>
    <w:rsid w:val="475F022D"/>
    <w:rsid w:val="47615D53"/>
    <w:rsid w:val="47617B01"/>
    <w:rsid w:val="476D294A"/>
    <w:rsid w:val="47737835"/>
    <w:rsid w:val="4774601E"/>
    <w:rsid w:val="47767A51"/>
    <w:rsid w:val="477C493B"/>
    <w:rsid w:val="477E0A90"/>
    <w:rsid w:val="478101A3"/>
    <w:rsid w:val="47835CCA"/>
    <w:rsid w:val="478B1022"/>
    <w:rsid w:val="47971775"/>
    <w:rsid w:val="479D7794"/>
    <w:rsid w:val="47A07E0C"/>
    <w:rsid w:val="47A52D64"/>
    <w:rsid w:val="47AA00C4"/>
    <w:rsid w:val="47AA13D5"/>
    <w:rsid w:val="47B0485B"/>
    <w:rsid w:val="47B265AF"/>
    <w:rsid w:val="47B27DFA"/>
    <w:rsid w:val="47B40747"/>
    <w:rsid w:val="47B440D5"/>
    <w:rsid w:val="47B70069"/>
    <w:rsid w:val="47C63E08"/>
    <w:rsid w:val="47CA247E"/>
    <w:rsid w:val="47CD163B"/>
    <w:rsid w:val="47D26C51"/>
    <w:rsid w:val="47D40D02"/>
    <w:rsid w:val="47E0311C"/>
    <w:rsid w:val="47E04ECA"/>
    <w:rsid w:val="47E56984"/>
    <w:rsid w:val="47EA6BB8"/>
    <w:rsid w:val="47EA7AF7"/>
    <w:rsid w:val="47F46BC7"/>
    <w:rsid w:val="47F72214"/>
    <w:rsid w:val="47F7363D"/>
    <w:rsid w:val="47FC1154"/>
    <w:rsid w:val="48036E0A"/>
    <w:rsid w:val="480744E8"/>
    <w:rsid w:val="48224860"/>
    <w:rsid w:val="48284490"/>
    <w:rsid w:val="48291299"/>
    <w:rsid w:val="482C010F"/>
    <w:rsid w:val="483416BA"/>
    <w:rsid w:val="483801B3"/>
    <w:rsid w:val="4839506A"/>
    <w:rsid w:val="4847319B"/>
    <w:rsid w:val="4847426C"/>
    <w:rsid w:val="484D62D8"/>
    <w:rsid w:val="484E298E"/>
    <w:rsid w:val="484F2050"/>
    <w:rsid w:val="48547666"/>
    <w:rsid w:val="485675BD"/>
    <w:rsid w:val="485A5411"/>
    <w:rsid w:val="48602608"/>
    <w:rsid w:val="4870272E"/>
    <w:rsid w:val="4876582E"/>
    <w:rsid w:val="48847F4B"/>
    <w:rsid w:val="48992AAF"/>
    <w:rsid w:val="48A40CC7"/>
    <w:rsid w:val="48A44149"/>
    <w:rsid w:val="48A972BB"/>
    <w:rsid w:val="48B00D40"/>
    <w:rsid w:val="48B14AB8"/>
    <w:rsid w:val="48B620CF"/>
    <w:rsid w:val="48B92424"/>
    <w:rsid w:val="48B9571B"/>
    <w:rsid w:val="48BB27EB"/>
    <w:rsid w:val="48C247C2"/>
    <w:rsid w:val="48CA48D7"/>
    <w:rsid w:val="48CC36A0"/>
    <w:rsid w:val="48CC6426"/>
    <w:rsid w:val="48CE11C6"/>
    <w:rsid w:val="48D11201"/>
    <w:rsid w:val="48D840E9"/>
    <w:rsid w:val="48E21116"/>
    <w:rsid w:val="48E82C02"/>
    <w:rsid w:val="48EE407C"/>
    <w:rsid w:val="48F80D3E"/>
    <w:rsid w:val="490B241B"/>
    <w:rsid w:val="491017DF"/>
    <w:rsid w:val="491923CC"/>
    <w:rsid w:val="492269D9"/>
    <w:rsid w:val="49283FCE"/>
    <w:rsid w:val="492B03C7"/>
    <w:rsid w:val="49366D6C"/>
    <w:rsid w:val="493A708A"/>
    <w:rsid w:val="493C4382"/>
    <w:rsid w:val="493E0AE1"/>
    <w:rsid w:val="494029CE"/>
    <w:rsid w:val="49496A9F"/>
    <w:rsid w:val="495711BC"/>
    <w:rsid w:val="495939FB"/>
    <w:rsid w:val="495B4AF9"/>
    <w:rsid w:val="495B7B33"/>
    <w:rsid w:val="495C2C76"/>
    <w:rsid w:val="495F4514"/>
    <w:rsid w:val="49627B61"/>
    <w:rsid w:val="49647D7D"/>
    <w:rsid w:val="49674B08"/>
    <w:rsid w:val="496B171D"/>
    <w:rsid w:val="496B4C67"/>
    <w:rsid w:val="497526AF"/>
    <w:rsid w:val="49757894"/>
    <w:rsid w:val="4977197C"/>
    <w:rsid w:val="497E2BEC"/>
    <w:rsid w:val="49825388"/>
    <w:rsid w:val="49836455"/>
    <w:rsid w:val="49850EE9"/>
    <w:rsid w:val="499952C0"/>
    <w:rsid w:val="499A0BD5"/>
    <w:rsid w:val="499C12C5"/>
    <w:rsid w:val="499C3073"/>
    <w:rsid w:val="49A5461D"/>
    <w:rsid w:val="49A60395"/>
    <w:rsid w:val="49A81A17"/>
    <w:rsid w:val="49A96EA4"/>
    <w:rsid w:val="49AB1508"/>
    <w:rsid w:val="49AE13C1"/>
    <w:rsid w:val="49B36E6E"/>
    <w:rsid w:val="49BD5EE9"/>
    <w:rsid w:val="49C8681C"/>
    <w:rsid w:val="49D40572"/>
    <w:rsid w:val="49D40A5E"/>
    <w:rsid w:val="49D46CB0"/>
    <w:rsid w:val="49DB1DED"/>
    <w:rsid w:val="49DC7715"/>
    <w:rsid w:val="49DD5F79"/>
    <w:rsid w:val="49DE7B2F"/>
    <w:rsid w:val="49E05655"/>
    <w:rsid w:val="49E537A2"/>
    <w:rsid w:val="49E8275C"/>
    <w:rsid w:val="49EA608A"/>
    <w:rsid w:val="49F42EAF"/>
    <w:rsid w:val="49F55D16"/>
    <w:rsid w:val="4A001BD4"/>
    <w:rsid w:val="4A023139"/>
    <w:rsid w:val="4A064990"/>
    <w:rsid w:val="4A1349BC"/>
    <w:rsid w:val="4A201EF6"/>
    <w:rsid w:val="4A203CA4"/>
    <w:rsid w:val="4A2367FA"/>
    <w:rsid w:val="4A25750C"/>
    <w:rsid w:val="4A2C3CB0"/>
    <w:rsid w:val="4A315EB1"/>
    <w:rsid w:val="4A3363AE"/>
    <w:rsid w:val="4A3414FD"/>
    <w:rsid w:val="4A3A47AE"/>
    <w:rsid w:val="4A404346"/>
    <w:rsid w:val="4A4756D4"/>
    <w:rsid w:val="4A4A3E2B"/>
    <w:rsid w:val="4A4D5976"/>
    <w:rsid w:val="4A4F4589"/>
    <w:rsid w:val="4A557E56"/>
    <w:rsid w:val="4A58486B"/>
    <w:rsid w:val="4A5D789E"/>
    <w:rsid w:val="4A622179"/>
    <w:rsid w:val="4A624BE2"/>
    <w:rsid w:val="4A6A4F1F"/>
    <w:rsid w:val="4A761172"/>
    <w:rsid w:val="4A7638C4"/>
    <w:rsid w:val="4A784D00"/>
    <w:rsid w:val="4A7B576F"/>
    <w:rsid w:val="4A7E6C1C"/>
    <w:rsid w:val="4A82670C"/>
    <w:rsid w:val="4A895CED"/>
    <w:rsid w:val="4A8A55C1"/>
    <w:rsid w:val="4A8C30E7"/>
    <w:rsid w:val="4A911A51"/>
    <w:rsid w:val="4A930919"/>
    <w:rsid w:val="4A952324"/>
    <w:rsid w:val="4A9B77CE"/>
    <w:rsid w:val="4AA0725A"/>
    <w:rsid w:val="4AA46683"/>
    <w:rsid w:val="4AAA0937"/>
    <w:rsid w:val="4AAA1377"/>
    <w:rsid w:val="4AAD7CFB"/>
    <w:rsid w:val="4AB16FF2"/>
    <w:rsid w:val="4AB253A0"/>
    <w:rsid w:val="4AB663B6"/>
    <w:rsid w:val="4AB77C70"/>
    <w:rsid w:val="4AB8212E"/>
    <w:rsid w:val="4ABD13A6"/>
    <w:rsid w:val="4AC05487"/>
    <w:rsid w:val="4AC26D4B"/>
    <w:rsid w:val="4AC55A8C"/>
    <w:rsid w:val="4ACF0138"/>
    <w:rsid w:val="4AD8457E"/>
    <w:rsid w:val="4AD91C8C"/>
    <w:rsid w:val="4ADA5679"/>
    <w:rsid w:val="4ADB26BF"/>
    <w:rsid w:val="4ADF76BB"/>
    <w:rsid w:val="4AE01685"/>
    <w:rsid w:val="4AE13903"/>
    <w:rsid w:val="4AEC6ADB"/>
    <w:rsid w:val="4AF561A9"/>
    <w:rsid w:val="4AFA2747"/>
    <w:rsid w:val="4AFB01ED"/>
    <w:rsid w:val="4B0215FB"/>
    <w:rsid w:val="4B0435C5"/>
    <w:rsid w:val="4B0C4B12"/>
    <w:rsid w:val="4B0C70DD"/>
    <w:rsid w:val="4B156763"/>
    <w:rsid w:val="4B162A4D"/>
    <w:rsid w:val="4B1866B3"/>
    <w:rsid w:val="4B197B6C"/>
    <w:rsid w:val="4B1F3F5B"/>
    <w:rsid w:val="4B216D41"/>
    <w:rsid w:val="4B225EDD"/>
    <w:rsid w:val="4B296B88"/>
    <w:rsid w:val="4B2C0529"/>
    <w:rsid w:val="4B3A2EE9"/>
    <w:rsid w:val="4B3F63AB"/>
    <w:rsid w:val="4B447E66"/>
    <w:rsid w:val="4B4B74BE"/>
    <w:rsid w:val="4B4D1F85"/>
    <w:rsid w:val="4B4F5310"/>
    <w:rsid w:val="4B5005B9"/>
    <w:rsid w:val="4B500C21"/>
    <w:rsid w:val="4B550183"/>
    <w:rsid w:val="4B5A66F2"/>
    <w:rsid w:val="4B662CC3"/>
    <w:rsid w:val="4B696232"/>
    <w:rsid w:val="4B6D116B"/>
    <w:rsid w:val="4B6E6C91"/>
    <w:rsid w:val="4B7148A0"/>
    <w:rsid w:val="4B7F5535"/>
    <w:rsid w:val="4B897627"/>
    <w:rsid w:val="4B8D5EB9"/>
    <w:rsid w:val="4B9506C1"/>
    <w:rsid w:val="4BA17066"/>
    <w:rsid w:val="4BA2417F"/>
    <w:rsid w:val="4BAB3A41"/>
    <w:rsid w:val="4BAB3A60"/>
    <w:rsid w:val="4BB7413E"/>
    <w:rsid w:val="4BB84375"/>
    <w:rsid w:val="4BBB04B3"/>
    <w:rsid w:val="4BBD041E"/>
    <w:rsid w:val="4BBF23FC"/>
    <w:rsid w:val="4BCB7C3F"/>
    <w:rsid w:val="4BCD1D5B"/>
    <w:rsid w:val="4BCD7E5B"/>
    <w:rsid w:val="4BCF3BD3"/>
    <w:rsid w:val="4BD10D32"/>
    <w:rsid w:val="4BDF193C"/>
    <w:rsid w:val="4BE11211"/>
    <w:rsid w:val="4BE17463"/>
    <w:rsid w:val="4BE331DB"/>
    <w:rsid w:val="4BE5049F"/>
    <w:rsid w:val="4BE9528C"/>
    <w:rsid w:val="4BF76C86"/>
    <w:rsid w:val="4BFE6267"/>
    <w:rsid w:val="4C052456"/>
    <w:rsid w:val="4C06511B"/>
    <w:rsid w:val="4C0A4C0B"/>
    <w:rsid w:val="4C0B2731"/>
    <w:rsid w:val="4C0E5BEC"/>
    <w:rsid w:val="4C0E74F6"/>
    <w:rsid w:val="4C223151"/>
    <w:rsid w:val="4C2537F3"/>
    <w:rsid w:val="4C290CA0"/>
    <w:rsid w:val="4C2A56FA"/>
    <w:rsid w:val="4C324162"/>
    <w:rsid w:val="4C341C88"/>
    <w:rsid w:val="4C4023DB"/>
    <w:rsid w:val="4C404189"/>
    <w:rsid w:val="4C4874E2"/>
    <w:rsid w:val="4C494BD9"/>
    <w:rsid w:val="4C4A0649"/>
    <w:rsid w:val="4C505BA4"/>
    <w:rsid w:val="4C5D11DF"/>
    <w:rsid w:val="4C6562E6"/>
    <w:rsid w:val="4C675BBA"/>
    <w:rsid w:val="4C6C1422"/>
    <w:rsid w:val="4C6D6F48"/>
    <w:rsid w:val="4C740F11"/>
    <w:rsid w:val="4C76083F"/>
    <w:rsid w:val="4C76404F"/>
    <w:rsid w:val="4C793B3F"/>
    <w:rsid w:val="4C795D3B"/>
    <w:rsid w:val="4C7B3413"/>
    <w:rsid w:val="4C7D1634"/>
    <w:rsid w:val="4C7E5ECA"/>
    <w:rsid w:val="4C8073A5"/>
    <w:rsid w:val="4C810E93"/>
    <w:rsid w:val="4C843F2C"/>
    <w:rsid w:val="4C876AA5"/>
    <w:rsid w:val="4C896221"/>
    <w:rsid w:val="4C8E043C"/>
    <w:rsid w:val="4C9316DD"/>
    <w:rsid w:val="4C982217"/>
    <w:rsid w:val="4C9E7EC9"/>
    <w:rsid w:val="4CA3296A"/>
    <w:rsid w:val="4CA37CC7"/>
    <w:rsid w:val="4CAA4CDF"/>
    <w:rsid w:val="4CAA5AA7"/>
    <w:rsid w:val="4CB30DFF"/>
    <w:rsid w:val="4CB93F3C"/>
    <w:rsid w:val="4CBB7CB4"/>
    <w:rsid w:val="4CBD57DA"/>
    <w:rsid w:val="4CD82614"/>
    <w:rsid w:val="4CE0771A"/>
    <w:rsid w:val="4CE251D5"/>
    <w:rsid w:val="4CE94821"/>
    <w:rsid w:val="4CEA0599"/>
    <w:rsid w:val="4CEF4C08"/>
    <w:rsid w:val="4CF25C91"/>
    <w:rsid w:val="4CFA4048"/>
    <w:rsid w:val="4CFA6A2E"/>
    <w:rsid w:val="4CFB6302"/>
    <w:rsid w:val="4CFD02CC"/>
    <w:rsid w:val="4D07719E"/>
    <w:rsid w:val="4D0E00FB"/>
    <w:rsid w:val="4D130D52"/>
    <w:rsid w:val="4D176606"/>
    <w:rsid w:val="4D1F0579"/>
    <w:rsid w:val="4D2770F7"/>
    <w:rsid w:val="4D2E66D8"/>
    <w:rsid w:val="4D371A30"/>
    <w:rsid w:val="4D3904CD"/>
    <w:rsid w:val="4D3F08E5"/>
    <w:rsid w:val="4D411D52"/>
    <w:rsid w:val="4D4C4B8C"/>
    <w:rsid w:val="4D4D1254"/>
    <w:rsid w:val="4D4E0B28"/>
    <w:rsid w:val="4D4E28D6"/>
    <w:rsid w:val="4D565FCD"/>
    <w:rsid w:val="4D6025B0"/>
    <w:rsid w:val="4D610A5A"/>
    <w:rsid w:val="4D6316C6"/>
    <w:rsid w:val="4D754EEB"/>
    <w:rsid w:val="4D834C75"/>
    <w:rsid w:val="4D84279B"/>
    <w:rsid w:val="4D891E34"/>
    <w:rsid w:val="4D8A4135"/>
    <w:rsid w:val="4D9A162A"/>
    <w:rsid w:val="4D9C1893"/>
    <w:rsid w:val="4DA8648A"/>
    <w:rsid w:val="4DAC067C"/>
    <w:rsid w:val="4DB61CC2"/>
    <w:rsid w:val="4DBA3F1E"/>
    <w:rsid w:val="4DC25072"/>
    <w:rsid w:val="4DD56D3A"/>
    <w:rsid w:val="4DDF5C24"/>
    <w:rsid w:val="4DE90850"/>
    <w:rsid w:val="4DEB281B"/>
    <w:rsid w:val="4DEC4FB0"/>
    <w:rsid w:val="4DF711BF"/>
    <w:rsid w:val="4DF81CF1"/>
    <w:rsid w:val="4DFC4A28"/>
    <w:rsid w:val="4DFC67D6"/>
    <w:rsid w:val="4E061402"/>
    <w:rsid w:val="4E0655E0"/>
    <w:rsid w:val="4E075D8A"/>
    <w:rsid w:val="4E0B6A19"/>
    <w:rsid w:val="4E1458CD"/>
    <w:rsid w:val="4E197388"/>
    <w:rsid w:val="4E1E499E"/>
    <w:rsid w:val="4E2438EC"/>
    <w:rsid w:val="4E243DBE"/>
    <w:rsid w:val="4E30647F"/>
    <w:rsid w:val="4E345F70"/>
    <w:rsid w:val="4E395334"/>
    <w:rsid w:val="4E3C637F"/>
    <w:rsid w:val="4E3D219E"/>
    <w:rsid w:val="4E4472EA"/>
    <w:rsid w:val="4E4B7C6A"/>
    <w:rsid w:val="4E524648"/>
    <w:rsid w:val="4E5721CF"/>
    <w:rsid w:val="4E5B34FC"/>
    <w:rsid w:val="4E5B372B"/>
    <w:rsid w:val="4E5C7531"/>
    <w:rsid w:val="4E5E5A9B"/>
    <w:rsid w:val="4E5F3559"/>
    <w:rsid w:val="4E63316B"/>
    <w:rsid w:val="4E726A98"/>
    <w:rsid w:val="4E730148"/>
    <w:rsid w:val="4E772300"/>
    <w:rsid w:val="4E791BD4"/>
    <w:rsid w:val="4E8011B5"/>
    <w:rsid w:val="4E8E2A2B"/>
    <w:rsid w:val="4E8F31A6"/>
    <w:rsid w:val="4E8F706D"/>
    <w:rsid w:val="4E911A80"/>
    <w:rsid w:val="4E9664FC"/>
    <w:rsid w:val="4E9C58C3"/>
    <w:rsid w:val="4E9F06A8"/>
    <w:rsid w:val="4EA60C58"/>
    <w:rsid w:val="4EBB3F9B"/>
    <w:rsid w:val="4EC00FAD"/>
    <w:rsid w:val="4EC54E1A"/>
    <w:rsid w:val="4EC56BC8"/>
    <w:rsid w:val="4EC64312"/>
    <w:rsid w:val="4ECA0BA9"/>
    <w:rsid w:val="4ED84B4D"/>
    <w:rsid w:val="4EE07EA5"/>
    <w:rsid w:val="4EE14D9C"/>
    <w:rsid w:val="4EE554BC"/>
    <w:rsid w:val="4EEC23A6"/>
    <w:rsid w:val="4EEF1E97"/>
    <w:rsid w:val="4EFB1481"/>
    <w:rsid w:val="4EFC6035"/>
    <w:rsid w:val="4F0001D1"/>
    <w:rsid w:val="4F0639B2"/>
    <w:rsid w:val="4F12268E"/>
    <w:rsid w:val="4F157929"/>
    <w:rsid w:val="4F1E452A"/>
    <w:rsid w:val="4F2064F4"/>
    <w:rsid w:val="4F223D61"/>
    <w:rsid w:val="4F365D17"/>
    <w:rsid w:val="4F3673B2"/>
    <w:rsid w:val="4F381A8F"/>
    <w:rsid w:val="4F3A5808"/>
    <w:rsid w:val="4F400944"/>
    <w:rsid w:val="4F4B79F8"/>
    <w:rsid w:val="4F50502B"/>
    <w:rsid w:val="4F534765"/>
    <w:rsid w:val="4F585C8E"/>
    <w:rsid w:val="4F6028CE"/>
    <w:rsid w:val="4F6C34E7"/>
    <w:rsid w:val="4F734876"/>
    <w:rsid w:val="4F740094"/>
    <w:rsid w:val="4F781E8C"/>
    <w:rsid w:val="4F7852AD"/>
    <w:rsid w:val="4F81195C"/>
    <w:rsid w:val="4F8627FB"/>
    <w:rsid w:val="4F8922EB"/>
    <w:rsid w:val="4F8C67CB"/>
    <w:rsid w:val="4F8F038B"/>
    <w:rsid w:val="4F9342DC"/>
    <w:rsid w:val="4F952A3E"/>
    <w:rsid w:val="4F960564"/>
    <w:rsid w:val="4F9843DC"/>
    <w:rsid w:val="4F9B0FDE"/>
    <w:rsid w:val="4F9F1B0F"/>
    <w:rsid w:val="4FA40D33"/>
    <w:rsid w:val="4FA42F11"/>
    <w:rsid w:val="4FA53567"/>
    <w:rsid w:val="4FA7451F"/>
    <w:rsid w:val="4FAC11AE"/>
    <w:rsid w:val="4FBA06F6"/>
    <w:rsid w:val="4FBB7FCB"/>
    <w:rsid w:val="4FBD7B94"/>
    <w:rsid w:val="4FBE01E7"/>
    <w:rsid w:val="4FC62A8C"/>
    <w:rsid w:val="4FCB2904"/>
    <w:rsid w:val="4FD105F2"/>
    <w:rsid w:val="4FD35314"/>
    <w:rsid w:val="4FDC026A"/>
    <w:rsid w:val="4FDC68BF"/>
    <w:rsid w:val="4FE20F0D"/>
    <w:rsid w:val="4FE37C4D"/>
    <w:rsid w:val="4FE51552"/>
    <w:rsid w:val="4FE614EB"/>
    <w:rsid w:val="4FED1E04"/>
    <w:rsid w:val="4FEF5079"/>
    <w:rsid w:val="4FF82FCD"/>
    <w:rsid w:val="4FF84D7B"/>
    <w:rsid w:val="4FFA573A"/>
    <w:rsid w:val="4FFC0517"/>
    <w:rsid w:val="4FFD05E3"/>
    <w:rsid w:val="5006393C"/>
    <w:rsid w:val="500876B4"/>
    <w:rsid w:val="500E459E"/>
    <w:rsid w:val="500E4CA2"/>
    <w:rsid w:val="501819C0"/>
    <w:rsid w:val="50196558"/>
    <w:rsid w:val="501A5D70"/>
    <w:rsid w:val="501A73E7"/>
    <w:rsid w:val="501E0C85"/>
    <w:rsid w:val="502142D2"/>
    <w:rsid w:val="5023004A"/>
    <w:rsid w:val="502853BB"/>
    <w:rsid w:val="502A1ED9"/>
    <w:rsid w:val="502C4817"/>
    <w:rsid w:val="5032028D"/>
    <w:rsid w:val="503708EA"/>
    <w:rsid w:val="50371083"/>
    <w:rsid w:val="50414974"/>
    <w:rsid w:val="50451771"/>
    <w:rsid w:val="504C0EAE"/>
    <w:rsid w:val="50504C4B"/>
    <w:rsid w:val="50505EE5"/>
    <w:rsid w:val="5055041F"/>
    <w:rsid w:val="50593A6B"/>
    <w:rsid w:val="505D206E"/>
    <w:rsid w:val="505E72D4"/>
    <w:rsid w:val="506D7517"/>
    <w:rsid w:val="506F52EF"/>
    <w:rsid w:val="50720FD1"/>
    <w:rsid w:val="5072616E"/>
    <w:rsid w:val="50733AC5"/>
    <w:rsid w:val="507C4E8F"/>
    <w:rsid w:val="5086682B"/>
    <w:rsid w:val="508825A3"/>
    <w:rsid w:val="508B5BEF"/>
    <w:rsid w:val="508D557C"/>
    <w:rsid w:val="508E21FC"/>
    <w:rsid w:val="50923421"/>
    <w:rsid w:val="509B4084"/>
    <w:rsid w:val="509C6E7C"/>
    <w:rsid w:val="50A07547"/>
    <w:rsid w:val="50A13664"/>
    <w:rsid w:val="50A218B6"/>
    <w:rsid w:val="50A76ECD"/>
    <w:rsid w:val="50A867A1"/>
    <w:rsid w:val="50B43398"/>
    <w:rsid w:val="50B67110"/>
    <w:rsid w:val="50B9275C"/>
    <w:rsid w:val="50C50019"/>
    <w:rsid w:val="50C93A2E"/>
    <w:rsid w:val="50CE26AB"/>
    <w:rsid w:val="50D61560"/>
    <w:rsid w:val="50D6408D"/>
    <w:rsid w:val="50D642AA"/>
    <w:rsid w:val="50D852D8"/>
    <w:rsid w:val="50E363EA"/>
    <w:rsid w:val="50E377D9"/>
    <w:rsid w:val="50E6650D"/>
    <w:rsid w:val="50E93172"/>
    <w:rsid w:val="50EE68AA"/>
    <w:rsid w:val="50F10148"/>
    <w:rsid w:val="50F40BD4"/>
    <w:rsid w:val="50F45D12"/>
    <w:rsid w:val="50F814D6"/>
    <w:rsid w:val="50F86C49"/>
    <w:rsid w:val="50FB4B23"/>
    <w:rsid w:val="50FE2865"/>
    <w:rsid w:val="5100202D"/>
    <w:rsid w:val="5104544F"/>
    <w:rsid w:val="51053BF3"/>
    <w:rsid w:val="510E0CFA"/>
    <w:rsid w:val="5115006A"/>
    <w:rsid w:val="511F1AFD"/>
    <w:rsid w:val="51281690"/>
    <w:rsid w:val="512F2A1E"/>
    <w:rsid w:val="512F6EC2"/>
    <w:rsid w:val="51314C01"/>
    <w:rsid w:val="5133250E"/>
    <w:rsid w:val="51347BD0"/>
    <w:rsid w:val="513854CC"/>
    <w:rsid w:val="514209A3"/>
    <w:rsid w:val="51452242"/>
    <w:rsid w:val="51454E23"/>
    <w:rsid w:val="51477D68"/>
    <w:rsid w:val="514B1EF6"/>
    <w:rsid w:val="515661FD"/>
    <w:rsid w:val="51597A9B"/>
    <w:rsid w:val="5162104E"/>
    <w:rsid w:val="516528E4"/>
    <w:rsid w:val="516C1CB5"/>
    <w:rsid w:val="516F72BF"/>
    <w:rsid w:val="51752B27"/>
    <w:rsid w:val="517B7B75"/>
    <w:rsid w:val="51870AAC"/>
    <w:rsid w:val="51894768"/>
    <w:rsid w:val="518C58ED"/>
    <w:rsid w:val="51986815"/>
    <w:rsid w:val="519A0C31"/>
    <w:rsid w:val="51A11136"/>
    <w:rsid w:val="51A451BA"/>
    <w:rsid w:val="51A60F32"/>
    <w:rsid w:val="51A82CE3"/>
    <w:rsid w:val="51AC406F"/>
    <w:rsid w:val="51B11685"/>
    <w:rsid w:val="51B17B1B"/>
    <w:rsid w:val="51B30B0C"/>
    <w:rsid w:val="51B80C66"/>
    <w:rsid w:val="51BC69A8"/>
    <w:rsid w:val="51C24979"/>
    <w:rsid w:val="51CE5E98"/>
    <w:rsid w:val="51D35A9F"/>
    <w:rsid w:val="51D838B4"/>
    <w:rsid w:val="51D84E64"/>
    <w:rsid w:val="51D90560"/>
    <w:rsid w:val="51E23B86"/>
    <w:rsid w:val="51E47CAD"/>
    <w:rsid w:val="51EA3BB2"/>
    <w:rsid w:val="51EF0D82"/>
    <w:rsid w:val="51F02C08"/>
    <w:rsid w:val="51F3261D"/>
    <w:rsid w:val="51F67F88"/>
    <w:rsid w:val="51FB05A4"/>
    <w:rsid w:val="51FF0643"/>
    <w:rsid w:val="51FF3797"/>
    <w:rsid w:val="520C1195"/>
    <w:rsid w:val="520E4D2A"/>
    <w:rsid w:val="52123DE5"/>
    <w:rsid w:val="521249C0"/>
    <w:rsid w:val="5214673C"/>
    <w:rsid w:val="521C465F"/>
    <w:rsid w:val="521F0424"/>
    <w:rsid w:val="521F6F37"/>
    <w:rsid w:val="5222098A"/>
    <w:rsid w:val="52227EB6"/>
    <w:rsid w:val="52281F00"/>
    <w:rsid w:val="522B0BF1"/>
    <w:rsid w:val="522E0F28"/>
    <w:rsid w:val="5237602E"/>
    <w:rsid w:val="52416EAD"/>
    <w:rsid w:val="524424F9"/>
    <w:rsid w:val="5248023B"/>
    <w:rsid w:val="524F44F6"/>
    <w:rsid w:val="52604924"/>
    <w:rsid w:val="526144F7"/>
    <w:rsid w:val="52635075"/>
    <w:rsid w:val="5268268C"/>
    <w:rsid w:val="526861E8"/>
    <w:rsid w:val="526C4D99"/>
    <w:rsid w:val="527821A3"/>
    <w:rsid w:val="5289407A"/>
    <w:rsid w:val="528A3034"/>
    <w:rsid w:val="528B637A"/>
    <w:rsid w:val="528C45CC"/>
    <w:rsid w:val="528F7C18"/>
    <w:rsid w:val="5290573F"/>
    <w:rsid w:val="52A0309F"/>
    <w:rsid w:val="52A03BD4"/>
    <w:rsid w:val="52A3456C"/>
    <w:rsid w:val="52A445C3"/>
    <w:rsid w:val="52AD009F"/>
    <w:rsid w:val="52B3751A"/>
    <w:rsid w:val="52B83435"/>
    <w:rsid w:val="52C11D9C"/>
    <w:rsid w:val="52C61AA9"/>
    <w:rsid w:val="52E224E5"/>
    <w:rsid w:val="52E62FC8"/>
    <w:rsid w:val="52EA12F3"/>
    <w:rsid w:val="52ED0DE3"/>
    <w:rsid w:val="52F263F9"/>
    <w:rsid w:val="52F42171"/>
    <w:rsid w:val="53000B16"/>
    <w:rsid w:val="53177C0E"/>
    <w:rsid w:val="53191B55"/>
    <w:rsid w:val="531B7F02"/>
    <w:rsid w:val="532A5B93"/>
    <w:rsid w:val="532D5763"/>
    <w:rsid w:val="53373E0C"/>
    <w:rsid w:val="533E519B"/>
    <w:rsid w:val="53456529"/>
    <w:rsid w:val="5352058D"/>
    <w:rsid w:val="535B23B4"/>
    <w:rsid w:val="53600611"/>
    <w:rsid w:val="536A54A7"/>
    <w:rsid w:val="536E3CD2"/>
    <w:rsid w:val="536E5A80"/>
    <w:rsid w:val="536F17F8"/>
    <w:rsid w:val="536F5F7E"/>
    <w:rsid w:val="537D2167"/>
    <w:rsid w:val="538A03E0"/>
    <w:rsid w:val="538A1445"/>
    <w:rsid w:val="538A5CD0"/>
    <w:rsid w:val="538A6632"/>
    <w:rsid w:val="53924CA9"/>
    <w:rsid w:val="539574B0"/>
    <w:rsid w:val="53A039CC"/>
    <w:rsid w:val="53A1505A"/>
    <w:rsid w:val="53A56C24"/>
    <w:rsid w:val="53A72F35"/>
    <w:rsid w:val="53A852FB"/>
    <w:rsid w:val="53B12EB6"/>
    <w:rsid w:val="53B536AF"/>
    <w:rsid w:val="53B65E7D"/>
    <w:rsid w:val="53B84F4D"/>
    <w:rsid w:val="53C02053"/>
    <w:rsid w:val="53C03E02"/>
    <w:rsid w:val="53C5766A"/>
    <w:rsid w:val="53C96418"/>
    <w:rsid w:val="53CA4C80"/>
    <w:rsid w:val="53CC56B4"/>
    <w:rsid w:val="53D004E8"/>
    <w:rsid w:val="53DF4F44"/>
    <w:rsid w:val="53E2021C"/>
    <w:rsid w:val="53E31309"/>
    <w:rsid w:val="53E34E9A"/>
    <w:rsid w:val="53E52EA6"/>
    <w:rsid w:val="53EC109A"/>
    <w:rsid w:val="53EC600F"/>
    <w:rsid w:val="53F1045F"/>
    <w:rsid w:val="53F65A75"/>
    <w:rsid w:val="53F95B71"/>
    <w:rsid w:val="54063E08"/>
    <w:rsid w:val="54085ED4"/>
    <w:rsid w:val="540A502D"/>
    <w:rsid w:val="54121F77"/>
    <w:rsid w:val="541A3860"/>
    <w:rsid w:val="541F321E"/>
    <w:rsid w:val="541F4FCC"/>
    <w:rsid w:val="54240834"/>
    <w:rsid w:val="54245510"/>
    <w:rsid w:val="5426635A"/>
    <w:rsid w:val="543437E8"/>
    <w:rsid w:val="54353ABD"/>
    <w:rsid w:val="543739B0"/>
    <w:rsid w:val="543C3810"/>
    <w:rsid w:val="543F741C"/>
    <w:rsid w:val="54436F0C"/>
    <w:rsid w:val="544B7B6F"/>
    <w:rsid w:val="54505185"/>
    <w:rsid w:val="545731F3"/>
    <w:rsid w:val="545C7FCE"/>
    <w:rsid w:val="545D5AF4"/>
    <w:rsid w:val="545F7ABE"/>
    <w:rsid w:val="546531B8"/>
    <w:rsid w:val="547D75C0"/>
    <w:rsid w:val="548E3F00"/>
    <w:rsid w:val="5494449B"/>
    <w:rsid w:val="549B52D9"/>
    <w:rsid w:val="549B67C3"/>
    <w:rsid w:val="54A331B9"/>
    <w:rsid w:val="54A92AE8"/>
    <w:rsid w:val="54AB2D04"/>
    <w:rsid w:val="54AC06E3"/>
    <w:rsid w:val="54AC08B7"/>
    <w:rsid w:val="54AF6350"/>
    <w:rsid w:val="54B576DE"/>
    <w:rsid w:val="54BA2D72"/>
    <w:rsid w:val="54BA4CF5"/>
    <w:rsid w:val="54BF230B"/>
    <w:rsid w:val="54C31DFB"/>
    <w:rsid w:val="54C87412"/>
    <w:rsid w:val="54CA318A"/>
    <w:rsid w:val="54CC2418"/>
    <w:rsid w:val="54D96D77"/>
    <w:rsid w:val="54E12281"/>
    <w:rsid w:val="54E3249D"/>
    <w:rsid w:val="54E3424B"/>
    <w:rsid w:val="54E57FC4"/>
    <w:rsid w:val="54E63D3C"/>
    <w:rsid w:val="54EF499E"/>
    <w:rsid w:val="54F2623D"/>
    <w:rsid w:val="54F55D2D"/>
    <w:rsid w:val="54F73313"/>
    <w:rsid w:val="54F80955"/>
    <w:rsid w:val="54F93A6F"/>
    <w:rsid w:val="550003BB"/>
    <w:rsid w:val="550055AA"/>
    <w:rsid w:val="55093C9E"/>
    <w:rsid w:val="55214D74"/>
    <w:rsid w:val="552265B5"/>
    <w:rsid w:val="55366A71"/>
    <w:rsid w:val="553A23D4"/>
    <w:rsid w:val="554A7FBB"/>
    <w:rsid w:val="554C4CEA"/>
    <w:rsid w:val="555016E8"/>
    <w:rsid w:val="55515A01"/>
    <w:rsid w:val="555170A7"/>
    <w:rsid w:val="555962BC"/>
    <w:rsid w:val="555E38D2"/>
    <w:rsid w:val="55750332"/>
    <w:rsid w:val="55764B98"/>
    <w:rsid w:val="55782BE6"/>
    <w:rsid w:val="5587536D"/>
    <w:rsid w:val="55936B63"/>
    <w:rsid w:val="55942700"/>
    <w:rsid w:val="559B174B"/>
    <w:rsid w:val="559D43FA"/>
    <w:rsid w:val="559F4616"/>
    <w:rsid w:val="55A0213D"/>
    <w:rsid w:val="55A75279"/>
    <w:rsid w:val="55AA2FBB"/>
    <w:rsid w:val="55B76D02"/>
    <w:rsid w:val="55B856D8"/>
    <w:rsid w:val="55C45E2B"/>
    <w:rsid w:val="55CA3427"/>
    <w:rsid w:val="55CC68D1"/>
    <w:rsid w:val="55CD091A"/>
    <w:rsid w:val="55CE0CF4"/>
    <w:rsid w:val="55CE6CAA"/>
    <w:rsid w:val="55D43B94"/>
    <w:rsid w:val="55D50038"/>
    <w:rsid w:val="55DD36BA"/>
    <w:rsid w:val="55EE10FA"/>
    <w:rsid w:val="55FA7A9F"/>
    <w:rsid w:val="55FD5A47"/>
    <w:rsid w:val="56020028"/>
    <w:rsid w:val="560B27D6"/>
    <w:rsid w:val="560E354A"/>
    <w:rsid w:val="561F43C7"/>
    <w:rsid w:val="561F5757"/>
    <w:rsid w:val="561F7950"/>
    <w:rsid w:val="562468CA"/>
    <w:rsid w:val="562D6CED"/>
    <w:rsid w:val="562E24FA"/>
    <w:rsid w:val="562E7748"/>
    <w:rsid w:val="563749CF"/>
    <w:rsid w:val="563A2544"/>
    <w:rsid w:val="563B4050"/>
    <w:rsid w:val="56471BF3"/>
    <w:rsid w:val="56494337"/>
    <w:rsid w:val="56505911"/>
    <w:rsid w:val="56510DF0"/>
    <w:rsid w:val="5656482C"/>
    <w:rsid w:val="566144CA"/>
    <w:rsid w:val="56630E61"/>
    <w:rsid w:val="56660C90"/>
    <w:rsid w:val="566774FD"/>
    <w:rsid w:val="566969D2"/>
    <w:rsid w:val="566A1EFA"/>
    <w:rsid w:val="566A5487"/>
    <w:rsid w:val="567333AD"/>
    <w:rsid w:val="56753E2C"/>
    <w:rsid w:val="567809C3"/>
    <w:rsid w:val="56882837"/>
    <w:rsid w:val="56A25A40"/>
    <w:rsid w:val="56A619D5"/>
    <w:rsid w:val="56A8574D"/>
    <w:rsid w:val="56AC675E"/>
    <w:rsid w:val="56AF13F7"/>
    <w:rsid w:val="56B22A9C"/>
    <w:rsid w:val="56B32B44"/>
    <w:rsid w:val="56B51C18"/>
    <w:rsid w:val="56B95A31"/>
    <w:rsid w:val="56BA05D6"/>
    <w:rsid w:val="56BC2FA6"/>
    <w:rsid w:val="56C5219E"/>
    <w:rsid w:val="56CB31E9"/>
    <w:rsid w:val="56D4713A"/>
    <w:rsid w:val="56D54068"/>
    <w:rsid w:val="56DC0F52"/>
    <w:rsid w:val="56DC71A4"/>
    <w:rsid w:val="56E16569"/>
    <w:rsid w:val="56E747FB"/>
    <w:rsid w:val="56EE4427"/>
    <w:rsid w:val="56EF716B"/>
    <w:rsid w:val="56F72230"/>
    <w:rsid w:val="56FC4EE9"/>
    <w:rsid w:val="56FF2E93"/>
    <w:rsid w:val="57014E5D"/>
    <w:rsid w:val="570425DE"/>
    <w:rsid w:val="570A3D11"/>
    <w:rsid w:val="57106E4E"/>
    <w:rsid w:val="57144B90"/>
    <w:rsid w:val="571543D9"/>
    <w:rsid w:val="571811D7"/>
    <w:rsid w:val="57184900"/>
    <w:rsid w:val="57193F55"/>
    <w:rsid w:val="5721687F"/>
    <w:rsid w:val="57323268"/>
    <w:rsid w:val="57327458"/>
    <w:rsid w:val="573E39BB"/>
    <w:rsid w:val="57415259"/>
    <w:rsid w:val="57431CF6"/>
    <w:rsid w:val="57465412"/>
    <w:rsid w:val="574B7E86"/>
    <w:rsid w:val="574E5C21"/>
    <w:rsid w:val="575136EE"/>
    <w:rsid w:val="57521214"/>
    <w:rsid w:val="575724C8"/>
    <w:rsid w:val="5758598D"/>
    <w:rsid w:val="575D47C0"/>
    <w:rsid w:val="57623B4D"/>
    <w:rsid w:val="57664CC0"/>
    <w:rsid w:val="57680A38"/>
    <w:rsid w:val="576C0528"/>
    <w:rsid w:val="576F2687"/>
    <w:rsid w:val="5770468E"/>
    <w:rsid w:val="57854C6F"/>
    <w:rsid w:val="578B72A4"/>
    <w:rsid w:val="57947A7F"/>
    <w:rsid w:val="579637F7"/>
    <w:rsid w:val="579932E7"/>
    <w:rsid w:val="57A56223"/>
    <w:rsid w:val="57AA1051"/>
    <w:rsid w:val="57AB06EF"/>
    <w:rsid w:val="57AF2B0B"/>
    <w:rsid w:val="57B63E99"/>
    <w:rsid w:val="57B72A76"/>
    <w:rsid w:val="57B86EB5"/>
    <w:rsid w:val="57B91294"/>
    <w:rsid w:val="57BB500C"/>
    <w:rsid w:val="57C3426C"/>
    <w:rsid w:val="57CA7C01"/>
    <w:rsid w:val="57CD4D3F"/>
    <w:rsid w:val="57CE1F93"/>
    <w:rsid w:val="57CE44B8"/>
    <w:rsid w:val="57DA7B88"/>
    <w:rsid w:val="57DD4B9C"/>
    <w:rsid w:val="57E17F0A"/>
    <w:rsid w:val="57E359C5"/>
    <w:rsid w:val="57E5652D"/>
    <w:rsid w:val="57E91B79"/>
    <w:rsid w:val="57EC750D"/>
    <w:rsid w:val="57EF4CB5"/>
    <w:rsid w:val="57F10A2D"/>
    <w:rsid w:val="57F56770"/>
    <w:rsid w:val="57F57566"/>
    <w:rsid w:val="57FF6859"/>
    <w:rsid w:val="580158B9"/>
    <w:rsid w:val="58030761"/>
    <w:rsid w:val="5806518D"/>
    <w:rsid w:val="580746F5"/>
    <w:rsid w:val="580F7106"/>
    <w:rsid w:val="581806B0"/>
    <w:rsid w:val="5818245E"/>
    <w:rsid w:val="581A7F84"/>
    <w:rsid w:val="581B5AAA"/>
    <w:rsid w:val="581C61DE"/>
    <w:rsid w:val="581F37ED"/>
    <w:rsid w:val="58213C4D"/>
    <w:rsid w:val="58226E39"/>
    <w:rsid w:val="58316ABD"/>
    <w:rsid w:val="58331046"/>
    <w:rsid w:val="583340D9"/>
    <w:rsid w:val="583C618C"/>
    <w:rsid w:val="584113F7"/>
    <w:rsid w:val="58415EB1"/>
    <w:rsid w:val="584414A5"/>
    <w:rsid w:val="58482E49"/>
    <w:rsid w:val="58490869"/>
    <w:rsid w:val="584B0098"/>
    <w:rsid w:val="58516B1B"/>
    <w:rsid w:val="585A4825"/>
    <w:rsid w:val="585D02C2"/>
    <w:rsid w:val="585D4315"/>
    <w:rsid w:val="586210F2"/>
    <w:rsid w:val="5862140F"/>
    <w:rsid w:val="58626456"/>
    <w:rsid w:val="58647451"/>
    <w:rsid w:val="5868458A"/>
    <w:rsid w:val="586F1371"/>
    <w:rsid w:val="58727DC0"/>
    <w:rsid w:val="587434A7"/>
    <w:rsid w:val="5881442B"/>
    <w:rsid w:val="588743D1"/>
    <w:rsid w:val="5887701A"/>
    <w:rsid w:val="58951D01"/>
    <w:rsid w:val="589A7317"/>
    <w:rsid w:val="589D7E56"/>
    <w:rsid w:val="58A106A5"/>
    <w:rsid w:val="58AB6E2E"/>
    <w:rsid w:val="58AD704A"/>
    <w:rsid w:val="58AF3E33"/>
    <w:rsid w:val="58B202E1"/>
    <w:rsid w:val="58B57CAD"/>
    <w:rsid w:val="58C77603"/>
    <w:rsid w:val="58CA3B79"/>
    <w:rsid w:val="58D77C23"/>
    <w:rsid w:val="58E86407"/>
    <w:rsid w:val="58E95BA9"/>
    <w:rsid w:val="58ED24C0"/>
    <w:rsid w:val="58F6578D"/>
    <w:rsid w:val="58FB519C"/>
    <w:rsid w:val="58FD3402"/>
    <w:rsid w:val="590D206C"/>
    <w:rsid w:val="590F13E3"/>
    <w:rsid w:val="59195066"/>
    <w:rsid w:val="592A069B"/>
    <w:rsid w:val="592A4DCC"/>
    <w:rsid w:val="592F7A5F"/>
    <w:rsid w:val="593908DE"/>
    <w:rsid w:val="593B28A8"/>
    <w:rsid w:val="59462FFB"/>
    <w:rsid w:val="594822FE"/>
    <w:rsid w:val="594F1EAF"/>
    <w:rsid w:val="595C45CC"/>
    <w:rsid w:val="59605E6B"/>
    <w:rsid w:val="59644B84"/>
    <w:rsid w:val="5964605D"/>
    <w:rsid w:val="59653481"/>
    <w:rsid w:val="59671AD4"/>
    <w:rsid w:val="596A1978"/>
    <w:rsid w:val="596D4A2C"/>
    <w:rsid w:val="596E0020"/>
    <w:rsid w:val="59745DBA"/>
    <w:rsid w:val="597745F1"/>
    <w:rsid w:val="5980475F"/>
    <w:rsid w:val="598952C5"/>
    <w:rsid w:val="598D4786"/>
    <w:rsid w:val="5991071A"/>
    <w:rsid w:val="59914276"/>
    <w:rsid w:val="59933B19"/>
    <w:rsid w:val="599975CF"/>
    <w:rsid w:val="599B0531"/>
    <w:rsid w:val="599C2C1B"/>
    <w:rsid w:val="59A0095D"/>
    <w:rsid w:val="59A802CF"/>
    <w:rsid w:val="59AF294E"/>
    <w:rsid w:val="59B166C6"/>
    <w:rsid w:val="59B2243E"/>
    <w:rsid w:val="59BB12F3"/>
    <w:rsid w:val="59BB6289"/>
    <w:rsid w:val="59C0439F"/>
    <w:rsid w:val="59C04B5B"/>
    <w:rsid w:val="59C46ED7"/>
    <w:rsid w:val="59C744F3"/>
    <w:rsid w:val="59CA3C2C"/>
    <w:rsid w:val="59CC52AE"/>
    <w:rsid w:val="59CE5FE7"/>
    <w:rsid w:val="59CF4D9E"/>
    <w:rsid w:val="59D03C4E"/>
    <w:rsid w:val="59D306CF"/>
    <w:rsid w:val="59DC369A"/>
    <w:rsid w:val="59E20F76"/>
    <w:rsid w:val="59EE6BEB"/>
    <w:rsid w:val="59EF71EF"/>
    <w:rsid w:val="59F667CF"/>
    <w:rsid w:val="59F91E1B"/>
    <w:rsid w:val="59FF5130"/>
    <w:rsid w:val="5A00764E"/>
    <w:rsid w:val="5A0529AB"/>
    <w:rsid w:val="5A0A4028"/>
    <w:rsid w:val="5A0C70E4"/>
    <w:rsid w:val="5A0D3318"/>
    <w:rsid w:val="5A1524CE"/>
    <w:rsid w:val="5A16167F"/>
    <w:rsid w:val="5A1824A5"/>
    <w:rsid w:val="5A2055FA"/>
    <w:rsid w:val="5A2918DF"/>
    <w:rsid w:val="5A2C0443"/>
    <w:rsid w:val="5A3477D3"/>
    <w:rsid w:val="5A357EB1"/>
    <w:rsid w:val="5A3C31EA"/>
    <w:rsid w:val="5A3E4B07"/>
    <w:rsid w:val="5A413525"/>
    <w:rsid w:val="5A4412E8"/>
    <w:rsid w:val="5A487063"/>
    <w:rsid w:val="5A4C578F"/>
    <w:rsid w:val="5A581238"/>
    <w:rsid w:val="5A5B4884"/>
    <w:rsid w:val="5A5D3366"/>
    <w:rsid w:val="5A61633E"/>
    <w:rsid w:val="5A635B8C"/>
    <w:rsid w:val="5A6903F1"/>
    <w:rsid w:val="5A6A4AC7"/>
    <w:rsid w:val="5A726AEF"/>
    <w:rsid w:val="5A734A53"/>
    <w:rsid w:val="5A783518"/>
    <w:rsid w:val="5A785436"/>
    <w:rsid w:val="5A8262B5"/>
    <w:rsid w:val="5A9009D2"/>
    <w:rsid w:val="5A9014AA"/>
    <w:rsid w:val="5A902780"/>
    <w:rsid w:val="5A9164F8"/>
    <w:rsid w:val="5A962080"/>
    <w:rsid w:val="5A9C7487"/>
    <w:rsid w:val="5A9D30EE"/>
    <w:rsid w:val="5A9F29C3"/>
    <w:rsid w:val="5A9F5E78"/>
    <w:rsid w:val="5AAC7EA8"/>
    <w:rsid w:val="5AB638E3"/>
    <w:rsid w:val="5AB74639"/>
    <w:rsid w:val="5ABA77FD"/>
    <w:rsid w:val="5ABE2233"/>
    <w:rsid w:val="5AC10B8B"/>
    <w:rsid w:val="5AC24903"/>
    <w:rsid w:val="5AC734F6"/>
    <w:rsid w:val="5AC8016B"/>
    <w:rsid w:val="5ACB306E"/>
    <w:rsid w:val="5AD05272"/>
    <w:rsid w:val="5AD308BE"/>
    <w:rsid w:val="5ADC0993"/>
    <w:rsid w:val="5AE02F22"/>
    <w:rsid w:val="5AE14D89"/>
    <w:rsid w:val="5AE26D53"/>
    <w:rsid w:val="5AE2789E"/>
    <w:rsid w:val="5AE42ACB"/>
    <w:rsid w:val="5AE825BC"/>
    <w:rsid w:val="5AE900E2"/>
    <w:rsid w:val="5AEB3E5A"/>
    <w:rsid w:val="5AF40715"/>
    <w:rsid w:val="5AF51CF5"/>
    <w:rsid w:val="5AFF7905"/>
    <w:rsid w:val="5B01367D"/>
    <w:rsid w:val="5B163769"/>
    <w:rsid w:val="5B174C4F"/>
    <w:rsid w:val="5B1A029B"/>
    <w:rsid w:val="5B1B25DC"/>
    <w:rsid w:val="5B1D1191"/>
    <w:rsid w:val="5B1E7D8B"/>
    <w:rsid w:val="5B1F1D55"/>
    <w:rsid w:val="5B286E5C"/>
    <w:rsid w:val="5B325047"/>
    <w:rsid w:val="5B372BFB"/>
    <w:rsid w:val="5B3D4A0E"/>
    <w:rsid w:val="5B4672E2"/>
    <w:rsid w:val="5B4F7175"/>
    <w:rsid w:val="5B510C47"/>
    <w:rsid w:val="5B57329D"/>
    <w:rsid w:val="5B57504B"/>
    <w:rsid w:val="5B5E287E"/>
    <w:rsid w:val="5B6854AA"/>
    <w:rsid w:val="5B69690F"/>
    <w:rsid w:val="5B6D486F"/>
    <w:rsid w:val="5B721680"/>
    <w:rsid w:val="5B726329"/>
    <w:rsid w:val="5B735827"/>
    <w:rsid w:val="5B834092"/>
    <w:rsid w:val="5B977B3E"/>
    <w:rsid w:val="5B9C2BE9"/>
    <w:rsid w:val="5B9D4D20"/>
    <w:rsid w:val="5B9E0AAF"/>
    <w:rsid w:val="5B9E711E"/>
    <w:rsid w:val="5BA30C56"/>
    <w:rsid w:val="5BA8072A"/>
    <w:rsid w:val="5BB10BFF"/>
    <w:rsid w:val="5BB14D3E"/>
    <w:rsid w:val="5BB16E51"/>
    <w:rsid w:val="5BB66216"/>
    <w:rsid w:val="5BB87138"/>
    <w:rsid w:val="5BBC534D"/>
    <w:rsid w:val="5BC00E43"/>
    <w:rsid w:val="5BC6762F"/>
    <w:rsid w:val="5BC806BF"/>
    <w:rsid w:val="5BCA0480"/>
    <w:rsid w:val="5BD20B76"/>
    <w:rsid w:val="5BD90156"/>
    <w:rsid w:val="5BD97FA5"/>
    <w:rsid w:val="5BDB760C"/>
    <w:rsid w:val="5BDF5D95"/>
    <w:rsid w:val="5BE37977"/>
    <w:rsid w:val="5BE56AFB"/>
    <w:rsid w:val="5BEC1C38"/>
    <w:rsid w:val="5BEC60DC"/>
    <w:rsid w:val="5BF03C12"/>
    <w:rsid w:val="5BF136F2"/>
    <w:rsid w:val="5BFA1AE6"/>
    <w:rsid w:val="5BFB00CD"/>
    <w:rsid w:val="5BFE7528"/>
    <w:rsid w:val="5BFF13ED"/>
    <w:rsid w:val="5C043425"/>
    <w:rsid w:val="5C0A47B4"/>
    <w:rsid w:val="5C0A6562"/>
    <w:rsid w:val="5C0D1BAE"/>
    <w:rsid w:val="5C12316F"/>
    <w:rsid w:val="5C182A2D"/>
    <w:rsid w:val="5C1A3007"/>
    <w:rsid w:val="5C1B251D"/>
    <w:rsid w:val="5C1E53D2"/>
    <w:rsid w:val="5C205134"/>
    <w:rsid w:val="5C231806"/>
    <w:rsid w:val="5C237623"/>
    <w:rsid w:val="5C2515ED"/>
    <w:rsid w:val="5C25339C"/>
    <w:rsid w:val="5C34709A"/>
    <w:rsid w:val="5C347FAF"/>
    <w:rsid w:val="5C390BF5"/>
    <w:rsid w:val="5C3D2493"/>
    <w:rsid w:val="5C41597A"/>
    <w:rsid w:val="5C425CFC"/>
    <w:rsid w:val="5C480E38"/>
    <w:rsid w:val="5C4B1054"/>
    <w:rsid w:val="5C4E644E"/>
    <w:rsid w:val="5C553C81"/>
    <w:rsid w:val="5C555466"/>
    <w:rsid w:val="5C5872CD"/>
    <w:rsid w:val="5C606182"/>
    <w:rsid w:val="5C720816"/>
    <w:rsid w:val="5C735EB5"/>
    <w:rsid w:val="5C762422"/>
    <w:rsid w:val="5C78796F"/>
    <w:rsid w:val="5C7B2FBB"/>
    <w:rsid w:val="5C983B6D"/>
    <w:rsid w:val="5C9A5B1A"/>
    <w:rsid w:val="5C9D2F32"/>
    <w:rsid w:val="5CA64445"/>
    <w:rsid w:val="5CA800DD"/>
    <w:rsid w:val="5CA943D8"/>
    <w:rsid w:val="5CAC60B8"/>
    <w:rsid w:val="5CAE3391"/>
    <w:rsid w:val="5CB41780"/>
    <w:rsid w:val="5CBC5AAE"/>
    <w:rsid w:val="5CBF559E"/>
    <w:rsid w:val="5CC22998"/>
    <w:rsid w:val="5CC91F79"/>
    <w:rsid w:val="5CCB5CF1"/>
    <w:rsid w:val="5CCB7A9F"/>
    <w:rsid w:val="5CD945BB"/>
    <w:rsid w:val="5CDA3A05"/>
    <w:rsid w:val="5CDC2775"/>
    <w:rsid w:val="5CDC33AD"/>
    <w:rsid w:val="5CDD3C76"/>
    <w:rsid w:val="5CE40B61"/>
    <w:rsid w:val="5CEB6393"/>
    <w:rsid w:val="5CF52D6E"/>
    <w:rsid w:val="5CF86BF7"/>
    <w:rsid w:val="5CF978A3"/>
    <w:rsid w:val="5CFA4828"/>
    <w:rsid w:val="5CFE4393"/>
    <w:rsid w:val="5CFE60C6"/>
    <w:rsid w:val="5CFF5122"/>
    <w:rsid w:val="5D000084"/>
    <w:rsid w:val="5D0756FB"/>
    <w:rsid w:val="5D0A5414"/>
    <w:rsid w:val="5D1D4073"/>
    <w:rsid w:val="5D1E0517"/>
    <w:rsid w:val="5D2418A5"/>
    <w:rsid w:val="5D245401"/>
    <w:rsid w:val="5D296EBB"/>
    <w:rsid w:val="5D2C42B6"/>
    <w:rsid w:val="5D304854"/>
    <w:rsid w:val="5D325D70"/>
    <w:rsid w:val="5D347D3A"/>
    <w:rsid w:val="5D363438"/>
    <w:rsid w:val="5D363F93"/>
    <w:rsid w:val="5D46181B"/>
    <w:rsid w:val="5D475B2E"/>
    <w:rsid w:val="5D527792"/>
    <w:rsid w:val="5D5F0A58"/>
    <w:rsid w:val="5D604439"/>
    <w:rsid w:val="5D6E329D"/>
    <w:rsid w:val="5D724983"/>
    <w:rsid w:val="5D746389"/>
    <w:rsid w:val="5D775872"/>
    <w:rsid w:val="5D7A3273"/>
    <w:rsid w:val="5D7C348F"/>
    <w:rsid w:val="5D7D7A47"/>
    <w:rsid w:val="5D88539A"/>
    <w:rsid w:val="5D891708"/>
    <w:rsid w:val="5D8A795A"/>
    <w:rsid w:val="5D8B1942"/>
    <w:rsid w:val="5D9B1B67"/>
    <w:rsid w:val="5D9F2CDA"/>
    <w:rsid w:val="5DA324A6"/>
    <w:rsid w:val="5DA80636"/>
    <w:rsid w:val="5DAC57B4"/>
    <w:rsid w:val="5DB21F90"/>
    <w:rsid w:val="5DB378D1"/>
    <w:rsid w:val="5DB42C29"/>
    <w:rsid w:val="5DB6074F"/>
    <w:rsid w:val="5DB76838"/>
    <w:rsid w:val="5DB93D9B"/>
    <w:rsid w:val="5DBE7604"/>
    <w:rsid w:val="5DC10EA2"/>
    <w:rsid w:val="5DCB1D21"/>
    <w:rsid w:val="5DD47711"/>
    <w:rsid w:val="5DD961EC"/>
    <w:rsid w:val="5DE30E18"/>
    <w:rsid w:val="5DE34892"/>
    <w:rsid w:val="5DE519D3"/>
    <w:rsid w:val="5DED0B88"/>
    <w:rsid w:val="5DF553E0"/>
    <w:rsid w:val="5DF666E3"/>
    <w:rsid w:val="5DF66D9E"/>
    <w:rsid w:val="5DF70D68"/>
    <w:rsid w:val="5DF91E52"/>
    <w:rsid w:val="5DF9688E"/>
    <w:rsid w:val="5DFD637E"/>
    <w:rsid w:val="5E005E6E"/>
    <w:rsid w:val="5E03770C"/>
    <w:rsid w:val="5E0C02C8"/>
    <w:rsid w:val="5E1450E3"/>
    <w:rsid w:val="5E1526F8"/>
    <w:rsid w:val="5E2467F1"/>
    <w:rsid w:val="5E2D757E"/>
    <w:rsid w:val="5E331DA0"/>
    <w:rsid w:val="5E3D7845"/>
    <w:rsid w:val="5E437B09"/>
    <w:rsid w:val="5E451AD3"/>
    <w:rsid w:val="5E473A9D"/>
    <w:rsid w:val="5E475F20"/>
    <w:rsid w:val="5E4807AD"/>
    <w:rsid w:val="5E4F4700"/>
    <w:rsid w:val="5E6463FD"/>
    <w:rsid w:val="5E655CD1"/>
    <w:rsid w:val="5E6C20CB"/>
    <w:rsid w:val="5E804C52"/>
    <w:rsid w:val="5E8545C5"/>
    <w:rsid w:val="5E8A35D2"/>
    <w:rsid w:val="5E8E347A"/>
    <w:rsid w:val="5E9063D5"/>
    <w:rsid w:val="5E977D01"/>
    <w:rsid w:val="5EA63292"/>
    <w:rsid w:val="5EAB02E4"/>
    <w:rsid w:val="5EAC3900"/>
    <w:rsid w:val="5EAF6EFE"/>
    <w:rsid w:val="5EB804F7"/>
    <w:rsid w:val="5EB84053"/>
    <w:rsid w:val="5EBD382E"/>
    <w:rsid w:val="5ECB647C"/>
    <w:rsid w:val="5ECE010D"/>
    <w:rsid w:val="5EDB41E5"/>
    <w:rsid w:val="5EE65064"/>
    <w:rsid w:val="5EE74938"/>
    <w:rsid w:val="5EEB0610"/>
    <w:rsid w:val="5EEC63F2"/>
    <w:rsid w:val="5EF05EE3"/>
    <w:rsid w:val="5EF24C80"/>
    <w:rsid w:val="5EFA1672"/>
    <w:rsid w:val="5F0279C4"/>
    <w:rsid w:val="5F0766D7"/>
    <w:rsid w:val="5F092B01"/>
    <w:rsid w:val="5F100333"/>
    <w:rsid w:val="5F1119B5"/>
    <w:rsid w:val="5F117C07"/>
    <w:rsid w:val="5F192375"/>
    <w:rsid w:val="5F1A2B43"/>
    <w:rsid w:val="5F1D035A"/>
    <w:rsid w:val="5F1D2BA2"/>
    <w:rsid w:val="5F20765C"/>
    <w:rsid w:val="5F3457F2"/>
    <w:rsid w:val="5F3C685F"/>
    <w:rsid w:val="5F404FA8"/>
    <w:rsid w:val="5F4C59E7"/>
    <w:rsid w:val="5F4D2839"/>
    <w:rsid w:val="5F4D50E3"/>
    <w:rsid w:val="5F505F9B"/>
    <w:rsid w:val="5F5244A8"/>
    <w:rsid w:val="5F5410EC"/>
    <w:rsid w:val="5F571ABE"/>
    <w:rsid w:val="5F5A335C"/>
    <w:rsid w:val="5F5F6BC4"/>
    <w:rsid w:val="5F634F1B"/>
    <w:rsid w:val="5F681F1D"/>
    <w:rsid w:val="5F6C4A79"/>
    <w:rsid w:val="5F702B80"/>
    <w:rsid w:val="5F750196"/>
    <w:rsid w:val="5F780669"/>
    <w:rsid w:val="5F795ED8"/>
    <w:rsid w:val="5F7C63C0"/>
    <w:rsid w:val="5F7D4849"/>
    <w:rsid w:val="5F8215E6"/>
    <w:rsid w:val="5F89047C"/>
    <w:rsid w:val="5F917744"/>
    <w:rsid w:val="5F927999"/>
    <w:rsid w:val="5F93686E"/>
    <w:rsid w:val="5F9739D9"/>
    <w:rsid w:val="5F992BB6"/>
    <w:rsid w:val="5FA82319"/>
    <w:rsid w:val="5FAA42E4"/>
    <w:rsid w:val="5FAD6AC2"/>
    <w:rsid w:val="5FB100B3"/>
    <w:rsid w:val="5FB213EA"/>
    <w:rsid w:val="5FB641C3"/>
    <w:rsid w:val="5FB837BB"/>
    <w:rsid w:val="5FC145E8"/>
    <w:rsid w:val="5FC87DCF"/>
    <w:rsid w:val="5FD249A7"/>
    <w:rsid w:val="5FD650D9"/>
    <w:rsid w:val="5FD72B7F"/>
    <w:rsid w:val="5FD73C93"/>
    <w:rsid w:val="5FD84331"/>
    <w:rsid w:val="5FDC1FC3"/>
    <w:rsid w:val="5FDC4DF8"/>
    <w:rsid w:val="5FE04CE6"/>
    <w:rsid w:val="5FE315A4"/>
    <w:rsid w:val="5FE80968"/>
    <w:rsid w:val="5FE817F3"/>
    <w:rsid w:val="5FEB0458"/>
    <w:rsid w:val="5FED2422"/>
    <w:rsid w:val="5FF45970"/>
    <w:rsid w:val="5FFE462F"/>
    <w:rsid w:val="60040639"/>
    <w:rsid w:val="60042684"/>
    <w:rsid w:val="6008725C"/>
    <w:rsid w:val="60096975"/>
    <w:rsid w:val="6010496B"/>
    <w:rsid w:val="60116111"/>
    <w:rsid w:val="60145C01"/>
    <w:rsid w:val="60217BDD"/>
    <w:rsid w:val="60231772"/>
    <w:rsid w:val="602B6AA7"/>
    <w:rsid w:val="603C21EC"/>
    <w:rsid w:val="603D4D1E"/>
    <w:rsid w:val="604069F6"/>
    <w:rsid w:val="60415085"/>
    <w:rsid w:val="60483AFC"/>
    <w:rsid w:val="604A1623"/>
    <w:rsid w:val="60566117"/>
    <w:rsid w:val="60591866"/>
    <w:rsid w:val="606607F6"/>
    <w:rsid w:val="60674E36"/>
    <w:rsid w:val="606C3347"/>
    <w:rsid w:val="60730B79"/>
    <w:rsid w:val="607353BE"/>
    <w:rsid w:val="60791F08"/>
    <w:rsid w:val="607C1225"/>
    <w:rsid w:val="607C7302"/>
    <w:rsid w:val="608449DB"/>
    <w:rsid w:val="60883EF9"/>
    <w:rsid w:val="609016BC"/>
    <w:rsid w:val="60911000"/>
    <w:rsid w:val="60917251"/>
    <w:rsid w:val="609603C4"/>
    <w:rsid w:val="609B1DD2"/>
    <w:rsid w:val="609F793F"/>
    <w:rsid w:val="60A83B84"/>
    <w:rsid w:val="60AF76D8"/>
    <w:rsid w:val="60B116A2"/>
    <w:rsid w:val="60BA7255"/>
    <w:rsid w:val="60BE791B"/>
    <w:rsid w:val="60BF310A"/>
    <w:rsid w:val="60C03693"/>
    <w:rsid w:val="60CA4511"/>
    <w:rsid w:val="60CC405A"/>
    <w:rsid w:val="60CE4002"/>
    <w:rsid w:val="60CF1B28"/>
    <w:rsid w:val="60D25994"/>
    <w:rsid w:val="60D3786A"/>
    <w:rsid w:val="60D60260"/>
    <w:rsid w:val="60D61108"/>
    <w:rsid w:val="60DB04CD"/>
    <w:rsid w:val="60DF620F"/>
    <w:rsid w:val="60E05AE3"/>
    <w:rsid w:val="60E530F9"/>
    <w:rsid w:val="60E5591C"/>
    <w:rsid w:val="60EF5D26"/>
    <w:rsid w:val="60F35816"/>
    <w:rsid w:val="60F63558"/>
    <w:rsid w:val="60FE7C04"/>
    <w:rsid w:val="61007DE5"/>
    <w:rsid w:val="610F0176"/>
    <w:rsid w:val="611241D6"/>
    <w:rsid w:val="61130E78"/>
    <w:rsid w:val="611A2DA3"/>
    <w:rsid w:val="611A4731"/>
    <w:rsid w:val="611D6D37"/>
    <w:rsid w:val="6126799A"/>
    <w:rsid w:val="612969D8"/>
    <w:rsid w:val="6129748A"/>
    <w:rsid w:val="612E5F61"/>
    <w:rsid w:val="6138147B"/>
    <w:rsid w:val="613A29FB"/>
    <w:rsid w:val="613E32FA"/>
    <w:rsid w:val="613F6CAD"/>
    <w:rsid w:val="61532759"/>
    <w:rsid w:val="6153325C"/>
    <w:rsid w:val="6154083B"/>
    <w:rsid w:val="615547CC"/>
    <w:rsid w:val="61677FB2"/>
    <w:rsid w:val="616D381B"/>
    <w:rsid w:val="61826B9A"/>
    <w:rsid w:val="61835350"/>
    <w:rsid w:val="61880654"/>
    <w:rsid w:val="61897F29"/>
    <w:rsid w:val="619743F4"/>
    <w:rsid w:val="619C7C5C"/>
    <w:rsid w:val="61A11716"/>
    <w:rsid w:val="61A94127"/>
    <w:rsid w:val="61AB5CE6"/>
    <w:rsid w:val="61B272D8"/>
    <w:rsid w:val="61C6622D"/>
    <w:rsid w:val="61DA0A0B"/>
    <w:rsid w:val="61E16F91"/>
    <w:rsid w:val="61E215D8"/>
    <w:rsid w:val="61E433B1"/>
    <w:rsid w:val="61F15053"/>
    <w:rsid w:val="61F23D20"/>
    <w:rsid w:val="61F9494C"/>
    <w:rsid w:val="62061579"/>
    <w:rsid w:val="62065DE7"/>
    <w:rsid w:val="620746AB"/>
    <w:rsid w:val="620B2363"/>
    <w:rsid w:val="620C3034"/>
    <w:rsid w:val="620E48D6"/>
    <w:rsid w:val="62105B23"/>
    <w:rsid w:val="6218323C"/>
    <w:rsid w:val="621B3775"/>
    <w:rsid w:val="621E2D67"/>
    <w:rsid w:val="622814F0"/>
    <w:rsid w:val="622A170C"/>
    <w:rsid w:val="62311264"/>
    <w:rsid w:val="6232236E"/>
    <w:rsid w:val="62364782"/>
    <w:rsid w:val="62373E29"/>
    <w:rsid w:val="623D6005"/>
    <w:rsid w:val="623E36DF"/>
    <w:rsid w:val="623E6ABC"/>
    <w:rsid w:val="62426A55"/>
    <w:rsid w:val="62470129"/>
    <w:rsid w:val="624D4635"/>
    <w:rsid w:val="62516168"/>
    <w:rsid w:val="62540537"/>
    <w:rsid w:val="62570027"/>
    <w:rsid w:val="625C664B"/>
    <w:rsid w:val="625E0BAD"/>
    <w:rsid w:val="625E7607"/>
    <w:rsid w:val="62606EDB"/>
    <w:rsid w:val="626544F2"/>
    <w:rsid w:val="626562A0"/>
    <w:rsid w:val="626A3993"/>
    <w:rsid w:val="626F68DB"/>
    <w:rsid w:val="627762B4"/>
    <w:rsid w:val="62797F9D"/>
    <w:rsid w:val="627B15F9"/>
    <w:rsid w:val="62854B94"/>
    <w:rsid w:val="628726BA"/>
    <w:rsid w:val="628A3F58"/>
    <w:rsid w:val="62900D6E"/>
    <w:rsid w:val="6299063F"/>
    <w:rsid w:val="629E7A04"/>
    <w:rsid w:val="62A7266F"/>
    <w:rsid w:val="62A72D5C"/>
    <w:rsid w:val="62C0797A"/>
    <w:rsid w:val="62C456BC"/>
    <w:rsid w:val="62C51434"/>
    <w:rsid w:val="62DF6FC3"/>
    <w:rsid w:val="62E0626E"/>
    <w:rsid w:val="62E3443A"/>
    <w:rsid w:val="62EA0E9B"/>
    <w:rsid w:val="62F12229"/>
    <w:rsid w:val="62F31AFE"/>
    <w:rsid w:val="62F67840"/>
    <w:rsid w:val="630820D4"/>
    <w:rsid w:val="63083887"/>
    <w:rsid w:val="630C2BBF"/>
    <w:rsid w:val="631F0B45"/>
    <w:rsid w:val="6320666B"/>
    <w:rsid w:val="63247F09"/>
    <w:rsid w:val="632B50AB"/>
    <w:rsid w:val="632C14B3"/>
    <w:rsid w:val="632D1829"/>
    <w:rsid w:val="63377DE5"/>
    <w:rsid w:val="633B34A5"/>
    <w:rsid w:val="633F2F95"/>
    <w:rsid w:val="63440D78"/>
    <w:rsid w:val="634560D1"/>
    <w:rsid w:val="63464323"/>
    <w:rsid w:val="63534C92"/>
    <w:rsid w:val="6361115D"/>
    <w:rsid w:val="63635CA8"/>
    <w:rsid w:val="63707F69"/>
    <w:rsid w:val="637114CE"/>
    <w:rsid w:val="63770981"/>
    <w:rsid w:val="63822E81"/>
    <w:rsid w:val="63825960"/>
    <w:rsid w:val="6382653C"/>
    <w:rsid w:val="63836F3A"/>
    <w:rsid w:val="63860BC4"/>
    <w:rsid w:val="63870498"/>
    <w:rsid w:val="6389146D"/>
    <w:rsid w:val="638B7F88"/>
    <w:rsid w:val="6390299C"/>
    <w:rsid w:val="63936E3D"/>
    <w:rsid w:val="6394356A"/>
    <w:rsid w:val="63964E44"/>
    <w:rsid w:val="63A06E67"/>
    <w:rsid w:val="63A50B2C"/>
    <w:rsid w:val="63A64DC2"/>
    <w:rsid w:val="63B42E20"/>
    <w:rsid w:val="63C276F4"/>
    <w:rsid w:val="63C60FC0"/>
    <w:rsid w:val="63C61B2C"/>
    <w:rsid w:val="63C74D38"/>
    <w:rsid w:val="63CE6E28"/>
    <w:rsid w:val="63D40BE9"/>
    <w:rsid w:val="63D7141F"/>
    <w:rsid w:val="63DF01FC"/>
    <w:rsid w:val="63E15DFA"/>
    <w:rsid w:val="63E36016"/>
    <w:rsid w:val="63E47698"/>
    <w:rsid w:val="63E4785C"/>
    <w:rsid w:val="63E853DA"/>
    <w:rsid w:val="63E87188"/>
    <w:rsid w:val="63E94CAF"/>
    <w:rsid w:val="63F7561D"/>
    <w:rsid w:val="63FC2C34"/>
    <w:rsid w:val="63FE4BFE"/>
    <w:rsid w:val="640D0195"/>
    <w:rsid w:val="640D6BEF"/>
    <w:rsid w:val="640F0BB9"/>
    <w:rsid w:val="64102431"/>
    <w:rsid w:val="641165E8"/>
    <w:rsid w:val="641D01A1"/>
    <w:rsid w:val="6425727E"/>
    <w:rsid w:val="6426585F"/>
    <w:rsid w:val="64310F58"/>
    <w:rsid w:val="643C5726"/>
    <w:rsid w:val="643C74D4"/>
    <w:rsid w:val="64425DD8"/>
    <w:rsid w:val="644347B1"/>
    <w:rsid w:val="6445034E"/>
    <w:rsid w:val="644D2A57"/>
    <w:rsid w:val="644F2B1F"/>
    <w:rsid w:val="64524F4A"/>
    <w:rsid w:val="64555B0D"/>
    <w:rsid w:val="64560388"/>
    <w:rsid w:val="645B239C"/>
    <w:rsid w:val="645F0A6C"/>
    <w:rsid w:val="64634A61"/>
    <w:rsid w:val="646709F5"/>
    <w:rsid w:val="64673665"/>
    <w:rsid w:val="64677052"/>
    <w:rsid w:val="646A5DEF"/>
    <w:rsid w:val="646B1B68"/>
    <w:rsid w:val="64722EF6"/>
    <w:rsid w:val="6472739A"/>
    <w:rsid w:val="64740A1C"/>
    <w:rsid w:val="64744EC0"/>
    <w:rsid w:val="647749B0"/>
    <w:rsid w:val="64790728"/>
    <w:rsid w:val="647924D6"/>
    <w:rsid w:val="64846667"/>
    <w:rsid w:val="64852C29"/>
    <w:rsid w:val="648A14FD"/>
    <w:rsid w:val="648C20E7"/>
    <w:rsid w:val="648D0E44"/>
    <w:rsid w:val="648F2152"/>
    <w:rsid w:val="648F237D"/>
    <w:rsid w:val="64A05CB5"/>
    <w:rsid w:val="64A31301"/>
    <w:rsid w:val="64A35E67"/>
    <w:rsid w:val="64A46A73"/>
    <w:rsid w:val="64A5243A"/>
    <w:rsid w:val="64BD5954"/>
    <w:rsid w:val="64BF68B6"/>
    <w:rsid w:val="64C179D9"/>
    <w:rsid w:val="64C23E7D"/>
    <w:rsid w:val="64C33752"/>
    <w:rsid w:val="64C5395D"/>
    <w:rsid w:val="64D21BE7"/>
    <w:rsid w:val="64D771FD"/>
    <w:rsid w:val="64D8544F"/>
    <w:rsid w:val="64E35BA2"/>
    <w:rsid w:val="64E84C2E"/>
    <w:rsid w:val="64EA5182"/>
    <w:rsid w:val="64ED4731"/>
    <w:rsid w:val="64F42CCE"/>
    <w:rsid w:val="64F46001"/>
    <w:rsid w:val="64F531DE"/>
    <w:rsid w:val="64F733FB"/>
    <w:rsid w:val="64FB113D"/>
    <w:rsid w:val="64FD0338"/>
    <w:rsid w:val="650733EF"/>
    <w:rsid w:val="6507404E"/>
    <w:rsid w:val="65077AE2"/>
    <w:rsid w:val="650C50F9"/>
    <w:rsid w:val="65136487"/>
    <w:rsid w:val="65162ED1"/>
    <w:rsid w:val="651673BB"/>
    <w:rsid w:val="652107A0"/>
    <w:rsid w:val="65211EF7"/>
    <w:rsid w:val="65297A59"/>
    <w:rsid w:val="652D1B5C"/>
    <w:rsid w:val="65313A7A"/>
    <w:rsid w:val="65341687"/>
    <w:rsid w:val="65342EBF"/>
    <w:rsid w:val="6535464F"/>
    <w:rsid w:val="65373578"/>
    <w:rsid w:val="653C7367"/>
    <w:rsid w:val="65402FF4"/>
    <w:rsid w:val="654274FD"/>
    <w:rsid w:val="65491A47"/>
    <w:rsid w:val="654D2363"/>
    <w:rsid w:val="65532D27"/>
    <w:rsid w:val="65534E25"/>
    <w:rsid w:val="655A5E64"/>
    <w:rsid w:val="655D5954"/>
    <w:rsid w:val="656216B5"/>
    <w:rsid w:val="65660504"/>
    <w:rsid w:val="656767D3"/>
    <w:rsid w:val="65685B13"/>
    <w:rsid w:val="656C5B97"/>
    <w:rsid w:val="657038D9"/>
    <w:rsid w:val="65784102"/>
    <w:rsid w:val="65797D27"/>
    <w:rsid w:val="658B7808"/>
    <w:rsid w:val="65906B10"/>
    <w:rsid w:val="65931376"/>
    <w:rsid w:val="65953340"/>
    <w:rsid w:val="65956E9C"/>
    <w:rsid w:val="65974D84"/>
    <w:rsid w:val="6598698C"/>
    <w:rsid w:val="65A007E7"/>
    <w:rsid w:val="65A02026"/>
    <w:rsid w:val="65A53CF5"/>
    <w:rsid w:val="65A74B3C"/>
    <w:rsid w:val="65A84C00"/>
    <w:rsid w:val="65AC2438"/>
    <w:rsid w:val="65B0017A"/>
    <w:rsid w:val="65B30255"/>
    <w:rsid w:val="65BE285F"/>
    <w:rsid w:val="65D008FC"/>
    <w:rsid w:val="65D57BE0"/>
    <w:rsid w:val="65D813BD"/>
    <w:rsid w:val="65D95FF8"/>
    <w:rsid w:val="65E240AB"/>
    <w:rsid w:val="65E9396A"/>
    <w:rsid w:val="65F362B8"/>
    <w:rsid w:val="65F46C17"/>
    <w:rsid w:val="65F96DF7"/>
    <w:rsid w:val="65FD0AD0"/>
    <w:rsid w:val="660B53B0"/>
    <w:rsid w:val="660D77C0"/>
    <w:rsid w:val="66112C08"/>
    <w:rsid w:val="66151A51"/>
    <w:rsid w:val="6615622F"/>
    <w:rsid w:val="66197CA9"/>
    <w:rsid w:val="661C43A8"/>
    <w:rsid w:val="662326FA"/>
    <w:rsid w:val="66246472"/>
    <w:rsid w:val="662D3578"/>
    <w:rsid w:val="66321C48"/>
    <w:rsid w:val="6632238D"/>
    <w:rsid w:val="663761A5"/>
    <w:rsid w:val="663A7A43"/>
    <w:rsid w:val="663C1A0D"/>
    <w:rsid w:val="66482160"/>
    <w:rsid w:val="664A412A"/>
    <w:rsid w:val="664B7EA3"/>
    <w:rsid w:val="664C4FB7"/>
    <w:rsid w:val="665E1984"/>
    <w:rsid w:val="6661509A"/>
    <w:rsid w:val="66615387"/>
    <w:rsid w:val="6663343E"/>
    <w:rsid w:val="666351EC"/>
    <w:rsid w:val="666368D0"/>
    <w:rsid w:val="6669634B"/>
    <w:rsid w:val="66696F28"/>
    <w:rsid w:val="666B40A1"/>
    <w:rsid w:val="667B0788"/>
    <w:rsid w:val="66801FDF"/>
    <w:rsid w:val="66855163"/>
    <w:rsid w:val="6687756C"/>
    <w:rsid w:val="668C2375"/>
    <w:rsid w:val="668D4245"/>
    <w:rsid w:val="668F1B3D"/>
    <w:rsid w:val="668F4233"/>
    <w:rsid w:val="669963E6"/>
    <w:rsid w:val="66996E60"/>
    <w:rsid w:val="669B6F25"/>
    <w:rsid w:val="669E6224"/>
    <w:rsid w:val="66B21CD0"/>
    <w:rsid w:val="66B31495"/>
    <w:rsid w:val="66BE0674"/>
    <w:rsid w:val="66BE2423"/>
    <w:rsid w:val="66C67529"/>
    <w:rsid w:val="66C84031"/>
    <w:rsid w:val="66CD08B8"/>
    <w:rsid w:val="66D32372"/>
    <w:rsid w:val="66D439F4"/>
    <w:rsid w:val="66D5397C"/>
    <w:rsid w:val="66D96E19"/>
    <w:rsid w:val="66DD4F9F"/>
    <w:rsid w:val="66E3632D"/>
    <w:rsid w:val="66E83943"/>
    <w:rsid w:val="66ED0F5A"/>
    <w:rsid w:val="66F347C2"/>
    <w:rsid w:val="66F76DF2"/>
    <w:rsid w:val="66F90507"/>
    <w:rsid w:val="66FB71D3"/>
    <w:rsid w:val="66FE6DB1"/>
    <w:rsid w:val="670329EE"/>
    <w:rsid w:val="6712451C"/>
    <w:rsid w:val="67131ECE"/>
    <w:rsid w:val="671C6156"/>
    <w:rsid w:val="671D539B"/>
    <w:rsid w:val="671F124A"/>
    <w:rsid w:val="672A3641"/>
    <w:rsid w:val="672C67DA"/>
    <w:rsid w:val="67377D3B"/>
    <w:rsid w:val="67401435"/>
    <w:rsid w:val="6747066A"/>
    <w:rsid w:val="674A694F"/>
    <w:rsid w:val="675039C2"/>
    <w:rsid w:val="67527027"/>
    <w:rsid w:val="675863D3"/>
    <w:rsid w:val="6759039D"/>
    <w:rsid w:val="67596B8B"/>
    <w:rsid w:val="675A65EF"/>
    <w:rsid w:val="67661634"/>
    <w:rsid w:val="67674117"/>
    <w:rsid w:val="67713939"/>
    <w:rsid w:val="677543ED"/>
    <w:rsid w:val="677671A1"/>
    <w:rsid w:val="67787B9A"/>
    <w:rsid w:val="677A33C6"/>
    <w:rsid w:val="678278F4"/>
    <w:rsid w:val="67861C91"/>
    <w:rsid w:val="678637E0"/>
    <w:rsid w:val="678673E4"/>
    <w:rsid w:val="67890C82"/>
    <w:rsid w:val="678E3FE9"/>
    <w:rsid w:val="67941A94"/>
    <w:rsid w:val="679D472E"/>
    <w:rsid w:val="679F4002"/>
    <w:rsid w:val="67A005AE"/>
    <w:rsid w:val="67A022E2"/>
    <w:rsid w:val="67A05FCC"/>
    <w:rsid w:val="67B71160"/>
    <w:rsid w:val="67BA6CF9"/>
    <w:rsid w:val="67BB4BB4"/>
    <w:rsid w:val="67C25F42"/>
    <w:rsid w:val="67CA636D"/>
    <w:rsid w:val="67D5211A"/>
    <w:rsid w:val="67DB0DB2"/>
    <w:rsid w:val="67DC530F"/>
    <w:rsid w:val="67DD5CB3"/>
    <w:rsid w:val="67E05C16"/>
    <w:rsid w:val="67E1286C"/>
    <w:rsid w:val="67E61C31"/>
    <w:rsid w:val="67EB36EB"/>
    <w:rsid w:val="67ED7463"/>
    <w:rsid w:val="67F51E74"/>
    <w:rsid w:val="67FD3C6E"/>
    <w:rsid w:val="680454E0"/>
    <w:rsid w:val="68075DBC"/>
    <w:rsid w:val="680E2F36"/>
    <w:rsid w:val="681649B0"/>
    <w:rsid w:val="68177EBD"/>
    <w:rsid w:val="681E586F"/>
    <w:rsid w:val="681F3395"/>
    <w:rsid w:val="681F6961"/>
    <w:rsid w:val="68232A50"/>
    <w:rsid w:val="68295FC1"/>
    <w:rsid w:val="682E182A"/>
    <w:rsid w:val="683010FE"/>
    <w:rsid w:val="68306E63"/>
    <w:rsid w:val="6837248C"/>
    <w:rsid w:val="683C5CF5"/>
    <w:rsid w:val="683F7593"/>
    <w:rsid w:val="684873FA"/>
    <w:rsid w:val="684B02A5"/>
    <w:rsid w:val="684B5074"/>
    <w:rsid w:val="6850354E"/>
    <w:rsid w:val="685145C5"/>
    <w:rsid w:val="68576023"/>
    <w:rsid w:val="685A617B"/>
    <w:rsid w:val="68610A2F"/>
    <w:rsid w:val="686208DC"/>
    <w:rsid w:val="68633281"/>
    <w:rsid w:val="68692862"/>
    <w:rsid w:val="686B482C"/>
    <w:rsid w:val="68785402"/>
    <w:rsid w:val="687A4A6F"/>
    <w:rsid w:val="68805514"/>
    <w:rsid w:val="68863414"/>
    <w:rsid w:val="688A366D"/>
    <w:rsid w:val="688C58C9"/>
    <w:rsid w:val="689307C6"/>
    <w:rsid w:val="689A1246"/>
    <w:rsid w:val="68A62C5A"/>
    <w:rsid w:val="68A716A4"/>
    <w:rsid w:val="68B04D43"/>
    <w:rsid w:val="68B43ADD"/>
    <w:rsid w:val="68B735CD"/>
    <w:rsid w:val="68BD4769"/>
    <w:rsid w:val="68BE2BAE"/>
    <w:rsid w:val="68CA3301"/>
    <w:rsid w:val="68CF1801"/>
    <w:rsid w:val="68D2550C"/>
    <w:rsid w:val="68D45F2D"/>
    <w:rsid w:val="68E8636F"/>
    <w:rsid w:val="68F4037D"/>
    <w:rsid w:val="68FC165E"/>
    <w:rsid w:val="69036813"/>
    <w:rsid w:val="690620FC"/>
    <w:rsid w:val="690B22F7"/>
    <w:rsid w:val="690C1B6B"/>
    <w:rsid w:val="691722BE"/>
    <w:rsid w:val="69196036"/>
    <w:rsid w:val="691E2122"/>
    <w:rsid w:val="691E53FA"/>
    <w:rsid w:val="691E5BA6"/>
    <w:rsid w:val="69217410"/>
    <w:rsid w:val="692844CB"/>
    <w:rsid w:val="692A0243"/>
    <w:rsid w:val="69310FFD"/>
    <w:rsid w:val="69316E2F"/>
    <w:rsid w:val="693D4634"/>
    <w:rsid w:val="693E5A9D"/>
    <w:rsid w:val="694E2071"/>
    <w:rsid w:val="69513A22"/>
    <w:rsid w:val="69516D14"/>
    <w:rsid w:val="6951757E"/>
    <w:rsid w:val="6957632D"/>
    <w:rsid w:val="69603E7D"/>
    <w:rsid w:val="69693908"/>
    <w:rsid w:val="696F3EA8"/>
    <w:rsid w:val="69735746"/>
    <w:rsid w:val="6974326C"/>
    <w:rsid w:val="69765236"/>
    <w:rsid w:val="69766163"/>
    <w:rsid w:val="69771799"/>
    <w:rsid w:val="697A3B33"/>
    <w:rsid w:val="698118A3"/>
    <w:rsid w:val="69823BDB"/>
    <w:rsid w:val="69926FF3"/>
    <w:rsid w:val="69951A33"/>
    <w:rsid w:val="699700FA"/>
    <w:rsid w:val="699833FF"/>
    <w:rsid w:val="69A2427D"/>
    <w:rsid w:val="69A914C7"/>
    <w:rsid w:val="69AA4636"/>
    <w:rsid w:val="69B028D9"/>
    <w:rsid w:val="69B34A5E"/>
    <w:rsid w:val="69B875FD"/>
    <w:rsid w:val="69BB70ED"/>
    <w:rsid w:val="69BD1234"/>
    <w:rsid w:val="69BD4C13"/>
    <w:rsid w:val="69C01C85"/>
    <w:rsid w:val="69C2047C"/>
    <w:rsid w:val="69CA74E1"/>
    <w:rsid w:val="69CB3264"/>
    <w:rsid w:val="69CF1379"/>
    <w:rsid w:val="69D16911"/>
    <w:rsid w:val="69D32689"/>
    <w:rsid w:val="69D44760"/>
    <w:rsid w:val="69D5371E"/>
    <w:rsid w:val="69D65CD5"/>
    <w:rsid w:val="69DA1D9A"/>
    <w:rsid w:val="69DA7573"/>
    <w:rsid w:val="69DE6F54"/>
    <w:rsid w:val="69E00A03"/>
    <w:rsid w:val="69E93EB5"/>
    <w:rsid w:val="69F66377"/>
    <w:rsid w:val="69F745A2"/>
    <w:rsid w:val="6A0175E4"/>
    <w:rsid w:val="6A0254FD"/>
    <w:rsid w:val="6A0A51DB"/>
    <w:rsid w:val="6A0D6BF6"/>
    <w:rsid w:val="6A12710A"/>
    <w:rsid w:val="6A14239E"/>
    <w:rsid w:val="6A207FA3"/>
    <w:rsid w:val="6A2475B2"/>
    <w:rsid w:val="6A31115D"/>
    <w:rsid w:val="6A377DC1"/>
    <w:rsid w:val="6A386990"/>
    <w:rsid w:val="6A3A44B6"/>
    <w:rsid w:val="6A4175F2"/>
    <w:rsid w:val="6A445335"/>
    <w:rsid w:val="6A462E5B"/>
    <w:rsid w:val="6A470981"/>
    <w:rsid w:val="6A4B6CE2"/>
    <w:rsid w:val="6A4D41E9"/>
    <w:rsid w:val="6A51789C"/>
    <w:rsid w:val="6A520EC7"/>
    <w:rsid w:val="6A582B8E"/>
    <w:rsid w:val="6A664539"/>
    <w:rsid w:val="6A68322C"/>
    <w:rsid w:val="6A6A256F"/>
    <w:rsid w:val="6A6D75FA"/>
    <w:rsid w:val="6A815C41"/>
    <w:rsid w:val="6A8650F7"/>
    <w:rsid w:val="6A924E5D"/>
    <w:rsid w:val="6AA162E3"/>
    <w:rsid w:val="6AA62BCC"/>
    <w:rsid w:val="6AA74F45"/>
    <w:rsid w:val="6AA76478"/>
    <w:rsid w:val="6AA8614E"/>
    <w:rsid w:val="6AA87672"/>
    <w:rsid w:val="6AAD6A36"/>
    <w:rsid w:val="6AB0311C"/>
    <w:rsid w:val="6AB06526"/>
    <w:rsid w:val="6AB32CFC"/>
    <w:rsid w:val="6AB44268"/>
    <w:rsid w:val="6AB57FE0"/>
    <w:rsid w:val="6ABC136F"/>
    <w:rsid w:val="6ABC311D"/>
    <w:rsid w:val="6ABE50E7"/>
    <w:rsid w:val="6AC16985"/>
    <w:rsid w:val="6ACD0E86"/>
    <w:rsid w:val="6AE15714"/>
    <w:rsid w:val="6AE30BAE"/>
    <w:rsid w:val="6AF87E20"/>
    <w:rsid w:val="6B0845B4"/>
    <w:rsid w:val="6B0B7D53"/>
    <w:rsid w:val="6B105217"/>
    <w:rsid w:val="6B147755"/>
    <w:rsid w:val="6B1503B3"/>
    <w:rsid w:val="6B1D005F"/>
    <w:rsid w:val="6B26275B"/>
    <w:rsid w:val="6B2C1D72"/>
    <w:rsid w:val="6B2D7B77"/>
    <w:rsid w:val="6B2E738D"/>
    <w:rsid w:val="6B2F1B41"/>
    <w:rsid w:val="6B322639"/>
    <w:rsid w:val="6B341CC1"/>
    <w:rsid w:val="6B361121"/>
    <w:rsid w:val="6B3709F5"/>
    <w:rsid w:val="6B383D1A"/>
    <w:rsid w:val="6B3E1D84"/>
    <w:rsid w:val="6B451364"/>
    <w:rsid w:val="6B58033A"/>
    <w:rsid w:val="6B580B85"/>
    <w:rsid w:val="6B5C045C"/>
    <w:rsid w:val="6B6317EA"/>
    <w:rsid w:val="6B647E8F"/>
    <w:rsid w:val="6B6B2B17"/>
    <w:rsid w:val="6B700A62"/>
    <w:rsid w:val="6B7112A5"/>
    <w:rsid w:val="6B882FFF"/>
    <w:rsid w:val="6B8D659C"/>
    <w:rsid w:val="6B8F25DF"/>
    <w:rsid w:val="6BA0659B"/>
    <w:rsid w:val="6BA47B5E"/>
    <w:rsid w:val="6BAE066F"/>
    <w:rsid w:val="6BB42046"/>
    <w:rsid w:val="6BC404DB"/>
    <w:rsid w:val="6BC73B27"/>
    <w:rsid w:val="6BDB75D3"/>
    <w:rsid w:val="6BE16580"/>
    <w:rsid w:val="6BE40B7D"/>
    <w:rsid w:val="6BE446D9"/>
    <w:rsid w:val="6BE66F85"/>
    <w:rsid w:val="6BE84243"/>
    <w:rsid w:val="6BF85FD9"/>
    <w:rsid w:val="6BFB0AC1"/>
    <w:rsid w:val="6C066D46"/>
    <w:rsid w:val="6C0703C8"/>
    <w:rsid w:val="6C0B435C"/>
    <w:rsid w:val="6C0C1E82"/>
    <w:rsid w:val="6C0F54CE"/>
    <w:rsid w:val="6C16685D"/>
    <w:rsid w:val="6C1B0366"/>
    <w:rsid w:val="6C1C74D4"/>
    <w:rsid w:val="6C223454"/>
    <w:rsid w:val="6C24541E"/>
    <w:rsid w:val="6C2947E2"/>
    <w:rsid w:val="6C2B67AC"/>
    <w:rsid w:val="6C2C42D2"/>
    <w:rsid w:val="6C2D32DF"/>
    <w:rsid w:val="6C380727"/>
    <w:rsid w:val="6C383D9C"/>
    <w:rsid w:val="6C3C7F72"/>
    <w:rsid w:val="6C3D64DF"/>
    <w:rsid w:val="6C445178"/>
    <w:rsid w:val="6C44786E"/>
    <w:rsid w:val="6C453508"/>
    <w:rsid w:val="6C486F4A"/>
    <w:rsid w:val="6C4909E0"/>
    <w:rsid w:val="6C4C513F"/>
    <w:rsid w:val="6C501D6F"/>
    <w:rsid w:val="6C5D4F1A"/>
    <w:rsid w:val="6C615D2A"/>
    <w:rsid w:val="6C636C38"/>
    <w:rsid w:val="6C652DB8"/>
    <w:rsid w:val="6C6677E4"/>
    <w:rsid w:val="6C705E3A"/>
    <w:rsid w:val="6C705F6D"/>
    <w:rsid w:val="6C73587F"/>
    <w:rsid w:val="6C7672FB"/>
    <w:rsid w:val="6C77379F"/>
    <w:rsid w:val="6C7A4FC2"/>
    <w:rsid w:val="6C7A503E"/>
    <w:rsid w:val="6C7C2B64"/>
    <w:rsid w:val="6C877C64"/>
    <w:rsid w:val="6C8E0AE9"/>
    <w:rsid w:val="6C8F6662"/>
    <w:rsid w:val="6C977D6E"/>
    <w:rsid w:val="6C9854C4"/>
    <w:rsid w:val="6CAB51F7"/>
    <w:rsid w:val="6CAC159C"/>
    <w:rsid w:val="6CB23439"/>
    <w:rsid w:val="6CB467A2"/>
    <w:rsid w:val="6CB57E24"/>
    <w:rsid w:val="6CBA368C"/>
    <w:rsid w:val="6CBE13CE"/>
    <w:rsid w:val="6CC4450B"/>
    <w:rsid w:val="6CD84EDD"/>
    <w:rsid w:val="6CD97FB6"/>
    <w:rsid w:val="6CDA5ADC"/>
    <w:rsid w:val="6CDA788A"/>
    <w:rsid w:val="6CDE381E"/>
    <w:rsid w:val="6CDF186C"/>
    <w:rsid w:val="6CE77627"/>
    <w:rsid w:val="6CEB5F3B"/>
    <w:rsid w:val="6CEE4233"/>
    <w:rsid w:val="6CF7043C"/>
    <w:rsid w:val="6CF748E0"/>
    <w:rsid w:val="6CF90658"/>
    <w:rsid w:val="6CF941B4"/>
    <w:rsid w:val="6D0A2DB0"/>
    <w:rsid w:val="6D140FEE"/>
    <w:rsid w:val="6D147240"/>
    <w:rsid w:val="6D1B431D"/>
    <w:rsid w:val="6D1E1E6D"/>
    <w:rsid w:val="6D231231"/>
    <w:rsid w:val="6D236B90"/>
    <w:rsid w:val="6D2F6F15"/>
    <w:rsid w:val="6D300453"/>
    <w:rsid w:val="6D3225A4"/>
    <w:rsid w:val="6D33150A"/>
    <w:rsid w:val="6D490CEB"/>
    <w:rsid w:val="6D4C3D11"/>
    <w:rsid w:val="6D4D2752"/>
    <w:rsid w:val="6D5533B5"/>
    <w:rsid w:val="6D613B66"/>
    <w:rsid w:val="6D635AD2"/>
    <w:rsid w:val="6D6D6950"/>
    <w:rsid w:val="6D733012"/>
    <w:rsid w:val="6D735DBB"/>
    <w:rsid w:val="6D806684"/>
    <w:rsid w:val="6D8134CB"/>
    <w:rsid w:val="6D835A09"/>
    <w:rsid w:val="6D8617C0"/>
    <w:rsid w:val="6D875C64"/>
    <w:rsid w:val="6D920165"/>
    <w:rsid w:val="6D942015"/>
    <w:rsid w:val="6D9B526C"/>
    <w:rsid w:val="6D9D7236"/>
    <w:rsid w:val="6DA73C10"/>
    <w:rsid w:val="6DB34098"/>
    <w:rsid w:val="6DB545B6"/>
    <w:rsid w:val="6DB86E0B"/>
    <w:rsid w:val="6DBA62BA"/>
    <w:rsid w:val="6DBB1D5C"/>
    <w:rsid w:val="6DC17AF6"/>
    <w:rsid w:val="6DC347C2"/>
    <w:rsid w:val="6DC36570"/>
    <w:rsid w:val="6DC522E8"/>
    <w:rsid w:val="6DC915EE"/>
    <w:rsid w:val="6DCE5641"/>
    <w:rsid w:val="6DD90222"/>
    <w:rsid w:val="6DDB7D5E"/>
    <w:rsid w:val="6DE02FB4"/>
    <w:rsid w:val="6DE309C1"/>
    <w:rsid w:val="6DE50BDD"/>
    <w:rsid w:val="6DF14566"/>
    <w:rsid w:val="6DF66946"/>
    <w:rsid w:val="6DF8446C"/>
    <w:rsid w:val="6DFB21AE"/>
    <w:rsid w:val="6E0711D6"/>
    <w:rsid w:val="6E0E1EE1"/>
    <w:rsid w:val="6E113780"/>
    <w:rsid w:val="6E116FE6"/>
    <w:rsid w:val="6E1C534A"/>
    <w:rsid w:val="6E1D2124"/>
    <w:rsid w:val="6E1F19CB"/>
    <w:rsid w:val="6E250FD9"/>
    <w:rsid w:val="6E2A4841"/>
    <w:rsid w:val="6E337B9A"/>
    <w:rsid w:val="6E3556C0"/>
    <w:rsid w:val="6E381523"/>
    <w:rsid w:val="6E387DE1"/>
    <w:rsid w:val="6E453429"/>
    <w:rsid w:val="6E4D1826"/>
    <w:rsid w:val="6E5042A8"/>
    <w:rsid w:val="6E514CED"/>
    <w:rsid w:val="6E573394"/>
    <w:rsid w:val="6E5936D1"/>
    <w:rsid w:val="6E5B2C4D"/>
    <w:rsid w:val="6E600263"/>
    <w:rsid w:val="6E617962"/>
    <w:rsid w:val="6E630726"/>
    <w:rsid w:val="6E6632C4"/>
    <w:rsid w:val="6E712470"/>
    <w:rsid w:val="6E7220B1"/>
    <w:rsid w:val="6E7C41A8"/>
    <w:rsid w:val="6E8126B3"/>
    <w:rsid w:val="6E820CA0"/>
    <w:rsid w:val="6E900054"/>
    <w:rsid w:val="6E9323E7"/>
    <w:rsid w:val="6E984B9B"/>
    <w:rsid w:val="6E9C573F"/>
    <w:rsid w:val="6E9D323E"/>
    <w:rsid w:val="6E9F11A8"/>
    <w:rsid w:val="6EA63EC8"/>
    <w:rsid w:val="6EAB3BD4"/>
    <w:rsid w:val="6EAC4A51"/>
    <w:rsid w:val="6EAF02C1"/>
    <w:rsid w:val="6EB26D11"/>
    <w:rsid w:val="6EB36D5B"/>
    <w:rsid w:val="6EB563D5"/>
    <w:rsid w:val="6EB8009F"/>
    <w:rsid w:val="6EBB3F5A"/>
    <w:rsid w:val="6EC72090"/>
    <w:rsid w:val="6ECB5AAA"/>
    <w:rsid w:val="6ED3113D"/>
    <w:rsid w:val="6ED92677"/>
    <w:rsid w:val="6EE40AD0"/>
    <w:rsid w:val="6EEB6775"/>
    <w:rsid w:val="6EF8049C"/>
    <w:rsid w:val="6EFC61DE"/>
    <w:rsid w:val="6EFF182A"/>
    <w:rsid w:val="6F045092"/>
    <w:rsid w:val="6F0F4D2C"/>
    <w:rsid w:val="6F1352D6"/>
    <w:rsid w:val="6F15104E"/>
    <w:rsid w:val="6F152DFC"/>
    <w:rsid w:val="6F154410"/>
    <w:rsid w:val="6F21110D"/>
    <w:rsid w:val="6F225983"/>
    <w:rsid w:val="6F257DDB"/>
    <w:rsid w:val="6F2B6AC3"/>
    <w:rsid w:val="6F3040D9"/>
    <w:rsid w:val="6F363561"/>
    <w:rsid w:val="6F376C3A"/>
    <w:rsid w:val="6F3C2A7E"/>
    <w:rsid w:val="6F3D3C41"/>
    <w:rsid w:val="6F4536B8"/>
    <w:rsid w:val="6F4C63D0"/>
    <w:rsid w:val="6F5A4CB2"/>
    <w:rsid w:val="6F6618A9"/>
    <w:rsid w:val="6F71097A"/>
    <w:rsid w:val="6F733C5D"/>
    <w:rsid w:val="6F7420A2"/>
    <w:rsid w:val="6F773AB6"/>
    <w:rsid w:val="6F7B55F4"/>
    <w:rsid w:val="6F800BBD"/>
    <w:rsid w:val="6F8364DE"/>
    <w:rsid w:val="6F844BCF"/>
    <w:rsid w:val="6F854425"/>
    <w:rsid w:val="6F861647"/>
    <w:rsid w:val="6F885FE0"/>
    <w:rsid w:val="6F8A41E2"/>
    <w:rsid w:val="6F8D4482"/>
    <w:rsid w:val="6F9C52CB"/>
    <w:rsid w:val="6FA0300D"/>
    <w:rsid w:val="6FA83C70"/>
    <w:rsid w:val="6FB01643"/>
    <w:rsid w:val="6FB46AB9"/>
    <w:rsid w:val="6FB821B7"/>
    <w:rsid w:val="6FB9613B"/>
    <w:rsid w:val="6FBA38B6"/>
    <w:rsid w:val="6FC34F4E"/>
    <w:rsid w:val="6FC7059A"/>
    <w:rsid w:val="6FCA02A3"/>
    <w:rsid w:val="6FCD1928"/>
    <w:rsid w:val="6FD0222A"/>
    <w:rsid w:val="6FD024E6"/>
    <w:rsid w:val="6FD159D2"/>
    <w:rsid w:val="6FD32DAF"/>
    <w:rsid w:val="6FD375F5"/>
    <w:rsid w:val="6FDC1B6B"/>
    <w:rsid w:val="6FE91140"/>
    <w:rsid w:val="6FEA4288"/>
    <w:rsid w:val="6FF375E1"/>
    <w:rsid w:val="6FF670D1"/>
    <w:rsid w:val="6FFB0243"/>
    <w:rsid w:val="6FFB72C9"/>
    <w:rsid w:val="6FFC5590"/>
    <w:rsid w:val="6FFE5CF8"/>
    <w:rsid w:val="6FFF2342"/>
    <w:rsid w:val="70067E6C"/>
    <w:rsid w:val="700A492A"/>
    <w:rsid w:val="700F0B87"/>
    <w:rsid w:val="70117A67"/>
    <w:rsid w:val="701721F7"/>
    <w:rsid w:val="70180DF5"/>
    <w:rsid w:val="70294D1B"/>
    <w:rsid w:val="703025E3"/>
    <w:rsid w:val="70317F43"/>
    <w:rsid w:val="703F0E9E"/>
    <w:rsid w:val="70422ED3"/>
    <w:rsid w:val="70457711"/>
    <w:rsid w:val="70497201"/>
    <w:rsid w:val="704D72E9"/>
    <w:rsid w:val="7053007F"/>
    <w:rsid w:val="70531E2E"/>
    <w:rsid w:val="70553DF8"/>
    <w:rsid w:val="70622071"/>
    <w:rsid w:val="70626EC5"/>
    <w:rsid w:val="7064228D"/>
    <w:rsid w:val="70671271"/>
    <w:rsid w:val="706D1DD0"/>
    <w:rsid w:val="706E50C0"/>
    <w:rsid w:val="707904B0"/>
    <w:rsid w:val="707D334E"/>
    <w:rsid w:val="70856B87"/>
    <w:rsid w:val="70891CF3"/>
    <w:rsid w:val="70974410"/>
    <w:rsid w:val="70980049"/>
    <w:rsid w:val="709F32C5"/>
    <w:rsid w:val="70A22DB5"/>
    <w:rsid w:val="70A273FF"/>
    <w:rsid w:val="70A97DAF"/>
    <w:rsid w:val="70AC7790"/>
    <w:rsid w:val="70AF5E5C"/>
    <w:rsid w:val="70B10C5A"/>
    <w:rsid w:val="70B700AB"/>
    <w:rsid w:val="70B76E18"/>
    <w:rsid w:val="70B77959"/>
    <w:rsid w:val="70D527EE"/>
    <w:rsid w:val="70DB224B"/>
    <w:rsid w:val="70E04684"/>
    <w:rsid w:val="70ED4030"/>
    <w:rsid w:val="70FA674D"/>
    <w:rsid w:val="70FF7AA5"/>
    <w:rsid w:val="710050B4"/>
    <w:rsid w:val="7101188A"/>
    <w:rsid w:val="710C118E"/>
    <w:rsid w:val="711003A9"/>
    <w:rsid w:val="711054C1"/>
    <w:rsid w:val="71107D1F"/>
    <w:rsid w:val="71107EFC"/>
    <w:rsid w:val="71184917"/>
    <w:rsid w:val="711F4406"/>
    <w:rsid w:val="71333A0D"/>
    <w:rsid w:val="713D045F"/>
    <w:rsid w:val="714300F4"/>
    <w:rsid w:val="71494FDF"/>
    <w:rsid w:val="714C714F"/>
    <w:rsid w:val="715220E5"/>
    <w:rsid w:val="71551BD5"/>
    <w:rsid w:val="715776FB"/>
    <w:rsid w:val="715A71EC"/>
    <w:rsid w:val="715B5300"/>
    <w:rsid w:val="715D47C9"/>
    <w:rsid w:val="71607B7B"/>
    <w:rsid w:val="71653049"/>
    <w:rsid w:val="71764003"/>
    <w:rsid w:val="71770F3C"/>
    <w:rsid w:val="71776831"/>
    <w:rsid w:val="717B5AE0"/>
    <w:rsid w:val="71877843"/>
    <w:rsid w:val="718B55F7"/>
    <w:rsid w:val="718D75C1"/>
    <w:rsid w:val="718E2DC9"/>
    <w:rsid w:val="718F05F4"/>
    <w:rsid w:val="719533EC"/>
    <w:rsid w:val="719C5A56"/>
    <w:rsid w:val="719E17CE"/>
    <w:rsid w:val="71A40BB9"/>
    <w:rsid w:val="71A87F57"/>
    <w:rsid w:val="71AD326D"/>
    <w:rsid w:val="71B13613"/>
    <w:rsid w:val="71B55F95"/>
    <w:rsid w:val="71C07997"/>
    <w:rsid w:val="71C87F80"/>
    <w:rsid w:val="71CC00E9"/>
    <w:rsid w:val="71CD751C"/>
    <w:rsid w:val="71D13EC7"/>
    <w:rsid w:val="71D1452F"/>
    <w:rsid w:val="71D27F8A"/>
    <w:rsid w:val="71DC0882"/>
    <w:rsid w:val="71ED62B2"/>
    <w:rsid w:val="71F238C8"/>
    <w:rsid w:val="71F4319C"/>
    <w:rsid w:val="71F56A69"/>
    <w:rsid w:val="71FC52E9"/>
    <w:rsid w:val="71FE2F9F"/>
    <w:rsid w:val="71FE38F7"/>
    <w:rsid w:val="720535FB"/>
    <w:rsid w:val="721101F2"/>
    <w:rsid w:val="72111FA0"/>
    <w:rsid w:val="721147C0"/>
    <w:rsid w:val="721849C8"/>
    <w:rsid w:val="721D0945"/>
    <w:rsid w:val="721D1DD2"/>
    <w:rsid w:val="72200435"/>
    <w:rsid w:val="72227D09"/>
    <w:rsid w:val="7223339C"/>
    <w:rsid w:val="722577FA"/>
    <w:rsid w:val="72331F17"/>
    <w:rsid w:val="72345C8F"/>
    <w:rsid w:val="723C2504"/>
    <w:rsid w:val="723E2D20"/>
    <w:rsid w:val="7242215D"/>
    <w:rsid w:val="724834E8"/>
    <w:rsid w:val="7252731D"/>
    <w:rsid w:val="72553024"/>
    <w:rsid w:val="72556331"/>
    <w:rsid w:val="72612F19"/>
    <w:rsid w:val="72646574"/>
    <w:rsid w:val="72697ED9"/>
    <w:rsid w:val="726C367A"/>
    <w:rsid w:val="72702B37"/>
    <w:rsid w:val="7271164B"/>
    <w:rsid w:val="727644F9"/>
    <w:rsid w:val="72767E61"/>
    <w:rsid w:val="728564EA"/>
    <w:rsid w:val="728E539F"/>
    <w:rsid w:val="72914E8F"/>
    <w:rsid w:val="729160B5"/>
    <w:rsid w:val="72944ABF"/>
    <w:rsid w:val="7295497F"/>
    <w:rsid w:val="72A32380"/>
    <w:rsid w:val="72A44BC2"/>
    <w:rsid w:val="72A57ACD"/>
    <w:rsid w:val="72A9042B"/>
    <w:rsid w:val="72A9667D"/>
    <w:rsid w:val="72AF5315"/>
    <w:rsid w:val="72B8066E"/>
    <w:rsid w:val="72BB015E"/>
    <w:rsid w:val="72BC234A"/>
    <w:rsid w:val="72BF1DF3"/>
    <w:rsid w:val="72C214EC"/>
    <w:rsid w:val="72C54B39"/>
    <w:rsid w:val="72C71790"/>
    <w:rsid w:val="72CE7E91"/>
    <w:rsid w:val="72D45C28"/>
    <w:rsid w:val="72D51220"/>
    <w:rsid w:val="72DA05E4"/>
    <w:rsid w:val="72E2393D"/>
    <w:rsid w:val="72EA74BB"/>
    <w:rsid w:val="72ED47BB"/>
    <w:rsid w:val="72ED4F20"/>
    <w:rsid w:val="72FA2A34"/>
    <w:rsid w:val="7305331E"/>
    <w:rsid w:val="73076698"/>
    <w:rsid w:val="730833A3"/>
    <w:rsid w:val="7310344C"/>
    <w:rsid w:val="73122968"/>
    <w:rsid w:val="731338C4"/>
    <w:rsid w:val="731D4975"/>
    <w:rsid w:val="731F5D5E"/>
    <w:rsid w:val="732A7AA2"/>
    <w:rsid w:val="732D2E0A"/>
    <w:rsid w:val="732D608D"/>
    <w:rsid w:val="733536BE"/>
    <w:rsid w:val="733C129F"/>
    <w:rsid w:val="733C304D"/>
    <w:rsid w:val="733E5017"/>
    <w:rsid w:val="733F6699"/>
    <w:rsid w:val="734252D3"/>
    <w:rsid w:val="73463ECB"/>
    <w:rsid w:val="7347684F"/>
    <w:rsid w:val="734B14E2"/>
    <w:rsid w:val="73522870"/>
    <w:rsid w:val="7352575D"/>
    <w:rsid w:val="73552361"/>
    <w:rsid w:val="735A75C8"/>
    <w:rsid w:val="73634A7D"/>
    <w:rsid w:val="73685BF0"/>
    <w:rsid w:val="7369576E"/>
    <w:rsid w:val="736965E7"/>
    <w:rsid w:val="736A5E0C"/>
    <w:rsid w:val="737451AF"/>
    <w:rsid w:val="737547B1"/>
    <w:rsid w:val="73797DFD"/>
    <w:rsid w:val="737B4B62"/>
    <w:rsid w:val="737F435D"/>
    <w:rsid w:val="738D5656"/>
    <w:rsid w:val="73951DA0"/>
    <w:rsid w:val="739755D2"/>
    <w:rsid w:val="739C3AEB"/>
    <w:rsid w:val="73A429A0"/>
    <w:rsid w:val="73A62249"/>
    <w:rsid w:val="73A82490"/>
    <w:rsid w:val="73AE7A09"/>
    <w:rsid w:val="73AF28C1"/>
    <w:rsid w:val="73B21561"/>
    <w:rsid w:val="73B40A19"/>
    <w:rsid w:val="73BA21C4"/>
    <w:rsid w:val="73C51AD5"/>
    <w:rsid w:val="73CA1256"/>
    <w:rsid w:val="73CE5F8B"/>
    <w:rsid w:val="73CF3EC1"/>
    <w:rsid w:val="73DA21D9"/>
    <w:rsid w:val="73E14FC8"/>
    <w:rsid w:val="73E33F6B"/>
    <w:rsid w:val="73F41B79"/>
    <w:rsid w:val="73FD362A"/>
    <w:rsid w:val="7400407A"/>
    <w:rsid w:val="74024C92"/>
    <w:rsid w:val="74026DAF"/>
    <w:rsid w:val="7404165D"/>
    <w:rsid w:val="740873D3"/>
    <w:rsid w:val="740874E9"/>
    <w:rsid w:val="740C6EC3"/>
    <w:rsid w:val="740D2C3B"/>
    <w:rsid w:val="74117BFA"/>
    <w:rsid w:val="74122000"/>
    <w:rsid w:val="741300E6"/>
    <w:rsid w:val="74163B61"/>
    <w:rsid w:val="741E793C"/>
    <w:rsid w:val="74213FF1"/>
    <w:rsid w:val="742F670E"/>
    <w:rsid w:val="74320189"/>
    <w:rsid w:val="74373E4B"/>
    <w:rsid w:val="7439758C"/>
    <w:rsid w:val="743C07A0"/>
    <w:rsid w:val="743C0E2B"/>
    <w:rsid w:val="743E4BA3"/>
    <w:rsid w:val="74472D15"/>
    <w:rsid w:val="7447614D"/>
    <w:rsid w:val="744A3547"/>
    <w:rsid w:val="744E01A1"/>
    <w:rsid w:val="74546813"/>
    <w:rsid w:val="745B3564"/>
    <w:rsid w:val="745E3944"/>
    <w:rsid w:val="746740F9"/>
    <w:rsid w:val="746810AB"/>
    <w:rsid w:val="746A5998"/>
    <w:rsid w:val="746B43D6"/>
    <w:rsid w:val="746E79C9"/>
    <w:rsid w:val="74716B92"/>
    <w:rsid w:val="74795BDB"/>
    <w:rsid w:val="747B2D9D"/>
    <w:rsid w:val="748051BB"/>
    <w:rsid w:val="748120E1"/>
    <w:rsid w:val="748266FB"/>
    <w:rsid w:val="74890514"/>
    <w:rsid w:val="748C590E"/>
    <w:rsid w:val="748D65F7"/>
    <w:rsid w:val="74911B39"/>
    <w:rsid w:val="74A0585D"/>
    <w:rsid w:val="74A159D4"/>
    <w:rsid w:val="74A964C0"/>
    <w:rsid w:val="74AA17A8"/>
    <w:rsid w:val="74AB772E"/>
    <w:rsid w:val="74AE7F7A"/>
    <w:rsid w:val="74B3733F"/>
    <w:rsid w:val="74B86703"/>
    <w:rsid w:val="74C27582"/>
    <w:rsid w:val="74C2766E"/>
    <w:rsid w:val="74CC21AE"/>
    <w:rsid w:val="74CD4160"/>
    <w:rsid w:val="74DB6895"/>
    <w:rsid w:val="74E90FB2"/>
    <w:rsid w:val="74EC45FF"/>
    <w:rsid w:val="74EE65C9"/>
    <w:rsid w:val="74F00593"/>
    <w:rsid w:val="74F17E67"/>
    <w:rsid w:val="74FA1000"/>
    <w:rsid w:val="74FC30EB"/>
    <w:rsid w:val="74FD680C"/>
    <w:rsid w:val="75061B64"/>
    <w:rsid w:val="750951B1"/>
    <w:rsid w:val="750B0F29"/>
    <w:rsid w:val="750E0A19"/>
    <w:rsid w:val="750E6C6B"/>
    <w:rsid w:val="75104791"/>
    <w:rsid w:val="7513602F"/>
    <w:rsid w:val="75137DDD"/>
    <w:rsid w:val="75181898"/>
    <w:rsid w:val="751B4A79"/>
    <w:rsid w:val="751C1388"/>
    <w:rsid w:val="751C3136"/>
    <w:rsid w:val="751D6EAE"/>
    <w:rsid w:val="75287D2D"/>
    <w:rsid w:val="752913AF"/>
    <w:rsid w:val="752C73A2"/>
    <w:rsid w:val="7530273D"/>
    <w:rsid w:val="75306BE1"/>
    <w:rsid w:val="75327179"/>
    <w:rsid w:val="75357D54"/>
    <w:rsid w:val="753A7A60"/>
    <w:rsid w:val="75427091"/>
    <w:rsid w:val="75446A02"/>
    <w:rsid w:val="7553467E"/>
    <w:rsid w:val="755503F6"/>
    <w:rsid w:val="75581C94"/>
    <w:rsid w:val="755A3C5E"/>
    <w:rsid w:val="756260EC"/>
    <w:rsid w:val="75670EBC"/>
    <w:rsid w:val="756D762F"/>
    <w:rsid w:val="757151D2"/>
    <w:rsid w:val="75726184"/>
    <w:rsid w:val="757A422E"/>
    <w:rsid w:val="757D16FB"/>
    <w:rsid w:val="75862CA5"/>
    <w:rsid w:val="75890382"/>
    <w:rsid w:val="758B206A"/>
    <w:rsid w:val="75907680"/>
    <w:rsid w:val="759233F8"/>
    <w:rsid w:val="759610FA"/>
    <w:rsid w:val="759929D8"/>
    <w:rsid w:val="75A153E9"/>
    <w:rsid w:val="75A31161"/>
    <w:rsid w:val="75A373B3"/>
    <w:rsid w:val="75AB4B6F"/>
    <w:rsid w:val="75B01AD0"/>
    <w:rsid w:val="75B570E6"/>
    <w:rsid w:val="75B67753"/>
    <w:rsid w:val="75BB27AD"/>
    <w:rsid w:val="75BE243F"/>
    <w:rsid w:val="75BF1D13"/>
    <w:rsid w:val="75C31803"/>
    <w:rsid w:val="75C53AE9"/>
    <w:rsid w:val="75D63564"/>
    <w:rsid w:val="75DE663D"/>
    <w:rsid w:val="75E76FA0"/>
    <w:rsid w:val="75E87ABF"/>
    <w:rsid w:val="75EB1C30"/>
    <w:rsid w:val="75EC3889"/>
    <w:rsid w:val="75ED4816"/>
    <w:rsid w:val="75F25C45"/>
    <w:rsid w:val="75F342DF"/>
    <w:rsid w:val="75F61BD9"/>
    <w:rsid w:val="75F628F1"/>
    <w:rsid w:val="75F75951"/>
    <w:rsid w:val="75F776FF"/>
    <w:rsid w:val="76045EEF"/>
    <w:rsid w:val="760B42C6"/>
    <w:rsid w:val="760F67F7"/>
    <w:rsid w:val="761262E7"/>
    <w:rsid w:val="7614205F"/>
    <w:rsid w:val="76146D29"/>
    <w:rsid w:val="761A519B"/>
    <w:rsid w:val="761D18D1"/>
    <w:rsid w:val="76257DC8"/>
    <w:rsid w:val="7630676D"/>
    <w:rsid w:val="7635099D"/>
    <w:rsid w:val="76391AC6"/>
    <w:rsid w:val="763A57CD"/>
    <w:rsid w:val="763C15B6"/>
    <w:rsid w:val="763C5112"/>
    <w:rsid w:val="76421CC3"/>
    <w:rsid w:val="76435882"/>
    <w:rsid w:val="76474029"/>
    <w:rsid w:val="764B208E"/>
    <w:rsid w:val="76515061"/>
    <w:rsid w:val="7654316F"/>
    <w:rsid w:val="76544D27"/>
    <w:rsid w:val="766308F1"/>
    <w:rsid w:val="766905FD"/>
    <w:rsid w:val="766A1C7F"/>
    <w:rsid w:val="766F7295"/>
    <w:rsid w:val="7671300D"/>
    <w:rsid w:val="767B34F7"/>
    <w:rsid w:val="767C19B2"/>
    <w:rsid w:val="767F7401"/>
    <w:rsid w:val="768418C9"/>
    <w:rsid w:val="76911902"/>
    <w:rsid w:val="76946CFC"/>
    <w:rsid w:val="76960CC6"/>
    <w:rsid w:val="769610CE"/>
    <w:rsid w:val="76984A3E"/>
    <w:rsid w:val="769B008A"/>
    <w:rsid w:val="769D2054"/>
    <w:rsid w:val="76A258BD"/>
    <w:rsid w:val="76A553AD"/>
    <w:rsid w:val="76A71125"/>
    <w:rsid w:val="76A77224"/>
    <w:rsid w:val="76B13D52"/>
    <w:rsid w:val="76CA0970"/>
    <w:rsid w:val="76CC0B8C"/>
    <w:rsid w:val="76CC6DCF"/>
    <w:rsid w:val="76D250B9"/>
    <w:rsid w:val="76D637B8"/>
    <w:rsid w:val="76DD68F5"/>
    <w:rsid w:val="76DE441B"/>
    <w:rsid w:val="76DE4B6E"/>
    <w:rsid w:val="76E01F41"/>
    <w:rsid w:val="76E25CB9"/>
    <w:rsid w:val="76E65CFC"/>
    <w:rsid w:val="76E75378"/>
    <w:rsid w:val="76EA1012"/>
    <w:rsid w:val="76EA2DC0"/>
    <w:rsid w:val="76EC08E6"/>
    <w:rsid w:val="76EC4D8A"/>
    <w:rsid w:val="76F8372F"/>
    <w:rsid w:val="76FB0BB2"/>
    <w:rsid w:val="76FE38AE"/>
    <w:rsid w:val="77053C2F"/>
    <w:rsid w:val="770C7395"/>
    <w:rsid w:val="770D21AF"/>
    <w:rsid w:val="77144946"/>
    <w:rsid w:val="77161D85"/>
    <w:rsid w:val="77194323"/>
    <w:rsid w:val="771D3274"/>
    <w:rsid w:val="772207AC"/>
    <w:rsid w:val="77291B3A"/>
    <w:rsid w:val="772A3918"/>
    <w:rsid w:val="772C33D8"/>
    <w:rsid w:val="77334E1C"/>
    <w:rsid w:val="77381D7D"/>
    <w:rsid w:val="77387FCF"/>
    <w:rsid w:val="774150D6"/>
    <w:rsid w:val="77423386"/>
    <w:rsid w:val="77440722"/>
    <w:rsid w:val="77470212"/>
    <w:rsid w:val="774E14A9"/>
    <w:rsid w:val="774E15A1"/>
    <w:rsid w:val="77521091"/>
    <w:rsid w:val="775A6479"/>
    <w:rsid w:val="775A7F45"/>
    <w:rsid w:val="775C3CBE"/>
    <w:rsid w:val="77601ABD"/>
    <w:rsid w:val="77626DFA"/>
    <w:rsid w:val="77655696"/>
    <w:rsid w:val="776768B8"/>
    <w:rsid w:val="77690189"/>
    <w:rsid w:val="776E579F"/>
    <w:rsid w:val="777059BB"/>
    <w:rsid w:val="77762421"/>
    <w:rsid w:val="77811976"/>
    <w:rsid w:val="77822FF8"/>
    <w:rsid w:val="778E33FA"/>
    <w:rsid w:val="778F713D"/>
    <w:rsid w:val="779B7F76"/>
    <w:rsid w:val="779C67B0"/>
    <w:rsid w:val="77A1214E"/>
    <w:rsid w:val="77A20EA6"/>
    <w:rsid w:val="77A20F29"/>
    <w:rsid w:val="77AB2769"/>
    <w:rsid w:val="77B27D81"/>
    <w:rsid w:val="77B55C6E"/>
    <w:rsid w:val="77B56B1F"/>
    <w:rsid w:val="77B67A3B"/>
    <w:rsid w:val="77BA09E4"/>
    <w:rsid w:val="77BF249E"/>
    <w:rsid w:val="77C11D73"/>
    <w:rsid w:val="77C27899"/>
    <w:rsid w:val="77C33D3D"/>
    <w:rsid w:val="77C655DB"/>
    <w:rsid w:val="77C74EAF"/>
    <w:rsid w:val="77CA3DF5"/>
    <w:rsid w:val="77D0645A"/>
    <w:rsid w:val="77D42760"/>
    <w:rsid w:val="77D73344"/>
    <w:rsid w:val="77DD3719"/>
    <w:rsid w:val="77DF044B"/>
    <w:rsid w:val="77E15873"/>
    <w:rsid w:val="77E73D80"/>
    <w:rsid w:val="77E870CC"/>
    <w:rsid w:val="77E912C9"/>
    <w:rsid w:val="77EB6DF0"/>
    <w:rsid w:val="77F170A1"/>
    <w:rsid w:val="77F21E93"/>
    <w:rsid w:val="77FB58FA"/>
    <w:rsid w:val="77FB6097"/>
    <w:rsid w:val="780659D7"/>
    <w:rsid w:val="780879A1"/>
    <w:rsid w:val="780C15E4"/>
    <w:rsid w:val="780D4FB8"/>
    <w:rsid w:val="780F09F4"/>
    <w:rsid w:val="78117D2B"/>
    <w:rsid w:val="78167E11"/>
    <w:rsid w:val="78300CA6"/>
    <w:rsid w:val="783178E9"/>
    <w:rsid w:val="783918FE"/>
    <w:rsid w:val="783C3AEF"/>
    <w:rsid w:val="783E1615"/>
    <w:rsid w:val="783F4B4D"/>
    <w:rsid w:val="7840713B"/>
    <w:rsid w:val="78412EB3"/>
    <w:rsid w:val="7847671C"/>
    <w:rsid w:val="784A5D53"/>
    <w:rsid w:val="785E75C1"/>
    <w:rsid w:val="7860158C"/>
    <w:rsid w:val="78607B20"/>
    <w:rsid w:val="78634D4E"/>
    <w:rsid w:val="786F5C73"/>
    <w:rsid w:val="78774B27"/>
    <w:rsid w:val="787B0173"/>
    <w:rsid w:val="787C46D7"/>
    <w:rsid w:val="787E1A12"/>
    <w:rsid w:val="7883527A"/>
    <w:rsid w:val="78872FBC"/>
    <w:rsid w:val="78882890"/>
    <w:rsid w:val="78917997"/>
    <w:rsid w:val="78964FAD"/>
    <w:rsid w:val="78A56B0B"/>
    <w:rsid w:val="78A90480"/>
    <w:rsid w:val="78A91CFE"/>
    <w:rsid w:val="78AA291C"/>
    <w:rsid w:val="78AA3873"/>
    <w:rsid w:val="78AC47D1"/>
    <w:rsid w:val="78AC6557"/>
    <w:rsid w:val="78B255D8"/>
    <w:rsid w:val="78B34839"/>
    <w:rsid w:val="78B5796E"/>
    <w:rsid w:val="78B6564F"/>
    <w:rsid w:val="78BE7880"/>
    <w:rsid w:val="78C0027C"/>
    <w:rsid w:val="78C22B8B"/>
    <w:rsid w:val="78C80171"/>
    <w:rsid w:val="78D62BB8"/>
    <w:rsid w:val="78D67AA0"/>
    <w:rsid w:val="78E21FA1"/>
    <w:rsid w:val="78F47F26"/>
    <w:rsid w:val="78FA19E0"/>
    <w:rsid w:val="78FD327E"/>
    <w:rsid w:val="79017C72"/>
    <w:rsid w:val="790348AF"/>
    <w:rsid w:val="790659B9"/>
    <w:rsid w:val="79120BF7"/>
    <w:rsid w:val="79144124"/>
    <w:rsid w:val="7919798C"/>
    <w:rsid w:val="7929374A"/>
    <w:rsid w:val="793332B7"/>
    <w:rsid w:val="79346574"/>
    <w:rsid w:val="79415B65"/>
    <w:rsid w:val="794738BD"/>
    <w:rsid w:val="79517126"/>
    <w:rsid w:val="79537342"/>
    <w:rsid w:val="795D1F6F"/>
    <w:rsid w:val="795F45B5"/>
    <w:rsid w:val="795F7AAC"/>
    <w:rsid w:val="796074F6"/>
    <w:rsid w:val="796B01E8"/>
    <w:rsid w:val="797057FE"/>
    <w:rsid w:val="7972545C"/>
    <w:rsid w:val="79751067"/>
    <w:rsid w:val="79872B48"/>
    <w:rsid w:val="798B6F10"/>
    <w:rsid w:val="798E037A"/>
    <w:rsid w:val="799047BF"/>
    <w:rsid w:val="799534B7"/>
    <w:rsid w:val="799A0ACD"/>
    <w:rsid w:val="799D3D5D"/>
    <w:rsid w:val="79A4194C"/>
    <w:rsid w:val="79AB19B4"/>
    <w:rsid w:val="79AD6A52"/>
    <w:rsid w:val="79AE6475"/>
    <w:rsid w:val="79B06543"/>
    <w:rsid w:val="79C04384"/>
    <w:rsid w:val="79C30024"/>
    <w:rsid w:val="79CC4DBC"/>
    <w:rsid w:val="79CD11EC"/>
    <w:rsid w:val="79D044EF"/>
    <w:rsid w:val="79D078B1"/>
    <w:rsid w:val="79D12015"/>
    <w:rsid w:val="79D53210"/>
    <w:rsid w:val="79DF2984"/>
    <w:rsid w:val="79E45A4B"/>
    <w:rsid w:val="79E85CDC"/>
    <w:rsid w:val="79EE1F55"/>
    <w:rsid w:val="79F67FBE"/>
    <w:rsid w:val="79F71A7C"/>
    <w:rsid w:val="79F933AC"/>
    <w:rsid w:val="7A016D9E"/>
    <w:rsid w:val="7A066163"/>
    <w:rsid w:val="7A0E5481"/>
    <w:rsid w:val="7A110D53"/>
    <w:rsid w:val="7A197CD0"/>
    <w:rsid w:val="7A1A1C0E"/>
    <w:rsid w:val="7A1F7224"/>
    <w:rsid w:val="7A246147"/>
    <w:rsid w:val="7A266805"/>
    <w:rsid w:val="7A2979F3"/>
    <w:rsid w:val="7A2D1941"/>
    <w:rsid w:val="7A2E61A1"/>
    <w:rsid w:val="7A364017"/>
    <w:rsid w:val="7A3727C0"/>
    <w:rsid w:val="7A3F3423"/>
    <w:rsid w:val="7A427685"/>
    <w:rsid w:val="7A4339D0"/>
    <w:rsid w:val="7A462A03"/>
    <w:rsid w:val="7A4D4A59"/>
    <w:rsid w:val="7A4E467C"/>
    <w:rsid w:val="7A4F18B8"/>
    <w:rsid w:val="7A566F45"/>
    <w:rsid w:val="7A5B3466"/>
    <w:rsid w:val="7A6B6017"/>
    <w:rsid w:val="7A745707"/>
    <w:rsid w:val="7A751BAF"/>
    <w:rsid w:val="7A7C01D3"/>
    <w:rsid w:val="7A8265E1"/>
    <w:rsid w:val="7A8316F8"/>
    <w:rsid w:val="7A866BA8"/>
    <w:rsid w:val="7A9D1AC4"/>
    <w:rsid w:val="7AA65250"/>
    <w:rsid w:val="7AAC4033"/>
    <w:rsid w:val="7ACA1F6C"/>
    <w:rsid w:val="7ACC2F08"/>
    <w:rsid w:val="7AD61FD9"/>
    <w:rsid w:val="7AD63D87"/>
    <w:rsid w:val="7AE00762"/>
    <w:rsid w:val="7AE70D64"/>
    <w:rsid w:val="7AE71AF0"/>
    <w:rsid w:val="7AE75F94"/>
    <w:rsid w:val="7AE83ABA"/>
    <w:rsid w:val="7AEA15E0"/>
    <w:rsid w:val="7AEA1CF5"/>
    <w:rsid w:val="7AEA338E"/>
    <w:rsid w:val="7AEF4E49"/>
    <w:rsid w:val="7AF025F3"/>
    <w:rsid w:val="7AFD57B8"/>
    <w:rsid w:val="7AFE508C"/>
    <w:rsid w:val="7B033ECF"/>
    <w:rsid w:val="7B0A57DF"/>
    <w:rsid w:val="7B0C59FB"/>
    <w:rsid w:val="7B0F0886"/>
    <w:rsid w:val="7B0F54EB"/>
    <w:rsid w:val="7B11367A"/>
    <w:rsid w:val="7B132D5F"/>
    <w:rsid w:val="7B1E128A"/>
    <w:rsid w:val="7B1E4B28"/>
    <w:rsid w:val="7B2014A6"/>
    <w:rsid w:val="7B264EA2"/>
    <w:rsid w:val="7B2C39A7"/>
    <w:rsid w:val="7B3867F0"/>
    <w:rsid w:val="7B3F5E27"/>
    <w:rsid w:val="7B407452"/>
    <w:rsid w:val="7B450F0D"/>
    <w:rsid w:val="7B4A207F"/>
    <w:rsid w:val="7B511DD7"/>
    <w:rsid w:val="7B51340D"/>
    <w:rsid w:val="7B51553D"/>
    <w:rsid w:val="7B533629"/>
    <w:rsid w:val="7B536393"/>
    <w:rsid w:val="7B580C40"/>
    <w:rsid w:val="7B671128"/>
    <w:rsid w:val="7B686D42"/>
    <w:rsid w:val="7B690757"/>
    <w:rsid w:val="7B6B0973"/>
    <w:rsid w:val="7B6E429F"/>
    <w:rsid w:val="7B7610C6"/>
    <w:rsid w:val="7B841746"/>
    <w:rsid w:val="7B841A35"/>
    <w:rsid w:val="7B851309"/>
    <w:rsid w:val="7B871525"/>
    <w:rsid w:val="7B8B5094"/>
    <w:rsid w:val="7B9658EF"/>
    <w:rsid w:val="7B976652"/>
    <w:rsid w:val="7B9A4A9E"/>
    <w:rsid w:val="7BA06D64"/>
    <w:rsid w:val="7BA268EC"/>
    <w:rsid w:val="7BA34EC4"/>
    <w:rsid w:val="7BA368AC"/>
    <w:rsid w:val="7BA479A7"/>
    <w:rsid w:val="7BA83A92"/>
    <w:rsid w:val="7BA84054"/>
    <w:rsid w:val="7BAC2D3A"/>
    <w:rsid w:val="7BB0282A"/>
    <w:rsid w:val="7BB56FDB"/>
    <w:rsid w:val="7BBB2819"/>
    <w:rsid w:val="7BC6204D"/>
    <w:rsid w:val="7BC6310D"/>
    <w:rsid w:val="7BCB1412"/>
    <w:rsid w:val="7BCB31C0"/>
    <w:rsid w:val="7BCC0CE6"/>
    <w:rsid w:val="7BCC5EB6"/>
    <w:rsid w:val="7BCD1A54"/>
    <w:rsid w:val="7BD007D6"/>
    <w:rsid w:val="7BD22797"/>
    <w:rsid w:val="7BD24AEC"/>
    <w:rsid w:val="7BD55DED"/>
    <w:rsid w:val="7BE40725"/>
    <w:rsid w:val="7BE44C99"/>
    <w:rsid w:val="7BE67FFA"/>
    <w:rsid w:val="7BE93B15"/>
    <w:rsid w:val="7BEA21EF"/>
    <w:rsid w:val="7BEC1388"/>
    <w:rsid w:val="7BED7F97"/>
    <w:rsid w:val="7BEF3B93"/>
    <w:rsid w:val="7BFE0DB3"/>
    <w:rsid w:val="7BFF2E69"/>
    <w:rsid w:val="7C0D22DA"/>
    <w:rsid w:val="7C10161B"/>
    <w:rsid w:val="7C142DB9"/>
    <w:rsid w:val="7C1708CD"/>
    <w:rsid w:val="7C18035B"/>
    <w:rsid w:val="7C1903CF"/>
    <w:rsid w:val="7C217284"/>
    <w:rsid w:val="7C330F03"/>
    <w:rsid w:val="7C38637B"/>
    <w:rsid w:val="7C39281F"/>
    <w:rsid w:val="7C3B3EC8"/>
    <w:rsid w:val="7C3C1278"/>
    <w:rsid w:val="7C3F3BAE"/>
    <w:rsid w:val="7C4411C4"/>
    <w:rsid w:val="7C613B24"/>
    <w:rsid w:val="7C684EB3"/>
    <w:rsid w:val="7C686C61"/>
    <w:rsid w:val="7C6C5AC7"/>
    <w:rsid w:val="7C741AA9"/>
    <w:rsid w:val="7C795A0F"/>
    <w:rsid w:val="7C83739B"/>
    <w:rsid w:val="7C855A65"/>
    <w:rsid w:val="7C887303"/>
    <w:rsid w:val="7C8E4E1F"/>
    <w:rsid w:val="7C8F0691"/>
    <w:rsid w:val="7C966CA6"/>
    <w:rsid w:val="7C9B5288"/>
    <w:rsid w:val="7C9E5B84"/>
    <w:rsid w:val="7CA3339F"/>
    <w:rsid w:val="7CA81753"/>
    <w:rsid w:val="7CAD6984"/>
    <w:rsid w:val="7CB2129F"/>
    <w:rsid w:val="7CB71996"/>
    <w:rsid w:val="7CBC18A7"/>
    <w:rsid w:val="7CBC6FAC"/>
    <w:rsid w:val="7CC6544B"/>
    <w:rsid w:val="7CD7278F"/>
    <w:rsid w:val="7CDB7267"/>
    <w:rsid w:val="7CDF5BDE"/>
    <w:rsid w:val="7CE2043D"/>
    <w:rsid w:val="7CE275B9"/>
    <w:rsid w:val="7CF60F14"/>
    <w:rsid w:val="7CF6267A"/>
    <w:rsid w:val="7CF70083"/>
    <w:rsid w:val="7CFE04D7"/>
    <w:rsid w:val="7D0239FF"/>
    <w:rsid w:val="7D055A9A"/>
    <w:rsid w:val="7D0746CC"/>
    <w:rsid w:val="7D0821F2"/>
    <w:rsid w:val="7D1519D9"/>
    <w:rsid w:val="7D230DDA"/>
    <w:rsid w:val="7D276B1C"/>
    <w:rsid w:val="7D2A03BA"/>
    <w:rsid w:val="7D2C7C8E"/>
    <w:rsid w:val="7D2F777E"/>
    <w:rsid w:val="7D34296B"/>
    <w:rsid w:val="7D3923AB"/>
    <w:rsid w:val="7D3E4DCA"/>
    <w:rsid w:val="7D423956"/>
    <w:rsid w:val="7D425704"/>
    <w:rsid w:val="7D466226"/>
    <w:rsid w:val="7D4A0A5C"/>
    <w:rsid w:val="7D4E77B7"/>
    <w:rsid w:val="7D5E40CD"/>
    <w:rsid w:val="7D5E506A"/>
    <w:rsid w:val="7D606B95"/>
    <w:rsid w:val="7D622800"/>
    <w:rsid w:val="7D6733BC"/>
    <w:rsid w:val="7D6869EF"/>
    <w:rsid w:val="7D6C2781"/>
    <w:rsid w:val="7D7B29C4"/>
    <w:rsid w:val="7D7B6E68"/>
    <w:rsid w:val="7D7F0706"/>
    <w:rsid w:val="7D817139"/>
    <w:rsid w:val="7D847ACA"/>
    <w:rsid w:val="7D87580C"/>
    <w:rsid w:val="7D8950E1"/>
    <w:rsid w:val="7D902913"/>
    <w:rsid w:val="7D910439"/>
    <w:rsid w:val="7D913F95"/>
    <w:rsid w:val="7DA64F83"/>
    <w:rsid w:val="7DA95783"/>
    <w:rsid w:val="7DB36601"/>
    <w:rsid w:val="7DB83C18"/>
    <w:rsid w:val="7DBD2FDC"/>
    <w:rsid w:val="7DC4436B"/>
    <w:rsid w:val="7DC9294F"/>
    <w:rsid w:val="7DCD56F2"/>
    <w:rsid w:val="7DD46B37"/>
    <w:rsid w:val="7DD52A07"/>
    <w:rsid w:val="7DDA593C"/>
    <w:rsid w:val="7DDE3EE3"/>
    <w:rsid w:val="7DE0510C"/>
    <w:rsid w:val="7DE3624F"/>
    <w:rsid w:val="7DEB0E20"/>
    <w:rsid w:val="7DEE3196"/>
    <w:rsid w:val="7DF35CC2"/>
    <w:rsid w:val="7DFF1847"/>
    <w:rsid w:val="7E24305B"/>
    <w:rsid w:val="7E265025"/>
    <w:rsid w:val="7E265CEC"/>
    <w:rsid w:val="7E372D8F"/>
    <w:rsid w:val="7E3E7A30"/>
    <w:rsid w:val="7E400363"/>
    <w:rsid w:val="7E48603F"/>
    <w:rsid w:val="7E490D14"/>
    <w:rsid w:val="7E5246DF"/>
    <w:rsid w:val="7E5259DD"/>
    <w:rsid w:val="7E561825"/>
    <w:rsid w:val="7E5A1236"/>
    <w:rsid w:val="7E5E5134"/>
    <w:rsid w:val="7E5F1BE0"/>
    <w:rsid w:val="7E755665"/>
    <w:rsid w:val="7E795155"/>
    <w:rsid w:val="7E7B517D"/>
    <w:rsid w:val="7E7C115E"/>
    <w:rsid w:val="7E7C4C45"/>
    <w:rsid w:val="7E7F0292"/>
    <w:rsid w:val="7E7F0A31"/>
    <w:rsid w:val="7E9417C7"/>
    <w:rsid w:val="7EA67F14"/>
    <w:rsid w:val="7EAD4DFF"/>
    <w:rsid w:val="7EAF501B"/>
    <w:rsid w:val="7EB234A3"/>
    <w:rsid w:val="7EB663A9"/>
    <w:rsid w:val="7EBA1BCA"/>
    <w:rsid w:val="7EBA751C"/>
    <w:rsid w:val="7EBE2FD0"/>
    <w:rsid w:val="7EC036FA"/>
    <w:rsid w:val="7EC115A0"/>
    <w:rsid w:val="7EC65EC0"/>
    <w:rsid w:val="7EC837CE"/>
    <w:rsid w:val="7ECF1219"/>
    <w:rsid w:val="7ECF60B0"/>
    <w:rsid w:val="7ED44A81"/>
    <w:rsid w:val="7EDD17F1"/>
    <w:rsid w:val="7EE07DCE"/>
    <w:rsid w:val="7EE22F44"/>
    <w:rsid w:val="7EE33B7E"/>
    <w:rsid w:val="7EE52395"/>
    <w:rsid w:val="7EEC135F"/>
    <w:rsid w:val="7EFB0260"/>
    <w:rsid w:val="7EFE1AFE"/>
    <w:rsid w:val="7F001CE7"/>
    <w:rsid w:val="7F035AEF"/>
    <w:rsid w:val="7F0C421B"/>
    <w:rsid w:val="7F141322"/>
    <w:rsid w:val="7F17671C"/>
    <w:rsid w:val="7F1A4CA9"/>
    <w:rsid w:val="7F1B620C"/>
    <w:rsid w:val="7F1D01D6"/>
    <w:rsid w:val="7F1E7AAB"/>
    <w:rsid w:val="7F2350C1"/>
    <w:rsid w:val="7F277C05"/>
    <w:rsid w:val="7F2D7CEE"/>
    <w:rsid w:val="7F4A6AF1"/>
    <w:rsid w:val="7F4E570E"/>
    <w:rsid w:val="7F606DDB"/>
    <w:rsid w:val="7F686F78"/>
    <w:rsid w:val="7F6C2F0C"/>
    <w:rsid w:val="7F6D458E"/>
    <w:rsid w:val="7F736048"/>
    <w:rsid w:val="7F743B6E"/>
    <w:rsid w:val="7F8042C1"/>
    <w:rsid w:val="7F845B6A"/>
    <w:rsid w:val="7F88755C"/>
    <w:rsid w:val="7F93221D"/>
    <w:rsid w:val="7F983D01"/>
    <w:rsid w:val="7F9D45D1"/>
    <w:rsid w:val="7FA2692E"/>
    <w:rsid w:val="7FAB3A34"/>
    <w:rsid w:val="7FAC3308"/>
    <w:rsid w:val="7FAD285A"/>
    <w:rsid w:val="7FB14DC3"/>
    <w:rsid w:val="7FBD72C3"/>
    <w:rsid w:val="7FBE4DEA"/>
    <w:rsid w:val="7FC40C32"/>
    <w:rsid w:val="7FC423E0"/>
    <w:rsid w:val="7FCD0361"/>
    <w:rsid w:val="7FCE327F"/>
    <w:rsid w:val="7FCF160C"/>
    <w:rsid w:val="7FD2474A"/>
    <w:rsid w:val="7FD56320"/>
    <w:rsid w:val="7FD91FF5"/>
    <w:rsid w:val="7FE47E50"/>
    <w:rsid w:val="7FE54879"/>
    <w:rsid w:val="7FE9455C"/>
    <w:rsid w:val="7FED08D2"/>
    <w:rsid w:val="7FF07699"/>
    <w:rsid w:val="7FF1407D"/>
    <w:rsid w:val="7FF505E8"/>
    <w:rsid w:val="7FF56120"/>
    <w:rsid w:val="7FFD698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locked/>
    <w:uiPriority w:val="0"/>
    <w:pPr>
      <w:keepNext/>
      <w:spacing w:line="360" w:lineRule="auto"/>
      <w:outlineLvl w:val="1"/>
    </w:pPr>
    <w:rPr>
      <w:sz w:val="28"/>
    </w:rPr>
  </w:style>
  <w:style w:type="paragraph" w:styleId="4">
    <w:name w:val="heading 3"/>
    <w:basedOn w:val="1"/>
    <w:next w:val="1"/>
    <w:qFormat/>
    <w:locked/>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locked/>
    <w:uiPriority w:val="99"/>
    <w:pPr>
      <w:ind w:firstLine="420"/>
    </w:pPr>
    <w:rPr>
      <w:sz w:val="24"/>
      <w:szCs w:val="20"/>
    </w:rPr>
  </w:style>
  <w:style w:type="paragraph" w:styleId="7">
    <w:name w:val="caption"/>
    <w:basedOn w:val="1"/>
    <w:next w:val="1"/>
    <w:qFormat/>
    <w:locked/>
    <w:uiPriority w:val="35"/>
    <w:rPr>
      <w:rFonts w:ascii="Arial" w:hAnsi="Arial" w:eastAsia="黑体"/>
      <w:sz w:val="20"/>
    </w:rPr>
  </w:style>
  <w:style w:type="paragraph" w:styleId="8">
    <w:name w:val="annotation text"/>
    <w:basedOn w:val="1"/>
    <w:link w:val="35"/>
    <w:semiHidden/>
    <w:qFormat/>
    <w:uiPriority w:val="0"/>
    <w:pPr>
      <w:jc w:val="left"/>
    </w:pPr>
    <w:rPr>
      <w:kern w:val="0"/>
      <w:sz w:val="24"/>
      <w:szCs w:val="20"/>
    </w:rPr>
  </w:style>
  <w:style w:type="paragraph" w:styleId="9">
    <w:name w:val="Body Text"/>
    <w:basedOn w:val="1"/>
    <w:link w:val="34"/>
    <w:qFormat/>
    <w:uiPriority w:val="0"/>
    <w:pPr>
      <w:widowControl/>
      <w:snapToGrid w:val="0"/>
      <w:spacing w:before="60" w:after="160" w:line="259" w:lineRule="auto"/>
      <w:ind w:right="113"/>
    </w:pPr>
    <w:rPr>
      <w:kern w:val="0"/>
      <w:sz w:val="18"/>
      <w:szCs w:val="20"/>
    </w:rPr>
  </w:style>
  <w:style w:type="paragraph" w:styleId="10">
    <w:name w:val="Body Text Indent"/>
    <w:basedOn w:val="1"/>
    <w:link w:val="36"/>
    <w:qFormat/>
    <w:uiPriority w:val="0"/>
    <w:pPr>
      <w:spacing w:after="120"/>
      <w:ind w:left="420" w:leftChars="200"/>
    </w:pPr>
    <w:rPr>
      <w:kern w:val="0"/>
      <w:sz w:val="24"/>
      <w:szCs w:val="20"/>
    </w:rPr>
  </w:style>
  <w:style w:type="paragraph" w:styleId="11">
    <w:name w:val="Block Text"/>
    <w:basedOn w:val="1"/>
    <w:qFormat/>
    <w:locked/>
    <w:uiPriority w:val="0"/>
    <w:pPr>
      <w:autoSpaceDE w:val="0"/>
      <w:autoSpaceDN w:val="0"/>
      <w:adjustRightInd w:val="0"/>
      <w:spacing w:line="480" w:lineRule="auto"/>
      <w:ind w:left="57" w:right="57" w:firstLine="570"/>
    </w:pPr>
    <w:rPr>
      <w:rFonts w:hint="eastAsia" w:ascii="仿宋_GB2312" w:hAnsi="宋体" w:eastAsia="仿宋_GB2312"/>
      <w:b/>
      <w:color w:val="000000"/>
      <w:kern w:val="0"/>
      <w:sz w:val="28"/>
      <w:szCs w:val="20"/>
    </w:rPr>
  </w:style>
  <w:style w:type="paragraph" w:styleId="12">
    <w:name w:val="Plain Text"/>
    <w:basedOn w:val="1"/>
    <w:qFormat/>
    <w:locked/>
    <w:uiPriority w:val="0"/>
    <w:rPr>
      <w:rFonts w:ascii="宋体" w:hAnsi="Courier New" w:cs="Courier New"/>
      <w:szCs w:val="21"/>
    </w:rPr>
  </w:style>
  <w:style w:type="paragraph" w:styleId="13">
    <w:name w:val="Date"/>
    <w:basedOn w:val="1"/>
    <w:next w:val="1"/>
    <w:link w:val="37"/>
    <w:qFormat/>
    <w:uiPriority w:val="0"/>
    <w:pPr>
      <w:ind w:left="100" w:leftChars="2500"/>
    </w:pPr>
    <w:rPr>
      <w:kern w:val="0"/>
      <w:sz w:val="24"/>
      <w:szCs w:val="20"/>
    </w:rPr>
  </w:style>
  <w:style w:type="paragraph" w:styleId="14">
    <w:name w:val="Body Text Indent 2"/>
    <w:basedOn w:val="1"/>
    <w:link w:val="38"/>
    <w:qFormat/>
    <w:locked/>
    <w:uiPriority w:val="0"/>
    <w:pPr>
      <w:spacing w:after="120" w:line="480" w:lineRule="auto"/>
      <w:ind w:left="420" w:leftChars="200"/>
    </w:pPr>
  </w:style>
  <w:style w:type="paragraph" w:styleId="15">
    <w:name w:val="Balloon Text"/>
    <w:basedOn w:val="1"/>
    <w:link w:val="39"/>
    <w:semiHidden/>
    <w:qFormat/>
    <w:uiPriority w:val="0"/>
    <w:rPr>
      <w:kern w:val="0"/>
      <w:sz w:val="18"/>
      <w:szCs w:val="20"/>
    </w:rPr>
  </w:style>
  <w:style w:type="paragraph" w:styleId="16">
    <w:name w:val="footer"/>
    <w:basedOn w:val="1"/>
    <w:link w:val="40"/>
    <w:qFormat/>
    <w:uiPriority w:val="99"/>
    <w:pPr>
      <w:tabs>
        <w:tab w:val="center" w:pos="4153"/>
        <w:tab w:val="right" w:pos="8306"/>
      </w:tabs>
      <w:snapToGrid w:val="0"/>
      <w:jc w:val="left"/>
    </w:pPr>
    <w:rPr>
      <w:kern w:val="0"/>
      <w:sz w:val="18"/>
      <w:szCs w:val="20"/>
    </w:rPr>
  </w:style>
  <w:style w:type="paragraph" w:styleId="17">
    <w:name w:val="header"/>
    <w:basedOn w:val="1"/>
    <w:next w:val="18"/>
    <w:link w:val="4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9"/>
    <w:next w:val="1"/>
    <w:qFormat/>
    <w:uiPriority w:val="0"/>
    <w:pPr>
      <w:adjustRightInd/>
      <w:spacing w:before="120" w:after="120" w:line="400" w:lineRule="exact"/>
      <w:ind w:firstLine="480"/>
    </w:pPr>
    <w:rPr>
      <w:iCs/>
    </w:rPr>
  </w:style>
  <w:style w:type="paragraph" w:customStyle="1" w:styleId="19">
    <w:name w:val="样式3"/>
    <w:basedOn w:val="20"/>
    <w:qFormat/>
    <w:uiPriority w:val="0"/>
    <w:pPr>
      <w:keepNext/>
      <w:spacing w:after="60" w:line="600" w:lineRule="exact"/>
      <w:ind w:right="-193" w:firstLine="624"/>
      <w:jc w:val="center"/>
    </w:pPr>
    <w:rPr>
      <w:spacing w:val="10"/>
    </w:rPr>
  </w:style>
  <w:style w:type="paragraph" w:styleId="20">
    <w:name w:val="List"/>
    <w:basedOn w:val="1"/>
    <w:unhideWhenUsed/>
    <w:qFormat/>
    <w:locked/>
    <w:uiPriority w:val="99"/>
    <w:pPr>
      <w:snapToGrid/>
      <w:spacing w:before="60" w:after="240" w:line="240" w:lineRule="atLeast"/>
      <w:ind w:left="360" w:hanging="360" w:firstLineChars="0"/>
      <w:textAlignment w:val="baseline"/>
    </w:pPr>
    <w:rPr>
      <w:b/>
      <w:spacing w:val="20"/>
      <w:kern w:val="0"/>
      <w:sz w:val="28"/>
      <w:szCs w:val="20"/>
    </w:rPr>
  </w:style>
  <w:style w:type="paragraph" w:styleId="21">
    <w:name w:val="toc 6"/>
    <w:basedOn w:val="1"/>
    <w:next w:val="1"/>
    <w:qFormat/>
    <w:locked/>
    <w:uiPriority w:val="0"/>
    <w:pPr>
      <w:ind w:left="1050"/>
      <w:jc w:val="left"/>
    </w:pPr>
    <w:rPr>
      <w:sz w:val="18"/>
      <w:szCs w:val="18"/>
    </w:rPr>
  </w:style>
  <w:style w:type="paragraph" w:styleId="22">
    <w:name w:val="Body Text Indent 3"/>
    <w:basedOn w:val="1"/>
    <w:qFormat/>
    <w:locked/>
    <w:uiPriority w:val="0"/>
    <w:pPr>
      <w:spacing w:line="360" w:lineRule="auto"/>
      <w:ind w:firstLine="480" w:firstLineChars="200"/>
    </w:pPr>
    <w:rPr>
      <w:sz w:val="24"/>
    </w:rPr>
  </w:style>
  <w:style w:type="paragraph" w:styleId="23">
    <w:name w:val="table of figures"/>
    <w:basedOn w:val="1"/>
    <w:next w:val="1"/>
    <w:qFormat/>
    <w:locked/>
    <w:uiPriority w:val="0"/>
    <w:pPr>
      <w:ind w:left="200" w:leftChars="200"/>
    </w:pPr>
    <w:rPr>
      <w:rFonts w:eastAsia="华文宋体"/>
      <w:sz w:val="27"/>
      <w:szCs w:val="20"/>
    </w:rPr>
  </w:style>
  <w:style w:type="paragraph" w:styleId="24">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8"/>
    <w:next w:val="8"/>
    <w:link w:val="43"/>
    <w:semiHidden/>
    <w:qFormat/>
    <w:uiPriority w:val="0"/>
    <w:rPr>
      <w:b/>
      <w:sz w:val="24"/>
      <w:szCs w:val="20"/>
    </w:rPr>
  </w:style>
  <w:style w:type="paragraph" w:styleId="26">
    <w:name w:val="Body Text First Indent 2"/>
    <w:basedOn w:val="10"/>
    <w:next w:val="1"/>
    <w:qFormat/>
    <w:locked/>
    <w:uiPriority w:val="99"/>
    <w:pPr>
      <w:spacing w:before="0" w:after="120"/>
      <w:ind w:left="420" w:leftChars="200" w:firstLine="420" w:firstLineChars="20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locked/>
    <w:uiPriority w:val="0"/>
  </w:style>
  <w:style w:type="character" w:styleId="31">
    <w:name w:val="annotation reference"/>
    <w:semiHidden/>
    <w:qFormat/>
    <w:uiPriority w:val="0"/>
    <w:rPr>
      <w:sz w:val="21"/>
    </w:rPr>
  </w:style>
  <w:style w:type="paragraph" w:customStyle="1" w:styleId="32">
    <w:name w:val="正文首行缩进2"/>
    <w:basedOn w:val="14"/>
    <w:next w:val="1"/>
    <w:qFormat/>
    <w:uiPriority w:val="0"/>
    <w:pPr>
      <w:widowControl/>
      <w:spacing w:before="120" w:after="0" w:line="360" w:lineRule="auto"/>
      <w:ind w:left="0" w:leftChars="0" w:firstLine="527"/>
      <w:jc w:val="center"/>
    </w:pPr>
    <w:rPr>
      <w:rFonts w:ascii="宋体" w:hAnsi="宋体"/>
      <w:color w:val="000000"/>
      <w:kern w:val="0"/>
      <w:sz w:val="24"/>
      <w:szCs w:val="20"/>
      <w:lang w:bidi="en-US"/>
    </w:rPr>
  </w:style>
  <w:style w:type="paragraph" w:customStyle="1" w:styleId="33">
    <w:name w:val="表格"/>
    <w:basedOn w:val="10"/>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34">
    <w:name w:val="正文文本 Char"/>
    <w:link w:val="9"/>
    <w:qFormat/>
    <w:locked/>
    <w:uiPriority w:val="0"/>
    <w:rPr>
      <w:sz w:val="18"/>
    </w:rPr>
  </w:style>
  <w:style w:type="character" w:customStyle="1" w:styleId="35">
    <w:name w:val="批注文字 Char"/>
    <w:link w:val="8"/>
    <w:qFormat/>
    <w:locked/>
    <w:uiPriority w:val="0"/>
    <w:rPr>
      <w:rFonts w:ascii="Times New Roman" w:hAnsi="Times New Roman" w:eastAsia="宋体"/>
      <w:sz w:val="24"/>
    </w:rPr>
  </w:style>
  <w:style w:type="character" w:customStyle="1" w:styleId="36">
    <w:name w:val="正文文本缩进 Char"/>
    <w:link w:val="10"/>
    <w:semiHidden/>
    <w:qFormat/>
    <w:locked/>
    <w:uiPriority w:val="0"/>
    <w:rPr>
      <w:rFonts w:ascii="Times New Roman" w:hAnsi="Times New Roman" w:eastAsia="宋体"/>
      <w:sz w:val="24"/>
    </w:rPr>
  </w:style>
  <w:style w:type="character" w:customStyle="1" w:styleId="37">
    <w:name w:val="日期 Char"/>
    <w:link w:val="13"/>
    <w:qFormat/>
    <w:locked/>
    <w:uiPriority w:val="0"/>
    <w:rPr>
      <w:rFonts w:ascii="Times New Roman" w:hAnsi="Times New Roman" w:eastAsia="宋体"/>
      <w:sz w:val="24"/>
    </w:rPr>
  </w:style>
  <w:style w:type="character" w:customStyle="1" w:styleId="38">
    <w:name w:val="正文文本缩进 2 Char"/>
    <w:link w:val="14"/>
    <w:qFormat/>
    <w:uiPriority w:val="0"/>
    <w:rPr>
      <w:kern w:val="2"/>
      <w:sz w:val="21"/>
      <w:szCs w:val="24"/>
    </w:rPr>
  </w:style>
  <w:style w:type="character" w:customStyle="1" w:styleId="39">
    <w:name w:val="批注框文本 Char"/>
    <w:link w:val="15"/>
    <w:semiHidden/>
    <w:qFormat/>
    <w:locked/>
    <w:uiPriority w:val="0"/>
    <w:rPr>
      <w:rFonts w:ascii="Times New Roman" w:hAnsi="Times New Roman" w:eastAsia="宋体"/>
      <w:sz w:val="18"/>
    </w:rPr>
  </w:style>
  <w:style w:type="character" w:customStyle="1" w:styleId="40">
    <w:name w:val="页脚 Char"/>
    <w:link w:val="16"/>
    <w:qFormat/>
    <w:locked/>
    <w:uiPriority w:val="99"/>
    <w:rPr>
      <w:sz w:val="18"/>
    </w:rPr>
  </w:style>
  <w:style w:type="character" w:customStyle="1" w:styleId="41">
    <w:name w:val="页眉 Char"/>
    <w:link w:val="17"/>
    <w:qFormat/>
    <w:locked/>
    <w:uiPriority w:val="0"/>
    <w:rPr>
      <w:sz w:val="18"/>
    </w:rPr>
  </w:style>
  <w:style w:type="character" w:customStyle="1" w:styleId="42">
    <w:name w:val="普通(网站) Char"/>
    <w:link w:val="24"/>
    <w:qFormat/>
    <w:locked/>
    <w:uiPriority w:val="0"/>
    <w:rPr>
      <w:rFonts w:ascii="宋体" w:hAnsi="宋体" w:eastAsia="宋体"/>
      <w:sz w:val="24"/>
    </w:rPr>
  </w:style>
  <w:style w:type="character" w:customStyle="1" w:styleId="43">
    <w:name w:val="批注主题 Char"/>
    <w:link w:val="25"/>
    <w:semiHidden/>
    <w:qFormat/>
    <w:locked/>
    <w:uiPriority w:val="0"/>
    <w:rPr>
      <w:rFonts w:ascii="Times New Roman" w:hAnsi="Times New Roman" w:eastAsia="宋体"/>
      <w:b/>
      <w:kern w:val="2"/>
      <w:sz w:val="24"/>
    </w:rPr>
  </w:style>
  <w:style w:type="character" w:customStyle="1" w:styleId="44">
    <w:name w:val="表格 Char"/>
    <w:link w:val="33"/>
    <w:qFormat/>
    <w:locked/>
    <w:uiPriority w:val="0"/>
    <w:rPr>
      <w:rFonts w:ascii="宋体"/>
      <w:sz w:val="21"/>
    </w:rPr>
  </w:style>
  <w:style w:type="paragraph" w:customStyle="1" w:styleId="45">
    <w:name w:val="正文首行"/>
    <w:basedOn w:val="6"/>
    <w:qFormat/>
    <w:uiPriority w:val="0"/>
    <w:pPr>
      <w:spacing w:line="480" w:lineRule="exact"/>
      <w:ind w:firstLine="200"/>
    </w:pPr>
  </w:style>
  <w:style w:type="paragraph" w:customStyle="1" w:styleId="46">
    <w:name w:val="Default"/>
    <w:basedOn w:val="47"/>
    <w:next w:val="26"/>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4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8">
    <w:name w:val="纯文本1"/>
    <w:basedOn w:val="1"/>
    <w:qFormat/>
    <w:uiPriority w:val="99"/>
    <w:pPr>
      <w:autoSpaceDE w:val="0"/>
      <w:autoSpaceDN w:val="0"/>
      <w:adjustRightInd w:val="0"/>
      <w:textAlignment w:val="baseline"/>
    </w:pPr>
    <w:rPr>
      <w:rFonts w:ascii="宋体"/>
      <w:szCs w:val="20"/>
    </w:rPr>
  </w:style>
  <w:style w:type="paragraph" w:customStyle="1" w:styleId="49">
    <w:name w:val="UserStyle_0"/>
    <w:qFormat/>
    <w:uiPriority w:val="0"/>
    <w:pPr>
      <w:textAlignment w:val="baseline"/>
    </w:pPr>
    <w:rPr>
      <w:rFonts w:ascii="宋体" w:hAnsi="Calibri" w:eastAsia="宋体" w:cs="Times New Roman"/>
      <w:color w:val="000000"/>
      <w:sz w:val="24"/>
      <w:szCs w:val="24"/>
      <w:lang w:val="en-US" w:eastAsia="zh-CN" w:bidi="ar-SA"/>
    </w:rPr>
  </w:style>
  <w:style w:type="character" w:customStyle="1" w:styleId="50">
    <w:name w:val="正文文本 Char Char"/>
    <w:qFormat/>
    <w:uiPriority w:val="0"/>
    <w:rPr>
      <w:rFonts w:ascii="宋体" w:eastAsia="宋体"/>
      <w:sz w:val="28"/>
      <w:lang w:val="en-US" w:eastAsia="zh-CN" w:bidi="ar-SA"/>
    </w:rPr>
  </w:style>
  <w:style w:type="character" w:customStyle="1" w:styleId="51">
    <w:name w:val="font01"/>
    <w:qFormat/>
    <w:uiPriority w:val="0"/>
    <w:rPr>
      <w:rFonts w:hint="eastAsia" w:ascii="宋体" w:hAnsi="宋体" w:eastAsia="宋体" w:cs="宋体"/>
      <w:color w:val="000000"/>
      <w:sz w:val="22"/>
      <w:szCs w:val="22"/>
      <w:u w:val="none"/>
      <w:vertAlign w:val="subscript"/>
    </w:rPr>
  </w:style>
  <w:style w:type="character" w:customStyle="1" w:styleId="52">
    <w:name w:val="页脚 字符"/>
    <w:qFormat/>
    <w:uiPriority w:val="99"/>
  </w:style>
  <w:style w:type="character" w:customStyle="1" w:styleId="53">
    <w:name w:val="font21"/>
    <w:qFormat/>
    <w:uiPriority w:val="0"/>
    <w:rPr>
      <w:rFonts w:hint="eastAsia" w:ascii="宋体" w:hAnsi="宋体" w:eastAsia="宋体" w:cs="宋体"/>
      <w:color w:val="000000"/>
      <w:sz w:val="22"/>
      <w:szCs w:val="22"/>
      <w:u w:val="none"/>
    </w:rPr>
  </w:style>
  <w:style w:type="character" w:customStyle="1" w:styleId="54">
    <w:name w:val="font11"/>
    <w:qFormat/>
    <w:uiPriority w:val="0"/>
    <w:rPr>
      <w:rFonts w:hint="eastAsia" w:ascii="宋体" w:hAnsi="宋体" w:eastAsia="宋体" w:cs="宋体"/>
      <w:color w:val="000000"/>
      <w:sz w:val="22"/>
      <w:szCs w:val="22"/>
      <w:u w:val="none"/>
    </w:rPr>
  </w:style>
  <w:style w:type="character" w:customStyle="1" w:styleId="55">
    <w:name w:val="日期 字符"/>
    <w:semiHidden/>
    <w:qFormat/>
    <w:uiPriority w:val="0"/>
    <w:rPr>
      <w:rFonts w:ascii="Times New Roman" w:hAnsi="Times New Roman" w:eastAsia="宋体"/>
      <w:sz w:val="24"/>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批注文字 字符1"/>
    <w:semiHidden/>
    <w:qFormat/>
    <w:uiPriority w:val="0"/>
    <w:rPr>
      <w:rFonts w:ascii="Times New Roman" w:hAnsi="Times New Roman" w:eastAsia="宋体"/>
      <w:sz w:val="24"/>
    </w:rPr>
  </w:style>
  <w:style w:type="paragraph" w:customStyle="1" w:styleId="58">
    <w:name w:val="妇幼正文"/>
    <w:basedOn w:val="1"/>
    <w:qFormat/>
    <w:uiPriority w:val="0"/>
    <w:pPr>
      <w:adjustRightInd w:val="0"/>
      <w:spacing w:line="360" w:lineRule="auto"/>
      <w:ind w:firstLine="480" w:firstLineChars="200"/>
    </w:pPr>
    <w:rPr>
      <w:color w:val="000000"/>
      <w:kern w:val="0"/>
      <w:sz w:val="24"/>
    </w:rPr>
  </w:style>
  <w:style w:type="paragraph" w:customStyle="1" w:styleId="59">
    <w:name w:val="表格文字"/>
    <w:basedOn w:val="1"/>
    <w:qFormat/>
    <w:uiPriority w:val="0"/>
    <w:pPr>
      <w:autoSpaceDE w:val="0"/>
      <w:autoSpaceDN w:val="0"/>
      <w:adjustRightInd w:val="0"/>
      <w:snapToGrid w:val="0"/>
      <w:spacing w:beforeLines="20" w:afterLines="20"/>
      <w:jc w:val="center"/>
    </w:pPr>
    <w:rPr>
      <w:rFonts w:ascii="宋体" w:hAnsi="宋体" w:cs="宋体"/>
    </w:rPr>
  </w:style>
  <w:style w:type="paragraph" w:customStyle="1" w:styleId="60">
    <w:name w:val="22222"/>
    <w:basedOn w:val="1"/>
    <w:qFormat/>
    <w:uiPriority w:val="0"/>
    <w:pPr>
      <w:spacing w:line="480" w:lineRule="exact"/>
      <w:ind w:firstLine="480" w:firstLineChars="200"/>
    </w:pPr>
    <w:rPr>
      <w:rFonts w:hAnsi="宋体"/>
      <w:sz w:val="24"/>
    </w:rPr>
  </w:style>
  <w:style w:type="paragraph" w:customStyle="1" w:styleId="61">
    <w:name w:val="_Style 58"/>
    <w:unhideWhenUsed/>
    <w:qFormat/>
    <w:uiPriority w:val="99"/>
    <w:rPr>
      <w:rFonts w:ascii="Times New Roman" w:hAnsi="Times New Roman" w:eastAsia="宋体" w:cs="Times New Roman"/>
      <w:kern w:val="2"/>
      <w:sz w:val="21"/>
      <w:szCs w:val="24"/>
      <w:lang w:val="en-US" w:eastAsia="zh-CN" w:bidi="ar-SA"/>
    </w:rPr>
  </w:style>
  <w:style w:type="paragraph" w:customStyle="1" w:styleId="62">
    <w:name w:val="正文01"/>
    <w:basedOn w:val="1"/>
    <w:qFormat/>
    <w:uiPriority w:val="0"/>
    <w:pPr>
      <w:spacing w:before="60" w:line="460" w:lineRule="exact"/>
      <w:ind w:firstLine="200" w:firstLineChars="200"/>
    </w:pPr>
    <w:rPr>
      <w:sz w:val="24"/>
    </w:rPr>
  </w:style>
  <w:style w:type="paragraph" w:customStyle="1" w:styleId="63">
    <w:name w:val="表标题"/>
    <w:basedOn w:val="1"/>
    <w:qFormat/>
    <w:uiPriority w:val="0"/>
    <w:pPr>
      <w:widowControl/>
      <w:snapToGrid w:val="0"/>
      <w:spacing w:before="120" w:afterLines="50"/>
      <w:ind w:firstLine="482"/>
      <w:jc w:val="center"/>
    </w:pPr>
    <w:rPr>
      <w:rFonts w:ascii="黑体" w:hAnsi="Gloucester MT Extra Condensed" w:eastAsia="黑体"/>
      <w:bCs/>
      <w:szCs w:val="21"/>
    </w:rPr>
  </w:style>
  <w:style w:type="paragraph" w:customStyle="1" w:styleId="6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5">
    <w:name w:val="惠泽正文"/>
    <w:basedOn w:val="1"/>
    <w:qFormat/>
    <w:uiPriority w:val="0"/>
    <w:pPr>
      <w:spacing w:line="480" w:lineRule="exact"/>
      <w:ind w:firstLine="480" w:firstLineChars="200"/>
    </w:pPr>
    <w:rPr>
      <w:rFonts w:hAnsi="宋体" w:cs="宋体"/>
      <w:sz w:val="24"/>
      <w:szCs w:val="20"/>
    </w:rPr>
  </w:style>
  <w:style w:type="paragraph" w:customStyle="1" w:styleId="66">
    <w:name w:val="惠泽表格"/>
    <w:basedOn w:val="1"/>
    <w:qFormat/>
    <w:uiPriority w:val="0"/>
    <w:pPr>
      <w:spacing w:line="480" w:lineRule="exact"/>
      <w:jc w:val="center"/>
    </w:pPr>
    <w:rPr>
      <w:rFonts w:ascii="黑体" w:hAnsi="黑体" w:eastAsia="黑体" w:cs="宋体"/>
      <w:sz w:val="24"/>
      <w:szCs w:val="20"/>
    </w:rPr>
  </w:style>
  <w:style w:type="paragraph" w:customStyle="1" w:styleId="67">
    <w:name w:val="biaotou"/>
    <w:basedOn w:val="9"/>
    <w:qFormat/>
    <w:uiPriority w:val="99"/>
    <w:pPr>
      <w:spacing w:after="0" w:line="460" w:lineRule="exact"/>
      <w:jc w:val="center"/>
    </w:pPr>
    <w:rPr>
      <w:rFonts w:ascii="黑体" w:hAnsi="黑体" w:eastAsia="黑体" w:cs="宋体"/>
      <w:sz w:val="24"/>
      <w:szCs w:val="20"/>
    </w:rPr>
  </w:style>
  <w:style w:type="paragraph" w:customStyle="1" w:styleId="68">
    <w:name w:val="样式 首行缩进:  2 字符"/>
    <w:basedOn w:val="1"/>
    <w:qFormat/>
    <w:uiPriority w:val="0"/>
    <w:pPr>
      <w:snapToGrid w:val="0"/>
      <w:spacing w:line="360" w:lineRule="auto"/>
      <w:ind w:firstLine="200" w:firstLineChars="200"/>
    </w:pPr>
    <w:rPr>
      <w:rFonts w:ascii="宋体" w:cs="宋体"/>
      <w:sz w:val="28"/>
      <w:szCs w:val="20"/>
    </w:rPr>
  </w:style>
  <w:style w:type="paragraph" w:customStyle="1" w:styleId="69">
    <w:name w:val="中文"/>
    <w:basedOn w:val="1"/>
    <w:qFormat/>
    <w:uiPriority w:val="0"/>
    <w:pPr>
      <w:widowControl/>
      <w:spacing w:line="360" w:lineRule="auto"/>
      <w:ind w:firstLine="200" w:firstLineChars="200"/>
    </w:pPr>
    <w:rPr>
      <w:rFonts w:cs="宋体"/>
      <w:kern w:val="0"/>
      <w:sz w:val="24"/>
      <w:lang w:eastAsia="en-US"/>
    </w:rPr>
  </w:style>
  <w:style w:type="paragraph" w:customStyle="1" w:styleId="7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标准段落"/>
    <w:basedOn w:val="1"/>
    <w:next w:val="1"/>
    <w:qFormat/>
    <w:uiPriority w:val="0"/>
    <w:pPr>
      <w:spacing w:line="360" w:lineRule="auto"/>
      <w:ind w:firstLine="480" w:firstLineChars="200"/>
    </w:pPr>
    <w:rPr>
      <w:kern w:val="0"/>
      <w:sz w:val="24"/>
    </w:rPr>
  </w:style>
  <w:style w:type="paragraph" w:customStyle="1" w:styleId="7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74">
    <w:name w:val="正文格式"/>
    <w:basedOn w:val="75"/>
    <w:qFormat/>
    <w:uiPriority w:val="0"/>
    <w:pPr>
      <w:spacing w:line="360" w:lineRule="auto"/>
      <w:ind w:firstLine="480" w:firstLineChars="200"/>
    </w:pPr>
  </w:style>
  <w:style w:type="paragraph" w:customStyle="1" w:styleId="75">
    <w:name w:val="样式 (符号) 宋体 小四 首行缩进:  0.95 厘米 行距: 1.5 倍行距"/>
    <w:basedOn w:val="1"/>
    <w:qFormat/>
    <w:uiPriority w:val="0"/>
    <w:pPr>
      <w:spacing w:line="360" w:lineRule="auto"/>
      <w:ind w:firstLine="200" w:firstLineChars="200"/>
    </w:pPr>
    <w:rPr>
      <w:rFonts w:hAnsi="宋体"/>
      <w:sz w:val="24"/>
      <w:szCs w:val="20"/>
    </w:rPr>
  </w:style>
  <w:style w:type="paragraph" w:customStyle="1" w:styleId="76">
    <w:name w:val="样式 标题 1一级标题 + 段前: 0.5 行 段后: 0.5 行"/>
    <w:basedOn w:val="3"/>
    <w:qFormat/>
    <w:uiPriority w:val="99"/>
    <w:pPr>
      <w:spacing w:line="320" w:lineRule="exact"/>
      <w:outlineLvl w:val="9"/>
    </w:pPr>
    <w:rPr>
      <w:spacing w:val="-6"/>
      <w:sz w:val="21"/>
      <w:szCs w:val="21"/>
    </w:rPr>
  </w:style>
  <w:style w:type="paragraph" w:customStyle="1" w:styleId="77">
    <w:name w:val="至科表头"/>
    <w:basedOn w:val="1"/>
    <w:qFormat/>
    <w:uiPriority w:val="0"/>
    <w:pPr>
      <w:spacing w:line="240" w:lineRule="auto"/>
      <w:ind w:firstLine="0" w:firstLineChars="0"/>
      <w:jc w:val="center"/>
    </w:pPr>
    <w:rPr>
      <w:rFonts w:ascii="宋体" w:hAnsi="宋体" w:eastAsia="宋体" w:cs="宋体"/>
      <w:b/>
      <w:bCs/>
      <w:szCs w:val="21"/>
    </w:rPr>
  </w:style>
  <w:style w:type="paragraph" w:customStyle="1" w:styleId="78">
    <w:name w:val="至科正文"/>
    <w:basedOn w:val="1"/>
    <w:qFormat/>
    <w:uiPriority w:val="0"/>
    <w:pPr>
      <w:adjustRightInd/>
      <w:snapToGrid/>
      <w:spacing w:line="360" w:lineRule="auto"/>
      <w:ind w:firstLine="720" w:firstLineChars="200"/>
      <w:jc w:val="left"/>
    </w:pPr>
    <w:rPr>
      <w:rFonts w:ascii="宋体" w:hAnsi="宋体" w:eastAsia="宋体" w:cs="宋体"/>
      <w:bCs/>
      <w:sz w:val="24"/>
      <w:szCs w:val="21"/>
    </w:rPr>
  </w:style>
  <w:style w:type="paragraph" w:customStyle="1" w:styleId="79">
    <w:name w:val="Char"/>
    <w:basedOn w:val="1"/>
    <w:qFormat/>
    <w:uiPriority w:val="0"/>
  </w:style>
  <w:style w:type="paragraph" w:customStyle="1" w:styleId="80">
    <w:name w:val="报告正文"/>
    <w:basedOn w:val="1"/>
    <w:qFormat/>
    <w:uiPriority w:val="0"/>
    <w:pPr>
      <w:adjustRightInd w:val="0"/>
      <w:snapToGrid w:val="0"/>
      <w:spacing w:line="360" w:lineRule="auto"/>
      <w:ind w:firstLine="720" w:firstLineChars="200"/>
    </w:pPr>
    <w:rPr>
      <w:rFonts w:ascii="Times New Roman" w:hAnsi="Times New Roman"/>
      <w:sz w:val="24"/>
    </w:rPr>
  </w:style>
  <w:style w:type="table" w:customStyle="1" w:styleId="81">
    <w:name w:val="Table Normal"/>
    <w:unhideWhenUsed/>
    <w:qFormat/>
    <w:uiPriority w:val="0"/>
    <w:tblPr>
      <w:tblCellMar>
        <w:top w:w="0" w:type="dxa"/>
        <w:left w:w="0" w:type="dxa"/>
        <w:bottom w:w="0" w:type="dxa"/>
        <w:right w:w="0" w:type="dxa"/>
      </w:tblCellMar>
    </w:tblPr>
  </w:style>
  <w:style w:type="paragraph" w:customStyle="1" w:styleId="82">
    <w:name w:val="Table Text"/>
    <w:basedOn w:val="1"/>
    <w:semiHidden/>
    <w:qFormat/>
    <w:uiPriority w:val="0"/>
    <w:rPr>
      <w:rFonts w:ascii="Arial" w:hAnsi="Arial" w:eastAsia="Arial" w:cs="Arial"/>
      <w:sz w:val="21"/>
      <w:szCs w:val="21"/>
      <w:lang w:val="en-US" w:eastAsia="en-US" w:bidi="ar-SA"/>
    </w:rPr>
  </w:style>
  <w:style w:type="character" w:customStyle="1" w:styleId="83">
    <w:name w:val="样式 宋体"/>
    <w:qFormat/>
    <w:uiPriority w:val="0"/>
    <w:rPr>
      <w:rFonts w:ascii="Times New Roman" w:hAnsi="Times New Roman" w:eastAsia="宋体"/>
      <w:sz w:val="24"/>
      <w:vertAlign w:val="baseline"/>
    </w:rPr>
  </w:style>
  <w:style w:type="paragraph" w:customStyle="1" w:styleId="84">
    <w:name w:val="_Style 1"/>
    <w:qFormat/>
    <w:uiPriority w:val="0"/>
    <w:pPr>
      <w:adjustRightInd w:val="0"/>
      <w:snapToGrid w:val="0"/>
      <w:spacing w:line="480" w:lineRule="exact"/>
      <w:ind w:firstLine="480" w:firstLineChars="200"/>
    </w:pPr>
    <w:rPr>
      <w:rFonts w:ascii="Times New Roman" w:hAnsi="Times New Roman" w:eastAsia="宋体" w:cs="Times New Roman"/>
      <w:sz w:val="24"/>
      <w:szCs w:val="22"/>
      <w:lang w:val="en-US" w:eastAsia="zh-CN" w:bidi="ar-SA"/>
    </w:rPr>
  </w:style>
  <w:style w:type="paragraph" w:customStyle="1" w:styleId="85">
    <w:name w:val="威嘉生物 表格"/>
    <w:basedOn w:val="1"/>
    <w:qFormat/>
    <w:uiPriority w:val="0"/>
    <w:pPr>
      <w:spacing w:line="240" w:lineRule="auto"/>
      <w:jc w:val="center"/>
    </w:pPr>
    <w:rPr>
      <w:rFonts w:hint="eastAsia"/>
      <w:b/>
      <w:sz w:val="21"/>
    </w:rPr>
  </w:style>
  <w:style w:type="paragraph" w:customStyle="1" w:styleId="86">
    <w:name w:val="S报告正文"/>
    <w:basedOn w:val="1"/>
    <w:qFormat/>
    <w:uiPriority w:val="0"/>
    <w:pPr>
      <w:adjustRightInd w:val="0"/>
      <w:snapToGrid w:val="0"/>
      <w:spacing w:line="480" w:lineRule="exact"/>
      <w:ind w:firstLine="510"/>
      <w:jc w:val="left"/>
    </w:pPr>
    <w:rPr>
      <w:sz w:val="24"/>
    </w:rPr>
  </w:style>
  <w:style w:type="paragraph" w:customStyle="1" w:styleId="87">
    <w:name w:val="图表标题"/>
    <w:basedOn w:val="23"/>
    <w:next w:val="33"/>
    <w:qFormat/>
    <w:uiPriority w:val="0"/>
    <w:pPr>
      <w:spacing w:before="0" w:beforeLines="0" w:after="0" w:afterLines="0" w:line="240" w:lineRule="auto"/>
      <w:ind w:left="0" w:leftChars="0" w:firstLine="0" w:firstLineChars="0"/>
      <w:jc w:val="center"/>
      <w:outlineLvl w:val="4"/>
    </w:pPr>
    <w:rPr>
      <w:rFonts w:ascii="Times New Roman" w:hAnsi="Times New Roman" w:eastAsia="宋体"/>
      <w:bCs/>
      <w:snapToGrid w:val="0"/>
      <w:sz w:val="21"/>
    </w:rPr>
  </w:style>
  <w:style w:type="paragraph" w:customStyle="1" w:styleId="88">
    <w:name w:val="正文文字"/>
    <w:basedOn w:val="1"/>
    <w:qFormat/>
    <w:uiPriority w:val="0"/>
    <w:pPr>
      <w:spacing w:line="360" w:lineRule="auto"/>
      <w:ind w:firstLine="880" w:firstLineChars="200"/>
    </w:pPr>
    <w:rPr>
      <w:rFonts w:hint="eastAsia" w:ascii="Times New Roman" w:hAnsi="Times New Roman"/>
      <w:sz w:val="24"/>
    </w:rPr>
  </w:style>
  <w:style w:type="paragraph" w:customStyle="1" w:styleId="89">
    <w:name w:val="表头"/>
    <w:basedOn w:val="20"/>
    <w:next w:val="1"/>
    <w:qFormat/>
    <w:uiPriority w:val="0"/>
    <w:pPr>
      <w:tabs>
        <w:tab w:val="left" w:pos="280"/>
      </w:tabs>
      <w:adjustRightInd w:val="0"/>
      <w:spacing w:before="80" w:after="80"/>
      <w:textAlignment w:val="baseline"/>
    </w:pPr>
    <w:rPr>
      <w:rFonts w:ascii="仿宋_GB2312" w:eastAsia="仿宋_GB2312"/>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oleObject" Target="embeddings/oleObject3.bin"/><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14415</Words>
  <Characters>15866</Characters>
  <Lines>189</Lines>
  <Paragraphs>53</Paragraphs>
  <TotalTime>33</TotalTime>
  <ScaleCrop>false</ScaleCrop>
  <LinksUpToDate>false</LinksUpToDate>
  <CharactersWithSpaces>15935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2022-08-22T02:26:00Z</dcterms:created>
  <dc:creator>lhj</dc:creator>
  <cp:lastModifiedBy>富贵</cp:lastModifiedBy>
  <cp:lastPrinted>2024-01-18T02:29:00Z</cp:lastPrinted>
  <dcterms:modified xsi:type="dcterms:W3CDTF">2025-11-17T05:42:21Z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AD142A99AC1C453B9C6ED159AE1AC7B8_13</vt:lpwstr>
  </property>
  <property fmtid="{D5CDD505-2E9C-101B-9397-08002B2CF9AE}" pid="4" name="KSOTemplateDocerSaveRecord">
    <vt:lpwstr>eyJoZGlkIjoiMjY5YmZlOTk4NGVjNDM3MDZlMmM5MmY3YTY1NzI1NWYiLCJ1c2VySWQiOiI2OTczMDAxMTgifQ==</vt:lpwstr>
  </property>
</Properties>
</file>