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8691F0">
      <w:pPr>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70DB5F73">
      <w:pPr>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685D47C9">
      <w:pPr>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75AABB24">
      <w:pPr>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66192BAE">
      <w:pPr>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4B93794A">
      <w:pPr>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7D4AA66D">
      <w:pPr>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026F265B">
      <w:pPr>
        <w:adjustRightInd w:val="0"/>
        <w:snapToGrid w:val="0"/>
        <w:jc w:val="center"/>
        <w:outlineLvl w:val="0"/>
        <w:rPr>
          <w:rFonts w:hint="eastAsia" w:ascii="黑体" w:hAnsi="黑体" w:eastAsia="黑体" w:cs="黑体"/>
          <w:bCs/>
          <w:color w:val="000000" w:themeColor="text1"/>
          <w:sz w:val="72"/>
          <w:szCs w:val="72"/>
          <w:highlight w:val="none"/>
          <w14:textFill>
            <w14:solidFill>
              <w14:schemeClr w14:val="tx1"/>
            </w14:solidFill>
          </w14:textFill>
        </w:rPr>
      </w:pPr>
      <w:bookmarkStart w:id="0" w:name="_Toc1592"/>
      <w:r>
        <w:rPr>
          <w:rFonts w:hint="eastAsia" w:ascii="黑体" w:hAnsi="黑体" w:eastAsia="黑体" w:cs="黑体"/>
          <w:bCs/>
          <w:color w:val="000000" w:themeColor="text1"/>
          <w:sz w:val="72"/>
          <w:szCs w:val="72"/>
          <w:highlight w:val="none"/>
          <w14:textFill>
            <w14:solidFill>
              <w14:schemeClr w14:val="tx1"/>
            </w14:solidFill>
          </w14:textFill>
        </w:rPr>
        <w:t>建设项目环境影响报告表</w:t>
      </w:r>
      <w:bookmarkEnd w:id="0"/>
    </w:p>
    <w:p w14:paraId="34884CD3">
      <w:pPr>
        <w:adjustRightInd w:val="0"/>
        <w:snapToGrid w:val="0"/>
        <w:spacing w:before="192" w:beforeLines="80"/>
        <w:jc w:val="center"/>
        <w:rPr>
          <w:rFonts w:hint="default" w:ascii="Times New Roman" w:hAnsi="Times New Roman" w:eastAsia="楷体_GB2312" w:cs="Times New Roman"/>
          <w:bCs/>
          <w:color w:val="000000" w:themeColor="text1"/>
          <w:sz w:val="48"/>
          <w:szCs w:val="48"/>
          <w:highlight w:val="none"/>
          <w14:textFill>
            <w14:solidFill>
              <w14:schemeClr w14:val="tx1"/>
            </w14:solidFill>
          </w14:textFill>
        </w:rPr>
      </w:pPr>
      <w:r>
        <w:rPr>
          <w:rFonts w:hint="default" w:ascii="Times New Roman" w:hAnsi="Times New Roman" w:eastAsia="楷体_GB2312" w:cs="Times New Roman"/>
          <w:bCs/>
          <w:color w:val="000000" w:themeColor="text1"/>
          <w:sz w:val="48"/>
          <w:szCs w:val="48"/>
          <w:highlight w:val="none"/>
          <w14:textFill>
            <w14:solidFill>
              <w14:schemeClr w14:val="tx1"/>
            </w14:solidFill>
          </w14:textFill>
        </w:rPr>
        <w:t>（污染影响类）</w:t>
      </w:r>
    </w:p>
    <w:p w14:paraId="613DEE9F">
      <w:pPr>
        <w:adjustRightInd w:val="0"/>
        <w:snapToGrid w:val="0"/>
        <w:spacing w:line="288" w:lineRule="auto"/>
        <w:jc w:val="center"/>
        <w:outlineLvl w:val="0"/>
        <w:rPr>
          <w:rFonts w:hint="default" w:ascii="Times New Roman" w:hAnsi="Times New Roman" w:eastAsia="华文仿宋" w:cs="Times New Roman"/>
          <w:color w:val="000000" w:themeColor="text1"/>
          <w:kern w:val="44"/>
          <w:sz w:val="44"/>
          <w:szCs w:val="44"/>
          <w:highlight w:val="none"/>
          <w14:textFill>
            <w14:solidFill>
              <w14:schemeClr w14:val="tx1"/>
            </w14:solidFill>
          </w14:textFill>
        </w:rPr>
      </w:pPr>
    </w:p>
    <w:p w14:paraId="35442B67">
      <w:pPr>
        <w:jc w:val="center"/>
        <w:rPr>
          <w:rFonts w:hint="default" w:ascii="Times New Roman" w:hAnsi="Times New Roman" w:eastAsia="仿宋" w:cs="Times New Roman"/>
          <w:color w:val="000000" w:themeColor="text1"/>
          <w:sz w:val="52"/>
          <w:szCs w:val="52"/>
          <w:highlight w:val="none"/>
          <w14:textFill>
            <w14:solidFill>
              <w14:schemeClr w14:val="tx1"/>
            </w14:solidFill>
          </w14:textFill>
        </w:rPr>
      </w:pPr>
    </w:p>
    <w:p w14:paraId="4EC42379">
      <w:pPr>
        <w:ind w:firstLine="1040"/>
        <w:rPr>
          <w:rFonts w:hint="default" w:ascii="Times New Roman" w:hAnsi="Times New Roman" w:eastAsia="仿宋" w:cs="Times New Roman"/>
          <w:color w:val="000000" w:themeColor="text1"/>
          <w:sz w:val="44"/>
          <w:szCs w:val="44"/>
          <w:highlight w:val="none"/>
          <w14:textFill>
            <w14:solidFill>
              <w14:schemeClr w14:val="tx1"/>
            </w14:solidFill>
          </w14:textFill>
        </w:rPr>
      </w:pPr>
    </w:p>
    <w:p w14:paraId="521FDD08">
      <w:pPr>
        <w:ind w:firstLine="1040"/>
        <w:rPr>
          <w:rFonts w:hint="default" w:ascii="Times New Roman" w:hAnsi="Times New Roman" w:eastAsia="仿宋" w:cs="Times New Roman"/>
          <w:color w:val="000000" w:themeColor="text1"/>
          <w:sz w:val="44"/>
          <w:szCs w:val="44"/>
          <w:highlight w:val="none"/>
          <w14:textFill>
            <w14:solidFill>
              <w14:schemeClr w14:val="tx1"/>
            </w14:solidFill>
          </w14:textFill>
        </w:rPr>
      </w:pPr>
    </w:p>
    <w:p w14:paraId="4FD20330">
      <w:pPr>
        <w:ind w:firstLine="1040"/>
        <w:rPr>
          <w:rFonts w:hint="default" w:ascii="Times New Roman" w:hAnsi="Times New Roman" w:eastAsia="仿宋" w:cs="Times New Roman"/>
          <w:color w:val="000000" w:themeColor="text1"/>
          <w:sz w:val="44"/>
          <w:szCs w:val="44"/>
          <w:highlight w:val="none"/>
          <w14:textFill>
            <w14:solidFill>
              <w14:schemeClr w14:val="tx1"/>
            </w14:solidFill>
          </w14:textFill>
        </w:rPr>
      </w:pPr>
    </w:p>
    <w:p w14:paraId="437DCAC1">
      <w:pPr>
        <w:ind w:firstLine="1040"/>
        <w:rPr>
          <w:rFonts w:hint="default" w:ascii="Times New Roman" w:hAnsi="Times New Roman" w:eastAsia="仿宋" w:cs="Times New Roman"/>
          <w:color w:val="000000" w:themeColor="text1"/>
          <w:sz w:val="44"/>
          <w:szCs w:val="44"/>
          <w:highlight w:val="none"/>
          <w14:textFill>
            <w14:solidFill>
              <w14:schemeClr w14:val="tx1"/>
            </w14:solidFill>
          </w14:textFill>
        </w:rPr>
      </w:pPr>
    </w:p>
    <w:p w14:paraId="2233A0E4">
      <w:pPr>
        <w:ind w:firstLine="1040"/>
        <w:rPr>
          <w:rFonts w:hint="default" w:ascii="Times New Roman" w:hAnsi="Times New Roman" w:eastAsia="仿宋" w:cs="Times New Roman"/>
          <w:color w:val="000000" w:themeColor="text1"/>
          <w:sz w:val="44"/>
          <w:szCs w:val="44"/>
          <w:highlight w:val="none"/>
          <w14:textFill>
            <w14:solidFill>
              <w14:schemeClr w14:val="tx1"/>
            </w14:solidFill>
          </w14:textFill>
        </w:rPr>
      </w:pPr>
    </w:p>
    <w:p w14:paraId="17F8164D">
      <w:pPr>
        <w:ind w:firstLine="1040"/>
        <w:rPr>
          <w:rFonts w:hint="default" w:ascii="Times New Roman" w:hAnsi="Times New Roman" w:eastAsia="仿宋" w:cs="Times New Roman"/>
          <w:color w:val="000000" w:themeColor="text1"/>
          <w:sz w:val="44"/>
          <w:szCs w:val="44"/>
          <w:highlight w:val="none"/>
          <w14:textFill>
            <w14:solidFill>
              <w14:schemeClr w14:val="tx1"/>
            </w14:solidFill>
          </w14:textFill>
        </w:rPr>
      </w:pPr>
    </w:p>
    <w:p w14:paraId="7BA20D7C">
      <w:pPr>
        <w:ind w:firstLine="1040"/>
        <w:rPr>
          <w:rFonts w:hint="default" w:ascii="Times New Roman" w:hAnsi="Times New Roman" w:eastAsia="仿宋" w:cs="Times New Roman"/>
          <w:color w:val="000000" w:themeColor="text1"/>
          <w:sz w:val="44"/>
          <w:szCs w:val="44"/>
          <w:highlight w:val="none"/>
          <w14:textFill>
            <w14:solidFill>
              <w14:schemeClr w14:val="tx1"/>
            </w14:solidFill>
          </w14:textFill>
        </w:rPr>
      </w:pPr>
    </w:p>
    <w:p w14:paraId="2972F478">
      <w:pPr>
        <w:adjustRightInd w:val="0"/>
        <w:snapToGrid w:val="0"/>
        <w:spacing w:line="288" w:lineRule="auto"/>
        <w:ind w:left="0" w:leftChars="0" w:firstLine="0" w:firstLineChars="0"/>
        <w:rPr>
          <w:rFonts w:hint="default" w:ascii="Times New Roman" w:hAnsi="Times New Roman" w:eastAsia="仿宋_GB2312" w:cs="Times New Roman"/>
          <w:color w:val="000000" w:themeColor="text1"/>
          <w:sz w:val="36"/>
          <w:szCs w:val="36"/>
          <w:highlight w:val="none"/>
          <w:u w:val="single"/>
          <w:lang w:val="en-US" w:eastAsia="zh-CN"/>
          <w14:textFill>
            <w14:solidFill>
              <w14:schemeClr w14:val="tx1"/>
            </w14:solidFill>
          </w14:textFill>
        </w:rPr>
      </w:pPr>
      <w:r>
        <w:rPr>
          <w:rFonts w:hint="default" w:ascii="Times New Roman" w:hAnsi="Times New Roman" w:eastAsia="仿宋_GB2312" w:cs="Times New Roman"/>
          <w:color w:val="000000" w:themeColor="text1"/>
          <w:sz w:val="36"/>
          <w:szCs w:val="36"/>
          <w:highlight w:val="none"/>
          <w14:textFill>
            <w14:solidFill>
              <w14:schemeClr w14:val="tx1"/>
            </w14:solidFill>
          </w14:textFill>
        </w:rPr>
        <w:t>项目名称：</w:t>
      </w:r>
      <w:r>
        <w:rPr>
          <w:rFonts w:hint="default" w:ascii="Times New Roman" w:hAnsi="Times New Roman" w:eastAsia="仿宋_GB2312" w:cs="Times New Roman"/>
          <w:color w:val="000000" w:themeColor="text1"/>
          <w:sz w:val="36"/>
          <w:szCs w:val="36"/>
          <w:highlight w:val="none"/>
          <w:u w:val="single"/>
          <w:lang w:val="en-US" w:eastAsia="zh-CN"/>
          <w14:textFill>
            <w14:solidFill>
              <w14:schemeClr w14:val="tx1"/>
            </w14:solidFill>
          </w14:textFill>
        </w:rPr>
        <w:t xml:space="preserve">    </w:t>
      </w:r>
      <w:r>
        <w:rPr>
          <w:rFonts w:hint="eastAsia" w:eastAsia="仿宋_GB2312" w:cs="Times New Roman"/>
          <w:color w:val="000000" w:themeColor="text1"/>
          <w:sz w:val="36"/>
          <w:szCs w:val="36"/>
          <w:highlight w:val="none"/>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highlight w:val="none"/>
          <w:u w:val="single"/>
          <w:lang w:val="en-US" w:eastAsia="zh-CN"/>
          <w14:textFill>
            <w14:solidFill>
              <w14:schemeClr w14:val="tx1"/>
            </w14:solidFill>
          </w14:textFill>
        </w:rPr>
        <w:t xml:space="preserve">一般固体废物资源化利用项目 </w:t>
      </w:r>
      <w:r>
        <w:rPr>
          <w:rFonts w:hint="eastAsia" w:eastAsia="仿宋_GB2312" w:cs="Times New Roman"/>
          <w:color w:val="000000" w:themeColor="text1"/>
          <w:sz w:val="36"/>
          <w:szCs w:val="36"/>
          <w:highlight w:val="none"/>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highlight w:val="none"/>
          <w:u w:val="single"/>
          <w:lang w:val="en-US" w:eastAsia="zh-CN"/>
          <w14:textFill>
            <w14:solidFill>
              <w14:schemeClr w14:val="tx1"/>
            </w14:solidFill>
          </w14:textFill>
        </w:rPr>
        <w:t xml:space="preserve">  </w:t>
      </w:r>
    </w:p>
    <w:p w14:paraId="672BBE20">
      <w:pPr>
        <w:adjustRightInd w:val="0"/>
        <w:snapToGrid w:val="0"/>
        <w:spacing w:line="288" w:lineRule="auto"/>
        <w:ind w:left="0" w:leftChars="0" w:firstLine="0" w:firstLineChars="0"/>
        <w:rPr>
          <w:rFonts w:hint="default" w:ascii="Times New Roman" w:hAnsi="Times New Roman" w:eastAsia="仿宋_GB2312" w:cs="Times New Roman"/>
          <w:color w:val="000000" w:themeColor="text1"/>
          <w:sz w:val="36"/>
          <w:szCs w:val="36"/>
          <w:highlight w:val="none"/>
          <w:u w:val="single"/>
          <w:lang w:val="en-US"/>
          <w14:textFill>
            <w14:solidFill>
              <w14:schemeClr w14:val="tx1"/>
            </w14:solidFill>
          </w14:textFill>
        </w:rPr>
      </w:pPr>
      <w:r>
        <w:rPr>
          <w:rFonts w:hint="default" w:ascii="Times New Roman" w:hAnsi="Times New Roman" w:eastAsia="仿宋_GB2312" w:cs="Times New Roman"/>
          <w:color w:val="000000" w:themeColor="text1"/>
          <w:sz w:val="36"/>
          <w:szCs w:val="36"/>
          <w:highlight w:val="none"/>
          <w14:textFill>
            <w14:solidFill>
              <w14:schemeClr w14:val="tx1"/>
            </w14:solidFill>
          </w14:textFill>
        </w:rPr>
        <w:t>建设单位（盖章）：</w:t>
      </w:r>
      <w:r>
        <w:rPr>
          <w:rFonts w:hint="default" w:ascii="Times New Roman" w:hAnsi="Times New Roman" w:eastAsia="仿宋_GB2312" w:cs="Times New Roman"/>
          <w:color w:val="000000" w:themeColor="text1"/>
          <w:sz w:val="36"/>
          <w:szCs w:val="36"/>
          <w:highlight w:val="none"/>
          <w:u w:val="single"/>
          <w:lang w:val="en-US" w:eastAsia="zh-CN"/>
          <w14:textFill>
            <w14:solidFill>
              <w14:schemeClr w14:val="tx1"/>
            </w14:solidFill>
          </w14:textFill>
        </w:rPr>
        <w:t xml:space="preserve"> 陕西无废大秦环保科技有限公司</w:t>
      </w:r>
    </w:p>
    <w:p w14:paraId="3EE309F6">
      <w:pPr>
        <w:adjustRightInd w:val="0"/>
        <w:snapToGrid w:val="0"/>
        <w:spacing w:line="288" w:lineRule="auto"/>
        <w:ind w:left="0" w:leftChars="0" w:firstLine="0" w:firstLineChars="0"/>
        <w:rPr>
          <w:rFonts w:hint="default" w:ascii="Times New Roman" w:hAnsi="Times New Roman" w:eastAsia="仿宋_GB2312" w:cs="Times New Roman"/>
          <w:color w:val="000000" w:themeColor="text1"/>
          <w:sz w:val="36"/>
          <w:szCs w:val="36"/>
          <w:highlight w:val="none"/>
          <w14:textFill>
            <w14:solidFill>
              <w14:schemeClr w14:val="tx1"/>
            </w14:solidFill>
          </w14:textFill>
        </w:rPr>
      </w:pPr>
      <w:r>
        <w:rPr>
          <w:rFonts w:hint="default" w:ascii="Times New Roman" w:hAnsi="Times New Roman" w:eastAsia="仿宋_GB2312" w:cs="Times New Roman"/>
          <w:color w:val="000000" w:themeColor="text1"/>
          <w:sz w:val="36"/>
          <w:szCs w:val="36"/>
          <w:highlight w:val="none"/>
          <w14:textFill>
            <w14:solidFill>
              <w14:schemeClr w14:val="tx1"/>
            </w14:solidFill>
          </w14:textFill>
        </w:rPr>
        <w:t>编制日期：</w:t>
      </w:r>
      <w:r>
        <w:rPr>
          <w:rFonts w:hint="default" w:ascii="Times New Roman" w:hAnsi="Times New Roman" w:eastAsia="仿宋_GB2312" w:cs="Times New Roman"/>
          <w:color w:val="000000" w:themeColor="text1"/>
          <w:sz w:val="36"/>
          <w:szCs w:val="36"/>
          <w:highlight w:val="none"/>
          <w:u w:val="single"/>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highlight w:val="none"/>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highlight w:val="none"/>
          <w:u w:val="single"/>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highlight w:val="none"/>
          <w:u w:val="single"/>
          <w:lang w:val="en-US" w:eastAsia="zh-CN"/>
          <w14:textFill>
            <w14:solidFill>
              <w14:schemeClr w14:val="tx1"/>
            </w14:solidFill>
          </w14:textFill>
        </w:rPr>
        <w:t>二〇二五年</w:t>
      </w:r>
      <w:r>
        <w:rPr>
          <w:rFonts w:hint="eastAsia" w:eastAsia="仿宋_GB2312" w:cs="Times New Roman"/>
          <w:color w:val="000000" w:themeColor="text1"/>
          <w:sz w:val="36"/>
          <w:szCs w:val="36"/>
          <w:highlight w:val="none"/>
          <w:u w:val="single"/>
          <w:lang w:val="en-US" w:eastAsia="zh-CN"/>
          <w14:textFill>
            <w14:solidFill>
              <w14:schemeClr w14:val="tx1"/>
            </w14:solidFill>
          </w14:textFill>
        </w:rPr>
        <w:t>九</w:t>
      </w:r>
      <w:r>
        <w:rPr>
          <w:rFonts w:hint="default" w:ascii="Times New Roman" w:hAnsi="Times New Roman" w:eastAsia="仿宋_GB2312" w:cs="Times New Roman"/>
          <w:color w:val="000000" w:themeColor="text1"/>
          <w:sz w:val="36"/>
          <w:szCs w:val="36"/>
          <w:highlight w:val="none"/>
          <w:u w:val="single"/>
          <w:lang w:val="en-US" w:eastAsia="zh-CN"/>
          <w14:textFill>
            <w14:solidFill>
              <w14:schemeClr w14:val="tx1"/>
            </w14:solidFill>
          </w14:textFill>
        </w:rPr>
        <w:t>月</w:t>
      </w:r>
      <w:r>
        <w:rPr>
          <w:rFonts w:hint="default" w:ascii="Times New Roman" w:hAnsi="Times New Roman" w:eastAsia="仿宋_GB2312" w:cs="Times New Roman"/>
          <w:color w:val="000000" w:themeColor="text1"/>
          <w:sz w:val="36"/>
          <w:szCs w:val="36"/>
          <w:highlight w:val="none"/>
          <w:u w:val="single"/>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highlight w:val="none"/>
          <w:u w:val="single"/>
          <w:lang w:val="en-US" w:eastAsia="zh-CN"/>
          <w14:textFill>
            <w14:solidFill>
              <w14:schemeClr w14:val="tx1"/>
            </w14:solidFill>
          </w14:textFill>
        </w:rPr>
        <w:t xml:space="preserve">       </w:t>
      </w:r>
      <w:bookmarkStart w:id="1" w:name="_Hlk57884087"/>
    </w:p>
    <w:bookmarkEnd w:id="1"/>
    <w:p w14:paraId="74F46C05">
      <w:pPr>
        <w:adjustRightInd w:val="0"/>
        <w:snapToGrid w:val="0"/>
        <w:spacing w:line="288" w:lineRule="auto"/>
        <w:jc w:val="center"/>
        <w:rPr>
          <w:rFonts w:hint="default" w:ascii="Times New Roman" w:hAnsi="Times New Roman" w:eastAsia="楷体_GB2312" w:cs="Times New Roman"/>
          <w:color w:val="000000" w:themeColor="text1"/>
          <w:sz w:val="36"/>
          <w:szCs w:val="36"/>
          <w:highlight w:val="none"/>
          <w14:textFill>
            <w14:solidFill>
              <w14:schemeClr w14:val="tx1"/>
            </w14:solidFill>
          </w14:textFill>
        </w:rPr>
      </w:pPr>
    </w:p>
    <w:p w14:paraId="1B5D6277">
      <w:pPr>
        <w:adjustRightInd w:val="0"/>
        <w:snapToGrid w:val="0"/>
        <w:spacing w:line="288" w:lineRule="auto"/>
        <w:jc w:val="center"/>
        <w:rPr>
          <w:rFonts w:hint="default" w:ascii="Times New Roman" w:hAnsi="Times New Roman" w:eastAsia="楷体_GB2312" w:cs="Times New Roman"/>
          <w:color w:val="000000" w:themeColor="text1"/>
          <w:sz w:val="36"/>
          <w:szCs w:val="36"/>
          <w:highlight w:val="none"/>
          <w14:textFill>
            <w14:solidFill>
              <w14:schemeClr w14:val="tx1"/>
            </w14:solidFill>
          </w14:textFill>
        </w:rPr>
      </w:pPr>
    </w:p>
    <w:p w14:paraId="0A6CE430">
      <w:pPr>
        <w:adjustRightInd w:val="0"/>
        <w:snapToGrid w:val="0"/>
        <w:spacing w:line="288" w:lineRule="auto"/>
        <w:jc w:val="center"/>
        <w:rPr>
          <w:rFonts w:hint="default" w:ascii="Times New Roman" w:hAnsi="Times New Roman" w:eastAsia="楷体_GB2312" w:cs="Times New Roman"/>
          <w:color w:val="000000" w:themeColor="text1"/>
          <w:sz w:val="36"/>
          <w:szCs w:val="36"/>
          <w:highlight w:val="none"/>
          <w14:textFill>
            <w14:solidFill>
              <w14:schemeClr w14:val="tx1"/>
            </w14:solidFill>
          </w14:textFill>
        </w:rPr>
        <w:sectPr>
          <w:headerReference r:id="rId3" w:type="default"/>
          <w:footerReference r:id="rId4" w:type="default"/>
          <w:footerReference r:id="rId5" w:type="even"/>
          <w:pgSz w:w="11906" w:h="16838"/>
          <w:pgMar w:top="1701" w:right="1531" w:bottom="1701" w:left="1531" w:header="851" w:footer="1077" w:gutter="0"/>
          <w:pgNumType w:fmt="decimal" w:start="3"/>
          <w:cols w:space="720" w:num="1"/>
          <w:docGrid w:linePitch="312" w:charSpace="0"/>
        </w:sectPr>
      </w:pPr>
      <w:r>
        <w:rPr>
          <w:rFonts w:hint="default" w:ascii="Times New Roman" w:hAnsi="Times New Roman" w:eastAsia="楷体_GB2312" w:cs="Times New Roman"/>
          <w:color w:val="000000" w:themeColor="text1"/>
          <w:sz w:val="36"/>
          <w:szCs w:val="36"/>
          <w:highlight w:val="none"/>
          <w14:textFill>
            <w14:solidFill>
              <w14:schemeClr w14:val="tx1"/>
            </w14:solidFill>
          </w14:textFill>
        </w:rPr>
        <w:t>中华人民共和国生态环境部制</w:t>
      </w:r>
    </w:p>
    <w:p w14:paraId="65860FB1">
      <w:pPr>
        <w:adjustRightInd w:val="0"/>
        <w:snapToGrid w:val="0"/>
        <w:spacing w:line="288" w:lineRule="auto"/>
        <w:jc w:val="center"/>
        <w:rPr>
          <w:rFonts w:hint="default" w:ascii="Times New Roman" w:hAnsi="Times New Roman" w:eastAsia="楷体_GB2312" w:cs="Times New Roman"/>
          <w:color w:val="000000" w:themeColor="text1"/>
          <w:sz w:val="36"/>
          <w:szCs w:val="36"/>
          <w:highlight w:val="none"/>
          <w14:textFill>
            <w14:solidFill>
              <w14:schemeClr w14:val="tx1"/>
            </w14:solidFill>
          </w14:textFill>
        </w:rPr>
        <w:sectPr>
          <w:pgSz w:w="11906" w:h="16838"/>
          <w:pgMar w:top="1701" w:right="1531" w:bottom="1701" w:left="1531" w:header="851" w:footer="1077" w:gutter="0"/>
          <w:pgNumType w:fmt="decimal" w:start="3"/>
          <w:cols w:space="720" w:num="1"/>
          <w:docGrid w:linePitch="312" w:charSpace="0"/>
        </w:sectPr>
      </w:pPr>
    </w:p>
    <w:p w14:paraId="4EE3EA5E">
      <w:pPr>
        <w:adjustRightInd w:val="0"/>
        <w:snapToGrid w:val="0"/>
        <w:spacing w:line="288" w:lineRule="auto"/>
        <w:ind w:firstLine="1040"/>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1777ED17">
      <w:pPr>
        <w:adjustRightInd w:val="0"/>
        <w:snapToGrid w:val="0"/>
        <w:spacing w:line="360" w:lineRule="auto"/>
        <w:ind w:left="0" w:leftChars="0" w:firstLine="0" w:firstLineChars="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sz w:val="36"/>
          <w:szCs w:val="36"/>
          <w:highlight w:val="none"/>
          <w:lang w:val="en-US" w:eastAsia="zh-CN"/>
          <w14:textFill>
            <w14:solidFill>
              <w14:schemeClr w14:val="tx1"/>
            </w14:solidFill>
          </w14:textFill>
        </w:rPr>
        <w:t xml:space="preserve">目 </w:t>
      </w:r>
      <w:r>
        <w:rPr>
          <w:rFonts w:hint="eastAsia" w:ascii="Times New Roman" w:hAnsi="Times New Roman" w:eastAsia="仿宋_GB2312" w:cs="Times New Roman"/>
          <w:b/>
          <w:bCs/>
          <w:color w:val="000000" w:themeColor="text1"/>
          <w:sz w:val="36"/>
          <w:szCs w:val="36"/>
          <w:highlight w:val="none"/>
          <w:lang w:val="en-US" w:eastAsia="zh-CN"/>
          <w14:textFill>
            <w14:solidFill>
              <w14:schemeClr w14:val="tx1"/>
            </w14:solidFill>
          </w14:textFill>
        </w:rPr>
        <w:t xml:space="preserve"> </w:t>
      </w:r>
      <w:r>
        <w:rPr>
          <w:rFonts w:hint="default" w:ascii="Times New Roman" w:hAnsi="Times New Roman" w:eastAsia="仿宋_GB2312" w:cs="Times New Roman"/>
          <w:b/>
          <w:bCs/>
          <w:color w:val="000000" w:themeColor="text1"/>
          <w:sz w:val="36"/>
          <w:szCs w:val="36"/>
          <w:highlight w:val="none"/>
          <w:lang w:val="en-US" w:eastAsia="zh-CN"/>
          <w14:textFill>
            <w14:solidFill>
              <w14:schemeClr w14:val="tx1"/>
            </w14:solidFill>
          </w14:textFill>
        </w:rPr>
        <w:t>录</w:t>
      </w:r>
    </w:p>
    <w:p w14:paraId="6950AA14">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instrText xml:space="preserve">TOC \o "1-3" \h \u </w:instrTex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separate"/>
      </w:r>
    </w:p>
    <w:p w14:paraId="22591F21">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begin"/>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instrText xml:space="preserve"> HYPERLINK \l _Toc22238 </w:instrTex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separate"/>
      </w:r>
      <w:r>
        <w:rPr>
          <w:rFonts w:hint="default" w:ascii="Times New Roman" w:hAnsi="Times New Roman" w:eastAsia="黑体" w:cs="Times New Roman"/>
          <w:snapToGrid w:val="0"/>
          <w:color w:val="000000" w:themeColor="text1"/>
          <w:szCs w:val="30"/>
          <w:highlight w:val="none"/>
          <w14:textFill>
            <w14:solidFill>
              <w14:schemeClr w14:val="tx1"/>
            </w14:solidFill>
          </w14:textFill>
        </w:rPr>
        <w:t>一、建设项目基本情况</w:t>
      </w:r>
      <w:r>
        <w:rPr>
          <w:rFonts w:hint="default" w:ascii="Times New Roman" w:hAnsi="Times New Roman" w:cs="Times New Roman"/>
          <w:color w:val="000000" w:themeColor="text1"/>
          <w:highlight w:val="none"/>
          <w14:textFill>
            <w14:solidFill>
              <w14:schemeClr w14:val="tx1"/>
            </w14:solidFill>
          </w14:textFill>
        </w:rPr>
        <w:tab/>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PAGEREF _Toc22238 \h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highlight w:val="none"/>
          <w14:textFill>
            <w14:solidFill>
              <w14:schemeClr w14:val="tx1"/>
            </w14:solidFill>
          </w14:textFill>
        </w:rPr>
        <w:t>1</w:t>
      </w:r>
      <w:r>
        <w:rPr>
          <w:rFonts w:hint="default" w:ascii="Times New Roman" w:hAnsi="Times New Roman"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end"/>
      </w:r>
    </w:p>
    <w:p w14:paraId="44ECA748">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begin"/>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instrText xml:space="preserve"> HYPERLINK \l _Toc9183 </w:instrTex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separate"/>
      </w:r>
      <w:r>
        <w:rPr>
          <w:rFonts w:hint="default" w:ascii="Times New Roman" w:hAnsi="Times New Roman" w:eastAsia="黑体" w:cs="Times New Roman"/>
          <w:snapToGrid w:val="0"/>
          <w:color w:val="000000" w:themeColor="text1"/>
          <w:szCs w:val="30"/>
          <w:highlight w:val="none"/>
          <w14:textFill>
            <w14:solidFill>
              <w14:schemeClr w14:val="tx1"/>
            </w14:solidFill>
          </w14:textFill>
        </w:rPr>
        <w:t>二、建设项目工程分析</w:t>
      </w:r>
      <w:r>
        <w:rPr>
          <w:rFonts w:hint="default" w:ascii="Times New Roman" w:hAnsi="Times New Roman" w:cs="Times New Roman"/>
          <w:color w:val="000000" w:themeColor="text1"/>
          <w:highlight w:val="none"/>
          <w14:textFill>
            <w14:solidFill>
              <w14:schemeClr w14:val="tx1"/>
            </w14:solidFill>
          </w14:textFill>
        </w:rPr>
        <w:tab/>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PAGEREF _Toc9183 \h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highlight w:val="none"/>
          <w14:textFill>
            <w14:solidFill>
              <w14:schemeClr w14:val="tx1"/>
            </w14:solidFill>
          </w14:textFill>
        </w:rPr>
        <w:t>16</w:t>
      </w:r>
      <w:r>
        <w:rPr>
          <w:rFonts w:hint="default" w:ascii="Times New Roman" w:hAnsi="Times New Roman"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end"/>
      </w:r>
    </w:p>
    <w:p w14:paraId="7C5F48E8">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begin"/>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instrText xml:space="preserve"> HYPERLINK \l _Toc31726 </w:instrTex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separate"/>
      </w:r>
      <w:r>
        <w:rPr>
          <w:rFonts w:hint="default" w:ascii="Times New Roman" w:hAnsi="Times New Roman" w:eastAsia="黑体" w:cs="Times New Roman"/>
          <w:snapToGrid w:val="0"/>
          <w:color w:val="000000" w:themeColor="text1"/>
          <w:szCs w:val="30"/>
          <w:highlight w:val="none"/>
          <w14:textFill>
            <w14:solidFill>
              <w14:schemeClr w14:val="tx1"/>
            </w14:solidFill>
          </w14:textFill>
        </w:rPr>
        <w:t>三、区域环境质量现状、环境保护目标及评价标准</w:t>
      </w:r>
      <w:r>
        <w:rPr>
          <w:rFonts w:hint="default" w:ascii="Times New Roman" w:hAnsi="Times New Roman" w:cs="Times New Roman"/>
          <w:color w:val="000000" w:themeColor="text1"/>
          <w:highlight w:val="none"/>
          <w14:textFill>
            <w14:solidFill>
              <w14:schemeClr w14:val="tx1"/>
            </w14:solidFill>
          </w14:textFill>
        </w:rPr>
        <w:tab/>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PAGEREF _Toc31726 \h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highlight w:val="none"/>
          <w14:textFill>
            <w14:solidFill>
              <w14:schemeClr w14:val="tx1"/>
            </w14:solidFill>
          </w14:textFill>
        </w:rPr>
        <w:t>30</w:t>
      </w:r>
      <w:r>
        <w:rPr>
          <w:rFonts w:hint="default" w:ascii="Times New Roman" w:hAnsi="Times New Roman"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end"/>
      </w:r>
    </w:p>
    <w:p w14:paraId="5AC99556">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begin"/>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instrText xml:space="preserve"> HYPERLINK \l _Toc6502 </w:instrTex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separate"/>
      </w:r>
      <w:r>
        <w:rPr>
          <w:rFonts w:hint="default" w:ascii="Times New Roman" w:hAnsi="Times New Roman" w:eastAsia="黑体" w:cs="Times New Roman"/>
          <w:snapToGrid w:val="0"/>
          <w:color w:val="000000" w:themeColor="text1"/>
          <w:szCs w:val="30"/>
          <w:highlight w:val="none"/>
          <w14:textFill>
            <w14:solidFill>
              <w14:schemeClr w14:val="tx1"/>
            </w14:solidFill>
          </w14:textFill>
        </w:rPr>
        <w:t>四、主要环境影响和保护措施</w:t>
      </w:r>
      <w:r>
        <w:rPr>
          <w:rFonts w:hint="default" w:ascii="Times New Roman" w:hAnsi="Times New Roman" w:cs="Times New Roman"/>
          <w:color w:val="000000" w:themeColor="text1"/>
          <w:highlight w:val="none"/>
          <w14:textFill>
            <w14:solidFill>
              <w14:schemeClr w14:val="tx1"/>
            </w14:solidFill>
          </w14:textFill>
        </w:rPr>
        <w:tab/>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PAGEREF _Toc6502 \h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highlight w:val="none"/>
          <w14:textFill>
            <w14:solidFill>
              <w14:schemeClr w14:val="tx1"/>
            </w14:solidFill>
          </w14:textFill>
        </w:rPr>
        <w:t>35</w:t>
      </w:r>
      <w:r>
        <w:rPr>
          <w:rFonts w:hint="default" w:ascii="Times New Roman" w:hAnsi="Times New Roman"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end"/>
      </w:r>
    </w:p>
    <w:p w14:paraId="231410FE">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begin"/>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instrText xml:space="preserve"> HYPERLINK \l _Toc2420 </w:instrTex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separate"/>
      </w:r>
      <w:r>
        <w:rPr>
          <w:rFonts w:hint="default" w:ascii="Times New Roman" w:hAnsi="Times New Roman" w:eastAsia="黑体" w:cs="Times New Roman"/>
          <w:snapToGrid w:val="0"/>
          <w:color w:val="000000" w:themeColor="text1"/>
          <w:szCs w:val="30"/>
          <w:highlight w:val="none"/>
          <w14:textFill>
            <w14:solidFill>
              <w14:schemeClr w14:val="tx1"/>
            </w14:solidFill>
          </w14:textFill>
        </w:rPr>
        <w:t>五、环境保护措施监督检查清单</w:t>
      </w:r>
      <w:r>
        <w:rPr>
          <w:rFonts w:hint="default" w:ascii="Times New Roman" w:hAnsi="Times New Roman" w:cs="Times New Roman"/>
          <w:color w:val="000000" w:themeColor="text1"/>
          <w:highlight w:val="none"/>
          <w14:textFill>
            <w14:solidFill>
              <w14:schemeClr w14:val="tx1"/>
            </w14:solidFill>
          </w14:textFill>
        </w:rPr>
        <w:tab/>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PAGEREF _Toc2420 \h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highlight w:val="none"/>
          <w14:textFill>
            <w14:solidFill>
              <w14:schemeClr w14:val="tx1"/>
            </w14:solidFill>
          </w14:textFill>
        </w:rPr>
        <w:t>57</w:t>
      </w:r>
      <w:r>
        <w:rPr>
          <w:rFonts w:hint="default" w:ascii="Times New Roman" w:hAnsi="Times New Roman"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end"/>
      </w:r>
    </w:p>
    <w:p w14:paraId="339C0BAC">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begin"/>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instrText xml:space="preserve"> HYPERLINK \l _Toc10658 </w:instrText>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separate"/>
      </w:r>
      <w:r>
        <w:rPr>
          <w:rFonts w:hint="default" w:ascii="Times New Roman" w:hAnsi="Times New Roman" w:eastAsia="黑体" w:cs="Times New Roman"/>
          <w:snapToGrid w:val="0"/>
          <w:color w:val="000000" w:themeColor="text1"/>
          <w:szCs w:val="30"/>
          <w:highlight w:val="none"/>
          <w14:textFill>
            <w14:solidFill>
              <w14:schemeClr w14:val="tx1"/>
            </w14:solidFill>
          </w14:textFill>
        </w:rPr>
        <w:t>六、结论</w:t>
      </w:r>
      <w:r>
        <w:rPr>
          <w:rFonts w:hint="default" w:ascii="Times New Roman" w:hAnsi="Times New Roman" w:cs="Times New Roman"/>
          <w:color w:val="000000" w:themeColor="text1"/>
          <w:highlight w:val="none"/>
          <w14:textFill>
            <w14:solidFill>
              <w14:schemeClr w14:val="tx1"/>
            </w14:solidFill>
          </w14:textFill>
        </w:rPr>
        <w:tab/>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PAGEREF _Toc10658 \h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highlight w:val="none"/>
          <w14:textFill>
            <w14:solidFill>
              <w14:schemeClr w14:val="tx1"/>
            </w14:solidFill>
          </w14:textFill>
        </w:rPr>
        <w:t>61</w:t>
      </w:r>
      <w:r>
        <w:rPr>
          <w:rFonts w:hint="default" w:ascii="Times New Roman" w:hAnsi="Times New Roman" w:cs="Times New Roman"/>
          <w:color w:val="000000" w:themeColor="text1"/>
          <w:highlight w:val="none"/>
          <w14:textFill>
            <w14:solidFill>
              <w14:schemeClr w14:val="tx1"/>
            </w14:solidFill>
          </w14:textFill>
        </w:rPr>
        <w:fldChar w:fldCharType="end"/>
      </w: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end"/>
      </w:r>
    </w:p>
    <w:p w14:paraId="4158B3FF">
      <w:pPr>
        <w:pStyle w:val="17"/>
        <w:keepNext w:val="0"/>
        <w:keepLines w:val="0"/>
        <w:pageBreakBefore w:val="0"/>
        <w:widowControl w:val="0"/>
        <w:tabs>
          <w:tab w:val="right" w:leader="dot" w:pos="8844"/>
        </w:tabs>
        <w:kinsoku/>
        <w:wordWrap/>
        <w:overflowPunct/>
        <w:topLinePunct w:val="0"/>
        <w:autoSpaceDE/>
        <w:autoSpaceDN/>
        <w:bidi w:val="0"/>
        <w:spacing w:line="400" w:lineRule="exact"/>
        <w:textAlignment w:val="auto"/>
        <w:rPr>
          <w:rFonts w:hint="default" w:ascii="Times New Roman" w:hAnsi="Times New Roman" w:eastAsia="黑体" w:cs="Times New Roman"/>
          <w:snapToGrid w:val="0"/>
          <w:color w:val="000000" w:themeColor="text1"/>
          <w:szCs w:val="30"/>
          <w:highlight w:val="none"/>
          <w14:textFill>
            <w14:solidFill>
              <w14:schemeClr w14:val="tx1"/>
            </w14:solidFill>
          </w14:textFill>
        </w:rPr>
      </w:pPr>
      <w:r>
        <w:rPr>
          <w:rFonts w:hint="default" w:ascii="Times New Roman" w:hAnsi="Times New Roman" w:eastAsia="黑体" w:cs="Times New Roman"/>
          <w:snapToGrid w:val="0"/>
          <w:color w:val="000000" w:themeColor="text1"/>
          <w:szCs w:val="30"/>
          <w:highlight w:val="none"/>
          <w:lang w:val="en-US" w:eastAsia="zh-CN"/>
          <w14:textFill>
            <w14:solidFill>
              <w14:schemeClr w14:val="tx1"/>
            </w14:solidFill>
          </w14:textFill>
        </w:rPr>
        <w:fldChar w:fldCharType="begin"/>
      </w:r>
      <w:r>
        <w:rPr>
          <w:rFonts w:hint="default" w:ascii="Times New Roman" w:hAnsi="Times New Roman" w:eastAsia="黑体" w:cs="Times New Roman"/>
          <w:snapToGrid w:val="0"/>
          <w:color w:val="000000" w:themeColor="text1"/>
          <w:szCs w:val="30"/>
          <w:highlight w:val="none"/>
          <w:lang w:val="en-US" w:eastAsia="zh-CN"/>
          <w14:textFill>
            <w14:solidFill>
              <w14:schemeClr w14:val="tx1"/>
            </w14:solidFill>
          </w14:textFill>
        </w:rPr>
        <w:instrText xml:space="preserve"> HYPERLINK \l _Toc26906 </w:instrText>
      </w:r>
      <w:r>
        <w:rPr>
          <w:rFonts w:hint="default" w:ascii="Times New Roman" w:hAnsi="Times New Roman" w:eastAsia="黑体" w:cs="Times New Roman"/>
          <w:snapToGrid w:val="0"/>
          <w:color w:val="000000" w:themeColor="text1"/>
          <w:szCs w:val="30"/>
          <w:highlight w:val="none"/>
          <w:lang w:val="en-US" w:eastAsia="zh-CN"/>
          <w14:textFill>
            <w14:solidFill>
              <w14:schemeClr w14:val="tx1"/>
            </w14:solidFill>
          </w14:textFill>
        </w:rPr>
        <w:fldChar w:fldCharType="separate"/>
      </w:r>
      <w:r>
        <w:rPr>
          <w:rFonts w:hint="default" w:ascii="Times New Roman" w:hAnsi="Times New Roman" w:eastAsia="黑体" w:cs="Times New Roman"/>
          <w:snapToGrid w:val="0"/>
          <w:color w:val="000000" w:themeColor="text1"/>
          <w:szCs w:val="30"/>
          <w:highlight w:val="none"/>
          <w14:textFill>
            <w14:solidFill>
              <w14:schemeClr w14:val="tx1"/>
            </w14:solidFill>
          </w14:textFill>
        </w:rPr>
        <w:t>建设项目污染物排放量汇总表</w:t>
      </w:r>
      <w:r>
        <w:rPr>
          <w:rFonts w:hint="default" w:ascii="Times New Roman" w:hAnsi="Times New Roman" w:eastAsia="黑体" w:cs="Times New Roman"/>
          <w:snapToGrid w:val="0"/>
          <w:color w:val="000000" w:themeColor="text1"/>
          <w:szCs w:val="30"/>
          <w:highlight w:val="none"/>
          <w14:textFill>
            <w14:solidFill>
              <w14:schemeClr w14:val="tx1"/>
            </w14:solidFill>
          </w14:textFill>
        </w:rPr>
        <w:tab/>
      </w:r>
      <w:r>
        <w:rPr>
          <w:rFonts w:hint="default" w:ascii="Times New Roman" w:hAnsi="Times New Roman" w:eastAsia="黑体" w:cs="Times New Roman"/>
          <w:snapToGrid w:val="0"/>
          <w:color w:val="000000" w:themeColor="text1"/>
          <w:szCs w:val="30"/>
          <w:highlight w:val="none"/>
          <w14:textFill>
            <w14:solidFill>
              <w14:schemeClr w14:val="tx1"/>
            </w14:solidFill>
          </w14:textFill>
        </w:rPr>
        <w:fldChar w:fldCharType="begin"/>
      </w:r>
      <w:r>
        <w:rPr>
          <w:rFonts w:hint="default" w:ascii="Times New Roman" w:hAnsi="Times New Roman" w:eastAsia="黑体" w:cs="Times New Roman"/>
          <w:snapToGrid w:val="0"/>
          <w:color w:val="000000" w:themeColor="text1"/>
          <w:szCs w:val="30"/>
          <w:highlight w:val="none"/>
          <w14:textFill>
            <w14:solidFill>
              <w14:schemeClr w14:val="tx1"/>
            </w14:solidFill>
          </w14:textFill>
        </w:rPr>
        <w:instrText xml:space="preserve"> PAGEREF _Toc26906 \h </w:instrText>
      </w:r>
      <w:r>
        <w:rPr>
          <w:rFonts w:hint="default" w:ascii="Times New Roman" w:hAnsi="Times New Roman" w:eastAsia="黑体" w:cs="Times New Roman"/>
          <w:snapToGrid w:val="0"/>
          <w:color w:val="000000" w:themeColor="text1"/>
          <w:szCs w:val="30"/>
          <w:highlight w:val="none"/>
          <w14:textFill>
            <w14:solidFill>
              <w14:schemeClr w14:val="tx1"/>
            </w14:solidFill>
          </w14:textFill>
        </w:rPr>
        <w:fldChar w:fldCharType="separate"/>
      </w:r>
      <w:r>
        <w:rPr>
          <w:rFonts w:hint="default" w:ascii="Times New Roman" w:hAnsi="Times New Roman" w:eastAsia="黑体" w:cs="Times New Roman"/>
          <w:snapToGrid w:val="0"/>
          <w:color w:val="000000" w:themeColor="text1"/>
          <w:szCs w:val="30"/>
          <w:highlight w:val="none"/>
          <w14:textFill>
            <w14:solidFill>
              <w14:schemeClr w14:val="tx1"/>
            </w14:solidFill>
          </w14:textFill>
        </w:rPr>
        <w:t>62</w:t>
      </w:r>
      <w:r>
        <w:rPr>
          <w:rFonts w:hint="default" w:ascii="Times New Roman" w:hAnsi="Times New Roman" w:eastAsia="黑体" w:cs="Times New Roman"/>
          <w:snapToGrid w:val="0"/>
          <w:color w:val="000000" w:themeColor="text1"/>
          <w:szCs w:val="30"/>
          <w:highlight w:val="none"/>
          <w14:textFill>
            <w14:solidFill>
              <w14:schemeClr w14:val="tx1"/>
            </w14:solidFill>
          </w14:textFill>
        </w:rPr>
        <w:fldChar w:fldCharType="end"/>
      </w:r>
      <w:r>
        <w:rPr>
          <w:rFonts w:hint="default" w:ascii="Times New Roman" w:hAnsi="Times New Roman" w:eastAsia="黑体" w:cs="Times New Roman"/>
          <w:snapToGrid w:val="0"/>
          <w:color w:val="000000" w:themeColor="text1"/>
          <w:szCs w:val="30"/>
          <w:highlight w:val="none"/>
          <w:lang w:val="en-US" w:eastAsia="zh-CN"/>
          <w14:textFill>
            <w14:solidFill>
              <w14:schemeClr w14:val="tx1"/>
            </w14:solidFill>
          </w14:textFill>
        </w:rPr>
        <w:fldChar w:fldCharType="end"/>
      </w:r>
    </w:p>
    <w:p w14:paraId="0064D321">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4"/>
          <w:highlight w:val="none"/>
          <w:lang w:val="en-US" w:eastAsia="zh-CN"/>
          <w14:textFill>
            <w14:solidFill>
              <w14:schemeClr w14:val="tx1"/>
            </w14:solidFill>
          </w14:textFill>
        </w:rPr>
        <w:fldChar w:fldCharType="end"/>
      </w:r>
    </w:p>
    <w:p w14:paraId="67465E45">
      <w:pPr>
        <w:widowControl w:val="0"/>
        <w:numPr>
          <w:ilvl w:val="0"/>
          <w:numId w:val="0"/>
        </w:numPr>
        <w:adjustRightInd w:val="0"/>
        <w:snapToGrid w:val="0"/>
        <w:spacing w:line="360" w:lineRule="auto"/>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p>
    <w:p w14:paraId="1022FD32">
      <w:pPr>
        <w:widowControl w:val="0"/>
        <w:numPr>
          <w:ilvl w:val="0"/>
          <w:numId w:val="0"/>
        </w:numPr>
        <w:adjustRightInd w:val="0"/>
        <w:snapToGrid w:val="0"/>
        <w:spacing w:line="360" w:lineRule="auto"/>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附图</w:t>
      </w:r>
    </w:p>
    <w:p w14:paraId="0198EB12">
      <w:pPr>
        <w:widowControl w:val="0"/>
        <w:numPr>
          <w:ilvl w:val="0"/>
          <w:numId w:val="0"/>
        </w:numPr>
        <w:adjustRightInd w:val="0"/>
        <w:snapToGrid w:val="0"/>
        <w:spacing w:line="360" w:lineRule="auto"/>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附图1：项目地理位置图</w:t>
      </w:r>
      <w:bookmarkStart w:id="38" w:name="_GoBack"/>
      <w:bookmarkEnd w:id="38"/>
    </w:p>
    <w:p w14:paraId="1F97C0E7">
      <w:pPr>
        <w:widowControl w:val="0"/>
        <w:numPr>
          <w:ilvl w:val="0"/>
          <w:numId w:val="0"/>
        </w:numPr>
        <w:adjustRightInd w:val="0"/>
        <w:snapToGrid w:val="0"/>
        <w:spacing w:line="360" w:lineRule="auto"/>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附图2：项目四邻关系图</w:t>
      </w:r>
    </w:p>
    <w:p w14:paraId="3972B108">
      <w:pPr>
        <w:widowControl w:val="0"/>
        <w:numPr>
          <w:ilvl w:val="0"/>
          <w:numId w:val="0"/>
        </w:numPr>
        <w:adjustRightInd w:val="0"/>
        <w:snapToGrid w:val="0"/>
        <w:spacing w:line="360" w:lineRule="auto"/>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附图3：项目大气环境保护范围图</w:t>
      </w:r>
    </w:p>
    <w:p w14:paraId="551693F1">
      <w:pPr>
        <w:widowControl w:val="0"/>
        <w:numPr>
          <w:ilvl w:val="0"/>
          <w:numId w:val="0"/>
        </w:numPr>
        <w:adjustRightInd w:val="0"/>
        <w:snapToGrid w:val="0"/>
        <w:spacing w:line="360" w:lineRule="auto"/>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附图4：引用环境空气监测点位图</w:t>
      </w:r>
    </w:p>
    <w:p w14:paraId="679E177E">
      <w:pPr>
        <w:widowControl w:val="0"/>
        <w:numPr>
          <w:ilvl w:val="0"/>
          <w:numId w:val="0"/>
        </w:numPr>
        <w:adjustRightInd w:val="0"/>
        <w:snapToGrid w:val="0"/>
        <w:spacing w:line="360" w:lineRule="auto"/>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附图5：项目平面布置图</w:t>
      </w:r>
    </w:p>
    <w:p w14:paraId="6288F534">
      <w:pPr>
        <w:widowControl w:val="0"/>
        <w:numPr>
          <w:ilvl w:val="0"/>
          <w:numId w:val="0"/>
        </w:numPr>
        <w:adjustRightInd w:val="0"/>
        <w:snapToGrid w:val="0"/>
        <w:spacing w:line="360" w:lineRule="auto"/>
        <w:jc w:val="both"/>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附图</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6：废气收集管线图</w:t>
      </w:r>
    </w:p>
    <w:p w14:paraId="5AEACF71">
      <w:pPr>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附件7：项目在土地利用规划图中位置</w:t>
      </w:r>
    </w:p>
    <w:p w14:paraId="6C3B39D8">
      <w:pPr>
        <w:pStyle w:val="41"/>
        <w:rPr>
          <w:rFonts w:hint="default"/>
          <w:color w:val="000000" w:themeColor="text1"/>
          <w:highlight w:val="none"/>
          <w:lang w:val="en-US" w:eastAsia="zh-CN"/>
          <w14:textFill>
            <w14:solidFill>
              <w14:schemeClr w14:val="tx1"/>
            </w14:solidFill>
          </w14:textFill>
        </w:rPr>
      </w:pPr>
    </w:p>
    <w:p w14:paraId="4109098B">
      <w:pPr>
        <w:widowControl w:val="0"/>
        <w:numPr>
          <w:ilvl w:val="0"/>
          <w:numId w:val="0"/>
        </w:numPr>
        <w:adjustRightInd w:val="0"/>
        <w:snapToGrid w:val="0"/>
        <w:spacing w:line="360" w:lineRule="auto"/>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附件</w:t>
      </w:r>
    </w:p>
    <w:p w14:paraId="55EFEAF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附件1：委托书</w:t>
      </w:r>
    </w:p>
    <w:p w14:paraId="24ED182E">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附件2：备案确认书</w:t>
      </w:r>
    </w:p>
    <w:p w14:paraId="240C61E8">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附件3：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营业执照</w:t>
      </w:r>
    </w:p>
    <w:p w14:paraId="59681133">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附件4：</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租赁合同</w:t>
      </w:r>
    </w:p>
    <w:p w14:paraId="566D7718">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附件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土地证</w:t>
      </w:r>
    </w:p>
    <w:p w14:paraId="20C4EEBB">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附件6：</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陕西省</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三线一单</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生态环境管控单元对照分析报告</w:t>
      </w:r>
    </w:p>
    <w:p w14:paraId="36FBEA02">
      <w:pPr>
        <w:keepNext w:val="0"/>
        <w:keepLines w:val="0"/>
        <w:pageBreakBefore w:val="0"/>
        <w:widowControl w:val="0"/>
        <w:kinsoku/>
        <w:wordWrap/>
        <w:overflowPunct/>
        <w:topLinePunct w:val="0"/>
        <w:autoSpaceDE/>
        <w:autoSpaceDN/>
        <w:bidi w:val="0"/>
        <w:snapToGrid/>
        <w:spacing w:line="360" w:lineRule="auto"/>
        <w:textAlignment w:val="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附件7：引用监测报告</w:t>
      </w:r>
    </w:p>
    <w:p w14:paraId="793F9C38">
      <w:pPr>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附件8：原料清单</w:t>
      </w:r>
    </w:p>
    <w:p w14:paraId="31E5EC34">
      <w:pPr>
        <w:keepNext w:val="0"/>
        <w:keepLines w:val="0"/>
        <w:pageBreakBefore w:val="0"/>
        <w:widowControl w:val="0"/>
        <w:kinsoku/>
        <w:wordWrap/>
        <w:overflowPunct/>
        <w:topLinePunct w:val="0"/>
        <w:autoSpaceDE/>
        <w:autoSpaceDN/>
        <w:bidi w:val="0"/>
        <w:snapToGrid/>
        <w:spacing w:line="360" w:lineRule="auto"/>
        <w:textAlignment w:val="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p>
    <w:p w14:paraId="71CBCB81">
      <w:pPr>
        <w:widowControl w:val="0"/>
        <w:numPr>
          <w:ilvl w:val="0"/>
          <w:numId w:val="0"/>
        </w:numPr>
        <w:adjustRightInd w:val="0"/>
        <w:snapToGrid w:val="0"/>
        <w:spacing w:line="360" w:lineRule="auto"/>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sectPr>
          <w:pgSz w:w="11906" w:h="16838"/>
          <w:pgMar w:top="1701" w:right="1531" w:bottom="1701" w:left="1531" w:header="851" w:footer="1077" w:gutter="0"/>
          <w:pgNumType w:fmt="decimal" w:start="3"/>
          <w:cols w:space="720" w:num="1"/>
          <w:docGrid w:linePitch="312" w:charSpace="0"/>
        </w:sectPr>
      </w:pPr>
    </w:p>
    <w:p w14:paraId="1E046E08">
      <w:pPr>
        <w:pStyle w:val="21"/>
        <w:jc w:val="center"/>
        <w:outlineLvl w:val="0"/>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pPr>
      <w:bookmarkStart w:id="2" w:name="_Toc22238"/>
      <w:r>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t>一、建设项目基本情况</w:t>
      </w:r>
      <w:bookmarkEnd w:id="2"/>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
        <w:gridCol w:w="706"/>
        <w:gridCol w:w="1018"/>
        <w:gridCol w:w="2186"/>
        <w:gridCol w:w="1785"/>
        <w:gridCol w:w="3172"/>
        <w:gridCol w:w="3"/>
      </w:tblGrid>
      <w:tr w14:paraId="123649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021392B9">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建设项目名称</w:t>
            </w:r>
          </w:p>
        </w:tc>
        <w:tc>
          <w:tcPr>
            <w:tcW w:w="7143" w:type="dxa"/>
            <w:gridSpan w:val="3"/>
            <w:noWrap w:val="0"/>
            <w:vAlign w:val="center"/>
          </w:tcPr>
          <w:p w14:paraId="0F0FE235">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一般固体废物资源化利用项目</w:t>
            </w:r>
          </w:p>
        </w:tc>
      </w:tr>
      <w:tr w14:paraId="018207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5C5040B8">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项目代码</w:t>
            </w:r>
          </w:p>
        </w:tc>
        <w:tc>
          <w:tcPr>
            <w:tcW w:w="7143" w:type="dxa"/>
            <w:gridSpan w:val="3"/>
            <w:noWrap w:val="0"/>
            <w:vAlign w:val="center"/>
          </w:tcPr>
          <w:p w14:paraId="4788E81D">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2507-611206-04-05-601479</w:t>
            </w:r>
          </w:p>
        </w:tc>
      </w:tr>
      <w:tr w14:paraId="5BE683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4BAC0086">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建设单位联系人</w:t>
            </w:r>
          </w:p>
        </w:tc>
        <w:tc>
          <w:tcPr>
            <w:tcW w:w="2186" w:type="dxa"/>
            <w:noWrap w:val="0"/>
            <w:vAlign w:val="center"/>
          </w:tcPr>
          <w:p w14:paraId="41E1C919">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孙亭亭</w:t>
            </w:r>
          </w:p>
        </w:tc>
        <w:tc>
          <w:tcPr>
            <w:tcW w:w="1785" w:type="dxa"/>
            <w:noWrap w:val="0"/>
            <w:vAlign w:val="center"/>
          </w:tcPr>
          <w:p w14:paraId="6CEF8021">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联系方式</w:t>
            </w:r>
          </w:p>
        </w:tc>
        <w:tc>
          <w:tcPr>
            <w:tcW w:w="3172" w:type="dxa"/>
            <w:noWrap w:val="0"/>
            <w:vAlign w:val="center"/>
          </w:tcPr>
          <w:p w14:paraId="1764087D">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15771880999</w:t>
            </w:r>
          </w:p>
        </w:tc>
      </w:tr>
      <w:tr w14:paraId="79BDD1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307F3F8F">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建设地点</w:t>
            </w:r>
          </w:p>
        </w:tc>
        <w:tc>
          <w:tcPr>
            <w:tcW w:w="7143" w:type="dxa"/>
            <w:gridSpan w:val="3"/>
            <w:noWrap w:val="0"/>
            <w:vAlign w:val="center"/>
          </w:tcPr>
          <w:p w14:paraId="49E4CA17">
            <w:pPr>
              <w:adjustRightInd w:val="0"/>
              <w:snapToGrid w:val="0"/>
              <w:jc w:val="cente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陕西省</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西咸新区泾河新城永乐工业园区南北大道</w:t>
            </w:r>
          </w:p>
          <w:p w14:paraId="6665F07E">
            <w:pPr>
              <w:adjustRightInd w:val="0"/>
              <w:snapToGrid w:val="0"/>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陕西国坤时代科技有限公司2号厂房</w:t>
            </w:r>
          </w:p>
        </w:tc>
      </w:tr>
      <w:tr w14:paraId="4FD3AA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7581281B">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地理坐标</w:t>
            </w:r>
          </w:p>
        </w:tc>
        <w:tc>
          <w:tcPr>
            <w:tcW w:w="7143" w:type="dxa"/>
            <w:gridSpan w:val="3"/>
            <w:noWrap w:val="0"/>
            <w:vAlign w:val="center"/>
          </w:tcPr>
          <w:p w14:paraId="4E7C2E2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000000" w:themeColor="text1"/>
                <w:sz w:val="24"/>
                <w:szCs w:val="24"/>
                <w:highlight w:val="none"/>
                <w:lang w:val="en-US"/>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东经：</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108</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度</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56</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分</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53.934</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秒，北纬：</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34</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度</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32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分</w:t>
            </w:r>
            <w:r>
              <w:rPr>
                <w:rFonts w:hint="default" w:ascii="Times New Roman" w:hAnsi="Times New Roman" w:eastAsia="宋体" w:cs="Times New Roman"/>
                <w:color w:val="000000" w:themeColor="text1"/>
                <w:sz w:val="24"/>
                <w:szCs w:val="24"/>
                <w:highlight w:val="none"/>
                <w:u w:val="single"/>
                <w:lang w:val="en-US" w:eastAsia="zh-CN"/>
                <w14:textFill>
                  <w14:solidFill>
                    <w14:schemeClr w14:val="tx1"/>
                  </w14:solidFill>
                </w14:textFill>
              </w:rPr>
              <w:t>24.424</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秒</w:t>
            </w:r>
          </w:p>
        </w:tc>
      </w:tr>
      <w:tr w14:paraId="3666E1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561" w:hRule="atLeast"/>
          <w:jc w:val="center"/>
        </w:trPr>
        <w:tc>
          <w:tcPr>
            <w:tcW w:w="1727" w:type="dxa"/>
            <w:gridSpan w:val="3"/>
            <w:noWrap w:val="0"/>
            <w:tcMar>
              <w:top w:w="16" w:type="dxa"/>
              <w:left w:w="16" w:type="dxa"/>
              <w:right w:w="16" w:type="dxa"/>
            </w:tcMar>
            <w:vAlign w:val="center"/>
          </w:tcPr>
          <w:p w14:paraId="4D96D47D">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国民经济</w:t>
            </w:r>
          </w:p>
          <w:p w14:paraId="22C86EF6">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行业类别</w:t>
            </w:r>
          </w:p>
        </w:tc>
        <w:tc>
          <w:tcPr>
            <w:tcW w:w="2186" w:type="dxa"/>
            <w:noWrap w:val="0"/>
            <w:vAlign w:val="center"/>
          </w:tcPr>
          <w:p w14:paraId="0F233D90">
            <w:pPr>
              <w:pStyle w:val="24"/>
              <w:ind w:left="0" w:leftChars="0" w:firstLine="0" w:firstLineChars="0"/>
              <w:rPr>
                <w:rFonts w:hint="default"/>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N7723固体废物治理</w:t>
            </w:r>
          </w:p>
        </w:tc>
        <w:tc>
          <w:tcPr>
            <w:tcW w:w="1785" w:type="dxa"/>
            <w:noWrap w:val="0"/>
            <w:vAlign w:val="center"/>
          </w:tcPr>
          <w:p w14:paraId="349BD78A">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bookmarkStart w:id="3" w:name="_Hlk49843745"/>
            <w:r>
              <w:rPr>
                <w:rFonts w:hint="default" w:ascii="Times New Roman" w:hAnsi="Times New Roman" w:cs="Times New Roman"/>
                <w:color w:val="000000" w:themeColor="text1"/>
                <w:sz w:val="24"/>
                <w:szCs w:val="24"/>
                <w:highlight w:val="none"/>
                <w14:textFill>
                  <w14:solidFill>
                    <w14:schemeClr w14:val="tx1"/>
                  </w14:solidFill>
                </w14:textFill>
              </w:rPr>
              <w:t>建设项目</w:t>
            </w:r>
          </w:p>
          <w:p w14:paraId="2327AF08">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行业类别</w:t>
            </w:r>
            <w:bookmarkEnd w:id="3"/>
          </w:p>
        </w:tc>
        <w:tc>
          <w:tcPr>
            <w:tcW w:w="3172" w:type="dxa"/>
            <w:noWrap w:val="0"/>
            <w:vAlign w:val="center"/>
          </w:tcPr>
          <w:p w14:paraId="3B71EFC4">
            <w:pPr>
              <w:adjustRightInd w:val="0"/>
              <w:snapToGrid w:val="0"/>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四十七、生态保护和环境治理业；103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一般工业固体废物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含污水处理污泥</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、建筑施工废弃物处置及综合利用</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；其他</w:t>
            </w:r>
          </w:p>
          <w:p w14:paraId="6D4EEC8A">
            <w:pPr>
              <w:adjustRightInd w:val="0"/>
              <w:snapToGrid w:val="0"/>
              <w:rPr>
                <w:rFonts w:hint="eastAsia"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四十八、公共设施管理业</w:t>
            </w:r>
            <w:r>
              <w:rPr>
                <w:rFonts w:hint="eastAsia" w:cs="Times New Roman"/>
                <w:color w:val="000000" w:themeColor="text1"/>
                <w:sz w:val="24"/>
                <w:szCs w:val="24"/>
                <w:highlight w:val="none"/>
                <w:lang w:val="en-US" w:eastAsia="zh-CN"/>
                <w14:textFill>
                  <w14:solidFill>
                    <w14:schemeClr w14:val="tx1"/>
                  </w14:solidFill>
                </w14:textFill>
              </w:rPr>
              <w:t>；106、生活垃圾（含餐厨废弃物）集中处置（生活垃圾发电除外）；其他处置方式日处置能力50吨以下10吨及以上的</w:t>
            </w:r>
          </w:p>
          <w:p w14:paraId="71D9A396">
            <w:pPr>
              <w:adjustRightInd w:val="0"/>
              <w:snapToGrid w:val="0"/>
              <w:rPr>
                <w:rFonts w:hint="default" w:cs="Times New Roman"/>
                <w:color w:val="000000" w:themeColor="text1"/>
                <w:sz w:val="24"/>
                <w:szCs w:val="24"/>
                <w:highlight w:val="none"/>
                <w:lang w:val="en-US" w:eastAsia="zh-CN"/>
                <w14:textFill>
                  <w14:solidFill>
                    <w14:schemeClr w14:val="tx1"/>
                  </w14:solidFill>
                </w14:textFill>
              </w:rPr>
            </w:pPr>
            <w:r>
              <w:rPr>
                <w:rFonts w:hint="default" w:cs="Times New Roman"/>
                <w:color w:val="000000" w:themeColor="text1"/>
                <w:sz w:val="24"/>
                <w:szCs w:val="24"/>
                <w:highlight w:val="none"/>
                <w:lang w:val="en-US" w:eastAsia="zh-CN"/>
                <w14:textFill>
                  <w14:solidFill>
                    <w14:schemeClr w14:val="tx1"/>
                  </w14:solidFill>
                </w14:textFill>
              </w:rPr>
              <w:t>二十二、石油、煤炭及其他燃料加工业</w:t>
            </w:r>
            <w:r>
              <w:rPr>
                <w:rFonts w:hint="eastAsia" w:cs="Times New Roman"/>
                <w:color w:val="000000" w:themeColor="text1"/>
                <w:sz w:val="24"/>
                <w:szCs w:val="24"/>
                <w:highlight w:val="none"/>
                <w:lang w:val="en-US" w:eastAsia="zh-CN"/>
                <w14:textFill>
                  <w14:solidFill>
                    <w14:schemeClr w14:val="tx1"/>
                  </w14:solidFill>
                </w14:textFill>
              </w:rPr>
              <w:t>；43、生物质燃料加工；生物质致密成型燃料加工</w:t>
            </w:r>
          </w:p>
        </w:tc>
      </w:tr>
      <w:tr w14:paraId="3DDA29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1219" w:hRule="atLeast"/>
          <w:jc w:val="center"/>
        </w:trPr>
        <w:tc>
          <w:tcPr>
            <w:tcW w:w="1727" w:type="dxa"/>
            <w:gridSpan w:val="3"/>
            <w:noWrap w:val="0"/>
            <w:tcMar>
              <w:top w:w="16" w:type="dxa"/>
              <w:left w:w="16" w:type="dxa"/>
              <w:right w:w="16" w:type="dxa"/>
            </w:tcMar>
            <w:vAlign w:val="center"/>
          </w:tcPr>
          <w:p w14:paraId="0A482E79">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建设性质</w:t>
            </w:r>
          </w:p>
        </w:tc>
        <w:tc>
          <w:tcPr>
            <w:tcW w:w="2186" w:type="dxa"/>
            <w:noWrap w:val="0"/>
            <w:vAlign w:val="center"/>
          </w:tcPr>
          <w:p w14:paraId="35685F40">
            <w:pPr>
              <w:jc w:val="left"/>
              <w:rPr>
                <w:rFonts w:hint="default"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新建（迁建）</w:t>
            </w:r>
          </w:p>
          <w:p w14:paraId="0F93F270">
            <w:pPr>
              <w:jc w:val="left"/>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改建</w:t>
            </w:r>
          </w:p>
          <w:p w14:paraId="0C69951A">
            <w:pPr>
              <w:jc w:val="left"/>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扩建</w:t>
            </w:r>
          </w:p>
          <w:p w14:paraId="4E04A1FC">
            <w:pPr>
              <w:jc w:val="left"/>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技术改造</w:t>
            </w:r>
          </w:p>
        </w:tc>
        <w:tc>
          <w:tcPr>
            <w:tcW w:w="1785" w:type="dxa"/>
            <w:noWrap w:val="0"/>
            <w:vAlign w:val="center"/>
          </w:tcPr>
          <w:p w14:paraId="4DA11B40">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建设项目</w:t>
            </w:r>
          </w:p>
          <w:p w14:paraId="177B1DB1">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申报情形</w:t>
            </w:r>
          </w:p>
        </w:tc>
        <w:tc>
          <w:tcPr>
            <w:tcW w:w="3172" w:type="dxa"/>
            <w:noWrap w:val="0"/>
            <w:vAlign w:val="center"/>
          </w:tcPr>
          <w:p w14:paraId="1671C31B">
            <w:pPr>
              <w:jc w:val="left"/>
              <w:rPr>
                <w:rFonts w:hint="default"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首次申报项目</w:t>
            </w:r>
          </w:p>
          <w:p w14:paraId="1BAFFB0B">
            <w:pPr>
              <w:jc w:val="left"/>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不予批准后再次申报项目</w:t>
            </w:r>
          </w:p>
          <w:p w14:paraId="449BDE56">
            <w:pPr>
              <w:jc w:val="left"/>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超五年重新审核项目</w:t>
            </w:r>
          </w:p>
          <w:p w14:paraId="0F83AE6F">
            <w:pPr>
              <w:jc w:val="left"/>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重大变动重新报批项目</w:t>
            </w:r>
          </w:p>
        </w:tc>
      </w:tr>
      <w:tr w14:paraId="1BF980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851" w:hRule="atLeast"/>
          <w:jc w:val="center"/>
        </w:trPr>
        <w:tc>
          <w:tcPr>
            <w:tcW w:w="1727" w:type="dxa"/>
            <w:gridSpan w:val="3"/>
            <w:noWrap w:val="0"/>
            <w:tcMar>
              <w:top w:w="16" w:type="dxa"/>
              <w:left w:w="16" w:type="dxa"/>
              <w:right w:w="16" w:type="dxa"/>
            </w:tcMar>
            <w:vAlign w:val="center"/>
          </w:tcPr>
          <w:p w14:paraId="21156C53">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项目审批（核准/</w:t>
            </w:r>
          </w:p>
          <w:p w14:paraId="45E3F277">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备案）部门</w:t>
            </w:r>
          </w:p>
        </w:tc>
        <w:tc>
          <w:tcPr>
            <w:tcW w:w="2186" w:type="dxa"/>
            <w:noWrap w:val="0"/>
            <w:vAlign w:val="center"/>
          </w:tcPr>
          <w:p w14:paraId="4EFC17FB">
            <w:pPr>
              <w:adjustRightInd w:val="0"/>
              <w:snapToGrid w:val="0"/>
              <w:jc w:val="center"/>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陕西省西咸新区</w:t>
            </w:r>
          </w:p>
          <w:p w14:paraId="69CD5BCB">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泾河新城管理委员会</w:t>
            </w:r>
          </w:p>
        </w:tc>
        <w:tc>
          <w:tcPr>
            <w:tcW w:w="1785" w:type="dxa"/>
            <w:noWrap w:val="0"/>
            <w:vAlign w:val="center"/>
          </w:tcPr>
          <w:p w14:paraId="0E8287F4">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项目审批（核准/备案）文号</w:t>
            </w:r>
          </w:p>
        </w:tc>
        <w:tc>
          <w:tcPr>
            <w:tcW w:w="3172" w:type="dxa"/>
            <w:noWrap w:val="0"/>
            <w:vAlign w:val="center"/>
          </w:tcPr>
          <w:p w14:paraId="47FFE426">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p>
        </w:tc>
      </w:tr>
      <w:tr w14:paraId="269DD2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0789E08B">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总投资（万元）</w:t>
            </w:r>
          </w:p>
        </w:tc>
        <w:tc>
          <w:tcPr>
            <w:tcW w:w="2186" w:type="dxa"/>
            <w:noWrap w:val="0"/>
            <w:vAlign w:val="center"/>
          </w:tcPr>
          <w:p w14:paraId="2653D633">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200</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0</w:t>
            </w:r>
          </w:p>
        </w:tc>
        <w:tc>
          <w:tcPr>
            <w:tcW w:w="1785" w:type="dxa"/>
            <w:noWrap w:val="0"/>
            <w:tcMar>
              <w:top w:w="16" w:type="dxa"/>
              <w:left w:w="16" w:type="dxa"/>
              <w:right w:w="16" w:type="dxa"/>
            </w:tcMar>
            <w:vAlign w:val="center"/>
          </w:tcPr>
          <w:p w14:paraId="57397939">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环保投资（万元）</w:t>
            </w:r>
          </w:p>
        </w:tc>
        <w:tc>
          <w:tcPr>
            <w:tcW w:w="3172" w:type="dxa"/>
            <w:noWrap w:val="0"/>
            <w:vAlign w:val="center"/>
          </w:tcPr>
          <w:p w14:paraId="2C67D126">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35</w:t>
            </w:r>
          </w:p>
        </w:tc>
      </w:tr>
      <w:tr w14:paraId="3300D5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90" w:hRule="atLeast"/>
          <w:jc w:val="center"/>
        </w:trPr>
        <w:tc>
          <w:tcPr>
            <w:tcW w:w="1727" w:type="dxa"/>
            <w:gridSpan w:val="3"/>
            <w:noWrap w:val="0"/>
            <w:tcMar>
              <w:top w:w="16" w:type="dxa"/>
              <w:left w:w="16" w:type="dxa"/>
              <w:right w:w="16" w:type="dxa"/>
            </w:tcMar>
            <w:vAlign w:val="center"/>
          </w:tcPr>
          <w:p w14:paraId="272A6503">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环保投资占比（%）</w:t>
            </w:r>
          </w:p>
        </w:tc>
        <w:tc>
          <w:tcPr>
            <w:tcW w:w="2186" w:type="dxa"/>
            <w:noWrap w:val="0"/>
            <w:vAlign w:val="center"/>
          </w:tcPr>
          <w:p w14:paraId="4BEE38D4">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1.75</w:t>
            </w:r>
          </w:p>
        </w:tc>
        <w:tc>
          <w:tcPr>
            <w:tcW w:w="1785" w:type="dxa"/>
            <w:noWrap w:val="0"/>
            <w:tcMar>
              <w:top w:w="16" w:type="dxa"/>
              <w:left w:w="16" w:type="dxa"/>
              <w:right w:w="16" w:type="dxa"/>
            </w:tcMar>
            <w:vAlign w:val="center"/>
          </w:tcPr>
          <w:p w14:paraId="08E97A04">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施工工期</w:t>
            </w:r>
          </w:p>
        </w:tc>
        <w:tc>
          <w:tcPr>
            <w:tcW w:w="3172" w:type="dxa"/>
            <w:noWrap w:val="0"/>
            <w:vAlign w:val="center"/>
          </w:tcPr>
          <w:p w14:paraId="58C8FC88">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个月</w:t>
            </w:r>
          </w:p>
        </w:tc>
      </w:tr>
      <w:tr w14:paraId="02BA1D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727" w:type="dxa"/>
            <w:gridSpan w:val="3"/>
            <w:noWrap w:val="0"/>
            <w:tcMar>
              <w:top w:w="16" w:type="dxa"/>
              <w:left w:w="16" w:type="dxa"/>
              <w:right w:w="16" w:type="dxa"/>
            </w:tcMar>
            <w:vAlign w:val="center"/>
          </w:tcPr>
          <w:p w14:paraId="7DBD5E97">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是否开工建设</w:t>
            </w:r>
          </w:p>
        </w:tc>
        <w:tc>
          <w:tcPr>
            <w:tcW w:w="2186" w:type="dxa"/>
            <w:noWrap w:val="0"/>
            <w:vAlign w:val="center"/>
          </w:tcPr>
          <w:p w14:paraId="3A9B8086">
            <w:pPr>
              <w:adjustRightInd w:val="0"/>
              <w:snapToGrid w:val="0"/>
              <w:rPr>
                <w:rFonts w:hint="default"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否</w:t>
            </w:r>
          </w:p>
          <w:p w14:paraId="4A655585">
            <w:pPr>
              <w:adjustRightInd w:val="0"/>
              <w:snapToGrid w:val="0"/>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sym w:font="Wingdings 2" w:char="00A3"/>
            </w:r>
            <w:r>
              <w:rPr>
                <w:rFonts w:hint="default" w:ascii="Times New Roman" w:hAnsi="Times New Roman" w:cs="Times New Roman"/>
                <w:color w:val="000000" w:themeColor="text1"/>
                <w:sz w:val="24"/>
                <w:szCs w:val="24"/>
                <w:highlight w:val="none"/>
                <w14:textFill>
                  <w14:solidFill>
                    <w14:schemeClr w14:val="tx1"/>
                  </w14:solidFill>
                </w14:textFill>
              </w:rPr>
              <w:t>是：</w:t>
            </w:r>
            <w:r>
              <w:rPr>
                <w:rFonts w:hint="default" w:ascii="Times New Roman" w:hAnsi="Times New Roman" w:cs="Times New Roman"/>
                <w:color w:val="000000" w:themeColor="text1"/>
                <w:sz w:val="24"/>
                <w:szCs w:val="24"/>
                <w:highlight w:val="none"/>
                <w:u w:val="single"/>
                <w14:textFill>
                  <w14:solidFill>
                    <w14:schemeClr w14:val="tx1"/>
                  </w14:solidFill>
                </w14:textFill>
              </w:rPr>
              <w:t xml:space="preserve">          </w:t>
            </w:r>
          </w:p>
        </w:tc>
        <w:tc>
          <w:tcPr>
            <w:tcW w:w="1785" w:type="dxa"/>
            <w:noWrap w:val="0"/>
            <w:tcMar>
              <w:top w:w="16" w:type="dxa"/>
              <w:left w:w="16" w:type="dxa"/>
              <w:right w:w="16" w:type="dxa"/>
            </w:tcMar>
            <w:vAlign w:val="center"/>
          </w:tcPr>
          <w:p w14:paraId="1E347C93">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pacing w:val="-6"/>
                <w:sz w:val="24"/>
                <w:szCs w:val="24"/>
                <w:highlight w:val="none"/>
                <w14:textFill>
                  <w14:solidFill>
                    <w14:schemeClr w14:val="tx1"/>
                  </w14:solidFill>
                </w14:textFill>
              </w:rPr>
              <w:t>用地面积（m</w:t>
            </w:r>
            <w:r>
              <w:rPr>
                <w:rFonts w:hint="default" w:ascii="Times New Roman" w:hAnsi="Times New Roman" w:cs="Times New Roman"/>
                <w:color w:val="000000" w:themeColor="text1"/>
                <w:spacing w:val="-6"/>
                <w:sz w:val="24"/>
                <w:szCs w:val="24"/>
                <w:highlight w:val="none"/>
                <w:vertAlign w:val="superscript"/>
                <w14:textFill>
                  <w14:solidFill>
                    <w14:schemeClr w14:val="tx1"/>
                  </w14:solidFill>
                </w14:textFill>
              </w:rPr>
              <w:t>2</w:t>
            </w:r>
            <w:r>
              <w:rPr>
                <w:rFonts w:hint="default" w:ascii="Times New Roman" w:hAnsi="Times New Roman" w:cs="Times New Roman"/>
                <w:color w:val="000000" w:themeColor="text1"/>
                <w:spacing w:val="-6"/>
                <w:sz w:val="24"/>
                <w:szCs w:val="24"/>
                <w:highlight w:val="none"/>
                <w14:textFill>
                  <w14:solidFill>
                    <w14:schemeClr w14:val="tx1"/>
                  </w14:solidFill>
                </w14:textFill>
              </w:rPr>
              <w:t>）</w:t>
            </w:r>
          </w:p>
        </w:tc>
        <w:tc>
          <w:tcPr>
            <w:tcW w:w="3172" w:type="dxa"/>
            <w:noWrap w:val="0"/>
            <w:vAlign w:val="center"/>
          </w:tcPr>
          <w:p w14:paraId="6A1BAC64">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3504</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m</w:t>
            </w:r>
            <w:r>
              <w:rPr>
                <w:rFonts w:hint="default" w:ascii="Times New Roman" w:hAnsi="Times New Roman" w:cs="Times New Roman"/>
                <w:color w:val="000000" w:themeColor="text1"/>
                <w:sz w:val="24"/>
                <w:szCs w:val="24"/>
                <w:highlight w:val="none"/>
                <w:vertAlign w:val="superscript"/>
                <w:lang w:val="en-US" w:eastAsia="zh-CN"/>
                <w14:textFill>
                  <w14:solidFill>
                    <w14:schemeClr w14:val="tx1"/>
                  </w14:solidFill>
                </w14:textFill>
              </w:rPr>
              <w:t>2</w:t>
            </w:r>
          </w:p>
        </w:tc>
      </w:tr>
      <w:tr w14:paraId="189D06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676" w:hRule="atLeast"/>
          <w:jc w:val="center"/>
        </w:trPr>
        <w:tc>
          <w:tcPr>
            <w:tcW w:w="1727" w:type="dxa"/>
            <w:gridSpan w:val="3"/>
            <w:noWrap w:val="0"/>
            <w:vAlign w:val="center"/>
          </w:tcPr>
          <w:p w14:paraId="464B5343">
            <w:pPr>
              <w:autoSpaceDE w:val="0"/>
              <w:autoSpaceDN w:val="0"/>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专项评价</w:t>
            </w:r>
          </w:p>
          <w:p w14:paraId="57E51708">
            <w:pPr>
              <w:autoSpaceDE w:val="0"/>
              <w:autoSpaceDN w:val="0"/>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设置情况</w:t>
            </w:r>
          </w:p>
        </w:tc>
        <w:tc>
          <w:tcPr>
            <w:tcW w:w="7143" w:type="dxa"/>
            <w:gridSpan w:val="3"/>
            <w:noWrap w:val="0"/>
            <w:vAlign w:val="center"/>
          </w:tcPr>
          <w:p w14:paraId="0A27C667">
            <w:pPr>
              <w:autoSpaceDE w:val="0"/>
              <w:autoSpaceDN w:val="0"/>
              <w:adjustRightInd w:val="0"/>
              <w:snapToGrid w:val="0"/>
              <w:jc w:val="cente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无</w:t>
            </w:r>
          </w:p>
        </w:tc>
      </w:tr>
      <w:tr w14:paraId="5675E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1021" w:hRule="atLeast"/>
          <w:jc w:val="center"/>
        </w:trPr>
        <w:tc>
          <w:tcPr>
            <w:tcW w:w="1727" w:type="dxa"/>
            <w:gridSpan w:val="3"/>
            <w:noWrap w:val="0"/>
            <w:vAlign w:val="center"/>
          </w:tcPr>
          <w:p w14:paraId="788EF7A9">
            <w:pPr>
              <w:autoSpaceDE w:val="0"/>
              <w:autoSpaceDN w:val="0"/>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规划情况</w:t>
            </w:r>
          </w:p>
        </w:tc>
        <w:tc>
          <w:tcPr>
            <w:tcW w:w="7143" w:type="dxa"/>
            <w:gridSpan w:val="3"/>
            <w:noWrap w:val="0"/>
            <w:vAlign w:val="center"/>
          </w:tcPr>
          <w:p w14:paraId="3688E4EB">
            <w:pPr>
              <w:widowControl/>
              <w:spacing w:line="360" w:lineRule="auto"/>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规划名称：</w:t>
            </w:r>
            <w:r>
              <w:rPr>
                <w:rFonts w:hint="default" w:ascii="Times New Roman" w:hAnsi="Times New Roman" w:cs="Times New Roman"/>
                <w:color w:val="000000" w:themeColor="text1"/>
                <w:kern w:val="0"/>
                <w:sz w:val="24"/>
                <w:highlight w:val="none"/>
                <w:lang w:bidi="ar"/>
                <w14:textFill>
                  <w14:solidFill>
                    <w14:schemeClr w14:val="tx1"/>
                  </w14:solidFill>
                </w14:textFill>
              </w:rPr>
              <w:t>《</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西咸新区</w:t>
            </w:r>
            <w:r>
              <w:rPr>
                <w:rFonts w:hint="eastAsia" w:cs="Times New Roman"/>
                <w:color w:val="000000" w:themeColor="text1"/>
                <w:kern w:val="0"/>
                <w:sz w:val="24"/>
                <w:highlight w:val="none"/>
                <w:lang w:val="en-US" w:eastAsia="zh-CN" w:bidi="ar"/>
                <w14:textFill>
                  <w14:solidFill>
                    <w14:schemeClr w14:val="tx1"/>
                  </w14:solidFill>
                </w14:textFill>
              </w:rPr>
              <w:t>-</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泾河新城分区规划修编</w:t>
            </w:r>
            <w:r>
              <w:rPr>
                <w:rFonts w:hint="default" w:ascii="Times New Roman" w:hAnsi="Times New Roman" w:cs="Times New Roman"/>
                <w:color w:val="000000" w:themeColor="text1"/>
                <w:kern w:val="0"/>
                <w:sz w:val="24"/>
                <w:highlight w:val="none"/>
                <w:lang w:bidi="ar"/>
                <w14:textFill>
                  <w14:solidFill>
                    <w14:schemeClr w14:val="tx1"/>
                  </w14:solidFill>
                </w14:textFill>
              </w:rPr>
              <w:t>》</w:t>
            </w:r>
            <w:r>
              <w:rPr>
                <w:rFonts w:hint="default" w:ascii="Times New Roman" w:hAnsi="Times New Roman"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2016-2035年</w:t>
            </w:r>
            <w:r>
              <w:rPr>
                <w:rFonts w:hint="default" w:ascii="Times New Roman" w:hAnsi="Times New Roman" w:cs="Times New Roman"/>
                <w:color w:val="000000" w:themeColor="text1"/>
                <w:kern w:val="0"/>
                <w:sz w:val="24"/>
                <w:highlight w:val="none"/>
                <w:lang w:eastAsia="zh-CN" w:bidi="ar"/>
                <w14:textFill>
                  <w14:solidFill>
                    <w14:schemeClr w14:val="tx1"/>
                  </w14:solidFill>
                </w14:textFill>
              </w:rPr>
              <w:t>）</w:t>
            </w:r>
          </w:p>
          <w:p w14:paraId="2E8C8D59">
            <w:pPr>
              <w:autoSpaceDE w:val="0"/>
              <w:autoSpaceDN w:val="0"/>
              <w:adjustRightInd w:val="0"/>
              <w:snapToGrid w:val="0"/>
              <w:spacing w:line="360" w:lineRule="auto"/>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规划审批机关</w:t>
            </w:r>
            <w:r>
              <w:rPr>
                <w:rFonts w:hint="default" w:ascii="Times New Roman" w:hAnsi="Times New Roman"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西咸新区开发建设管理委员会</w:t>
            </w:r>
          </w:p>
        </w:tc>
      </w:tr>
      <w:tr w14:paraId="171488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376" w:hRule="atLeast"/>
          <w:jc w:val="center"/>
        </w:trPr>
        <w:tc>
          <w:tcPr>
            <w:tcW w:w="1727" w:type="dxa"/>
            <w:gridSpan w:val="3"/>
            <w:noWrap w:val="0"/>
            <w:vAlign w:val="center"/>
          </w:tcPr>
          <w:p w14:paraId="64BA8737">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规划环境影响</w:t>
            </w:r>
          </w:p>
          <w:p w14:paraId="080FEAC1">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评价情况</w:t>
            </w:r>
          </w:p>
        </w:tc>
        <w:tc>
          <w:tcPr>
            <w:tcW w:w="7143" w:type="dxa"/>
            <w:gridSpan w:val="3"/>
            <w:noWrap w:val="0"/>
            <w:vAlign w:val="center"/>
          </w:tcPr>
          <w:p w14:paraId="6A82EC08">
            <w:pPr>
              <w:widowControl/>
              <w:spacing w:line="360" w:lineRule="auto"/>
              <w:jc w:val="left"/>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规划环境影响评价文件：《</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陕西省西咸新区泾河新</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城分区</w:t>
            </w:r>
            <w:r>
              <w:rPr>
                <w:rFonts w:hint="default" w:ascii="Times New Roman" w:hAnsi="Times New Roman" w:eastAsia="宋体" w:cs="Times New Roman"/>
                <w:color w:val="000000" w:themeColor="text1"/>
                <w:sz w:val="24"/>
                <w:szCs w:val="24"/>
                <w:highlight w:val="none"/>
                <w14:textFill>
                  <w14:solidFill>
                    <w14:schemeClr w14:val="tx1"/>
                  </w14:solidFill>
                </w14:textFill>
              </w:rPr>
              <w:t>规划</w:t>
            </w:r>
            <w:r>
              <w:rPr>
                <w:rFonts w:hint="default" w:ascii="Times New Roman" w:hAnsi="Times New Roman"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2016-2035</w:t>
            </w:r>
            <w:r>
              <w:rPr>
                <w:rFonts w:hint="default" w:ascii="Times New Roman" w:hAnsi="Times New Roman"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cs="Times New Roman"/>
                <w:color w:val="000000" w:themeColor="text1"/>
                <w:kern w:val="0"/>
                <w:sz w:val="24"/>
                <w:highlight w:val="none"/>
                <w:lang w:bidi="ar"/>
                <w14:textFill>
                  <w14:solidFill>
                    <w14:schemeClr w14:val="tx1"/>
                  </w14:solidFill>
                </w14:textFill>
              </w:rPr>
              <w:t>环境影响报告书》</w:t>
            </w:r>
          </w:p>
          <w:p w14:paraId="49A1FE80">
            <w:pPr>
              <w:widowControl/>
              <w:spacing w:line="360" w:lineRule="auto"/>
              <w:jc w:val="left"/>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召集审查机关：</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陕西省西咸新区生态环境局</w:t>
            </w:r>
          </w:p>
          <w:p w14:paraId="6E912EB8">
            <w:pPr>
              <w:autoSpaceDE w:val="0"/>
              <w:autoSpaceDN w:val="0"/>
              <w:adjustRightInd w:val="0"/>
              <w:snapToGrid w:val="0"/>
              <w:spacing w:line="360" w:lineRule="auto"/>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审查文件名称及文号：</w:t>
            </w:r>
            <w:r>
              <w:rPr>
                <w:rFonts w:hint="default" w:ascii="Times New Roman" w:hAnsi="Times New Roman" w:cs="Times New Roman"/>
                <w:color w:val="000000" w:themeColor="text1"/>
                <w:kern w:val="0"/>
                <w:sz w:val="24"/>
                <w:szCs w:val="24"/>
                <w:highlight w:val="none"/>
                <w14:textFill>
                  <w14:solidFill>
                    <w14:schemeClr w14:val="tx1"/>
                  </w14:solidFill>
                </w14:textFill>
              </w:rPr>
              <w:t>关于西咸新区泾河新城分区规划（2016</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14:textFill>
                  <w14:solidFill>
                    <w14:schemeClr w14:val="tx1"/>
                  </w14:solidFill>
                </w14:textFill>
              </w:rPr>
              <w:t>2035）环境影响报告书审查意见的函（陕西咸环函</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w:t>
            </w:r>
            <w:r>
              <w:rPr>
                <w:rFonts w:hint="default" w:ascii="Times New Roman" w:hAnsi="Times New Roman" w:cs="Times New Roman"/>
                <w:color w:val="000000" w:themeColor="text1"/>
                <w:kern w:val="0"/>
                <w:sz w:val="24"/>
                <w:szCs w:val="24"/>
                <w:highlight w:val="none"/>
                <w14:textFill>
                  <w14:solidFill>
                    <w14:schemeClr w14:val="tx1"/>
                  </w14:solidFill>
                </w14:textFill>
              </w:rPr>
              <w:t>2021</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w:t>
            </w:r>
            <w:r>
              <w:rPr>
                <w:rFonts w:hint="default" w:ascii="Times New Roman" w:hAnsi="Times New Roman" w:cs="Times New Roman"/>
                <w:color w:val="000000" w:themeColor="text1"/>
                <w:kern w:val="0"/>
                <w:sz w:val="24"/>
                <w:szCs w:val="24"/>
                <w:highlight w:val="none"/>
                <w14:textFill>
                  <w14:solidFill>
                    <w14:schemeClr w14:val="tx1"/>
                  </w14:solidFill>
                </w14:textFill>
              </w:rPr>
              <w:t>41号）</w:t>
            </w:r>
          </w:p>
        </w:tc>
      </w:tr>
      <w:tr w14:paraId="4AF1F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3" w:type="dxa"/>
          <w:trHeight w:val="1021" w:hRule="atLeast"/>
          <w:jc w:val="center"/>
        </w:trPr>
        <w:tc>
          <w:tcPr>
            <w:tcW w:w="706" w:type="dxa"/>
            <w:noWrap w:val="0"/>
            <w:vAlign w:val="center"/>
          </w:tcPr>
          <w:p w14:paraId="1826C802">
            <w:pPr>
              <w:autoSpaceDE w:val="0"/>
              <w:autoSpaceDN w:val="0"/>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规划及规划环境影响评价符合性分析</w:t>
            </w:r>
          </w:p>
        </w:tc>
        <w:tc>
          <w:tcPr>
            <w:tcW w:w="8164" w:type="dxa"/>
            <w:gridSpan w:val="5"/>
            <w:noWrap w:val="0"/>
            <w:vAlign w:val="center"/>
          </w:tcPr>
          <w:p w14:paraId="5EF1E898">
            <w:pPr>
              <w:autoSpaceDE w:val="0"/>
              <w:autoSpaceDN w:val="0"/>
              <w:adjustRightInd w:val="0"/>
              <w:snapToGrid w:val="0"/>
              <w:spacing w:line="360" w:lineRule="auto"/>
              <w:ind w:firstLine="480" w:firstLineChars="200"/>
              <w:jc w:val="both"/>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与相关规划、规划环评结论及审查意见的符合性见下表。</w:t>
            </w:r>
          </w:p>
          <w:p w14:paraId="66FD7EBD">
            <w:pPr>
              <w:pStyle w:val="3"/>
              <w:spacing w:line="240" w:lineRule="auto"/>
              <w:jc w:val="cente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lang w:val="en-US" w:eastAsia="zh-CN" w:bidi="ar"/>
                <w14:textFill>
                  <w14:solidFill>
                    <w14:schemeClr w14:val="tx1"/>
                  </w14:solidFill>
                </w14:textFill>
              </w:rPr>
              <w:t>表1-1 与相关规划及规划环评符合性分析</w:t>
            </w:r>
          </w:p>
          <w:tbl>
            <w:tblPr>
              <w:tblStyle w:val="25"/>
              <w:tblW w:w="8059" w:type="dxa"/>
              <w:tblInd w:w="-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3491"/>
              <w:gridCol w:w="2618"/>
              <w:gridCol w:w="450"/>
            </w:tblGrid>
            <w:tr w14:paraId="6AA4B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noWrap w:val="0"/>
                  <w:vAlign w:val="center"/>
                </w:tcPr>
                <w:p w14:paraId="6D979691">
                  <w:pPr>
                    <w:widowControl/>
                    <w:jc w:val="center"/>
                    <w:rPr>
                      <w:rFonts w:hint="default" w:ascii="Times New Roman" w:hAnsi="Times New Roman" w:cs="Times New Roman"/>
                      <w:b/>
                      <w:bCs/>
                      <w:color w:val="000000" w:themeColor="text1"/>
                      <w:kern w:val="0"/>
                      <w:szCs w:val="21"/>
                      <w:highlight w:val="none"/>
                      <w:lang w:bidi="ar"/>
                      <w14:textFill>
                        <w14:solidFill>
                          <w14:schemeClr w14:val="tx1"/>
                        </w14:solidFill>
                      </w14:textFill>
                    </w:rPr>
                  </w:pPr>
                  <w:bookmarkStart w:id="4" w:name="_Toc24745"/>
                  <w:r>
                    <w:rPr>
                      <w:rFonts w:hint="default" w:ascii="Times New Roman" w:hAnsi="Times New Roman" w:cs="Times New Roman"/>
                      <w:b/>
                      <w:bCs/>
                      <w:color w:val="000000" w:themeColor="text1"/>
                      <w:kern w:val="0"/>
                      <w:szCs w:val="21"/>
                      <w:highlight w:val="none"/>
                      <w:lang w:bidi="ar"/>
                      <w14:textFill>
                        <w14:solidFill>
                          <w14:schemeClr w14:val="tx1"/>
                        </w14:solidFill>
                      </w14:textFill>
                    </w:rPr>
                    <w:t>名称</w:t>
                  </w:r>
                </w:p>
              </w:tc>
              <w:tc>
                <w:tcPr>
                  <w:tcW w:w="2165" w:type="pct"/>
                  <w:noWrap w:val="0"/>
                  <w:vAlign w:val="center"/>
                </w:tcPr>
                <w:p w14:paraId="1981AC40">
                  <w:pPr>
                    <w:widowControl/>
                    <w:jc w:val="center"/>
                    <w:rPr>
                      <w:rFonts w:hint="default" w:ascii="Times New Roman" w:hAnsi="Times New Roman" w:cs="Times New Roman"/>
                      <w:b/>
                      <w:bCs/>
                      <w:color w:val="000000" w:themeColor="text1"/>
                      <w:kern w:val="0"/>
                      <w:szCs w:val="21"/>
                      <w:highlight w:val="none"/>
                      <w:lang w:bidi="ar"/>
                      <w14:textFill>
                        <w14:solidFill>
                          <w14:schemeClr w14:val="tx1"/>
                        </w14:solidFill>
                      </w14:textFill>
                    </w:rPr>
                  </w:pPr>
                  <w:r>
                    <w:rPr>
                      <w:rFonts w:hint="default" w:ascii="Times New Roman" w:hAnsi="Times New Roman" w:cs="Times New Roman"/>
                      <w:b/>
                      <w:bCs/>
                      <w:color w:val="000000" w:themeColor="text1"/>
                      <w:kern w:val="0"/>
                      <w:szCs w:val="21"/>
                      <w:highlight w:val="none"/>
                      <w:lang w:bidi="ar"/>
                      <w14:textFill>
                        <w14:solidFill>
                          <w14:schemeClr w14:val="tx1"/>
                        </w14:solidFill>
                      </w14:textFill>
                    </w:rPr>
                    <w:t>相关内容</w:t>
                  </w:r>
                </w:p>
              </w:tc>
              <w:tc>
                <w:tcPr>
                  <w:tcW w:w="1624" w:type="pct"/>
                  <w:noWrap w:val="0"/>
                  <w:vAlign w:val="center"/>
                </w:tcPr>
                <w:p w14:paraId="686EF7D3">
                  <w:pPr>
                    <w:adjustRightInd w:val="0"/>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本项目情况</w:t>
                  </w:r>
                </w:p>
              </w:tc>
              <w:tc>
                <w:tcPr>
                  <w:tcW w:w="279" w:type="pct"/>
                  <w:noWrap w:val="0"/>
                  <w:vAlign w:val="center"/>
                </w:tcPr>
                <w:p w14:paraId="3B326DE0">
                  <w:pPr>
                    <w:adjustRightInd w:val="0"/>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符合性</w:t>
                  </w:r>
                </w:p>
              </w:tc>
            </w:tr>
            <w:tr w14:paraId="1D933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noWrap w:val="0"/>
                  <w:vAlign w:val="center"/>
                </w:tcPr>
                <w:p w14:paraId="0FB3F64B">
                  <w:pPr>
                    <w:keepNext w:val="0"/>
                    <w:keepLines w:val="0"/>
                    <w:pageBreakBefore w:val="0"/>
                    <w:widowControl/>
                    <w:kinsoku/>
                    <w:wordWrap w:val="0"/>
                    <w:overflowPunct w:val="0"/>
                    <w:topLinePunct w:val="0"/>
                    <w:autoSpaceDE/>
                    <w:autoSpaceDN/>
                    <w:bidi w:val="0"/>
                    <w:adjustRightInd/>
                    <w:snapToGrid/>
                    <w:jc w:val="center"/>
                    <w:textAlignment w:val="auto"/>
                    <w:rPr>
                      <w:rFonts w:hint="default" w:ascii="Times New Roman" w:hAnsi="Times New Roman" w:cs="Times New Roman"/>
                      <w:color w:val="000000" w:themeColor="text1"/>
                      <w:kern w:val="0"/>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r>
                    <w:rPr>
                      <w:rFonts w:hint="default" w:ascii="Times New Roman" w:hAnsi="Times New Roman" w:cs="Times New Roman"/>
                      <w:color w:val="000000" w:themeColor="text1"/>
                      <w:kern w:val="0"/>
                      <w:szCs w:val="21"/>
                      <w:highlight w:val="none"/>
                      <w:lang w:val="en-US" w:eastAsia="zh-CN" w:bidi="ar"/>
                      <w14:textFill>
                        <w14:solidFill>
                          <w14:schemeClr w14:val="tx1"/>
                        </w14:solidFill>
                      </w14:textFill>
                    </w:rPr>
                    <w:t>西咸新区-泾河新城分区规划修编</w:t>
                  </w:r>
                </w:p>
                <w:p w14:paraId="379740D0">
                  <w:pPr>
                    <w:keepNext w:val="0"/>
                    <w:keepLines w:val="0"/>
                    <w:pageBreakBefore w:val="0"/>
                    <w:widowControl/>
                    <w:kinsoku/>
                    <w:wordWrap w:val="0"/>
                    <w:overflowPunct w:val="0"/>
                    <w:topLinePunct w:val="0"/>
                    <w:autoSpaceDE/>
                    <w:autoSpaceDN/>
                    <w:bidi w:val="0"/>
                    <w:adjustRightInd/>
                    <w:snapToGrid/>
                    <w:jc w:val="center"/>
                    <w:textAlignment w:val="auto"/>
                    <w:rPr>
                      <w:rFonts w:hint="default" w:ascii="Times New Roman" w:hAnsi="Times New Roman" w:eastAsia="宋体" w:cs="Times New Roman"/>
                      <w:color w:val="000000" w:themeColor="text1"/>
                      <w:kern w:val="0"/>
                      <w:szCs w:val="21"/>
                      <w:highlight w:val="none"/>
                      <w:lang w:eastAsia="zh-CN" w:bidi="ar"/>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bidi="ar"/>
                      <w14:textFill>
                        <w14:solidFill>
                          <w14:schemeClr w14:val="tx1"/>
                        </w14:solidFill>
                      </w14:textFill>
                    </w:rPr>
                    <w:t>（2016-2035）</w:t>
                  </w: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c>
                <w:tcPr>
                  <w:tcW w:w="2165" w:type="pct"/>
                  <w:noWrap w:val="0"/>
                  <w:vAlign w:val="center"/>
                </w:tcPr>
                <w:p w14:paraId="22F9C9E6">
                  <w:pPr>
                    <w:widowControl/>
                    <w:jc w:val="both"/>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624" w:type="pct"/>
                  <w:vMerge w:val="restart"/>
                  <w:noWrap w:val="0"/>
                  <w:vAlign w:val="center"/>
                </w:tcPr>
                <w:p w14:paraId="4D7E713B">
                  <w:pPr>
                    <w:widowControl/>
                    <w:jc w:val="both"/>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泾河新城范围内主要有隆基乐叶光伏科技（西咸新区）有限公司、西安聚能超导磁体科技有限公司、陕西圣奥动物药业有限公司、质子汽车科技有限公司等14.5万家企业；本项目</w:t>
                  </w: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位于泾河新城永乐工业园</w:t>
                  </w: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区陕西国坤时代科技有限公司2号厂房，建设一条</w:t>
                  </w:r>
                  <w:r>
                    <w:rPr>
                      <w:rFonts w:hint="eastAsia" w:ascii="Times New Roman" w:hAnsi="Times New Roman" w:eastAsia="宋体" w:cs="Times New Roman"/>
                      <w:color w:val="000000" w:themeColor="text1"/>
                      <w:kern w:val="0"/>
                      <w:sz w:val="21"/>
                      <w:szCs w:val="21"/>
                      <w:highlight w:val="none"/>
                      <w:lang w:val="zh-CN" w:eastAsia="zh-CN" w:bidi="ar"/>
                      <w14:textFill>
                        <w14:solidFill>
                          <w14:schemeClr w14:val="tx1"/>
                        </w14:solidFill>
                      </w14:textFill>
                    </w:rPr>
                    <w:t>RDF固体废物衍生燃料</w:t>
                  </w: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生产线，收集</w:t>
                  </w:r>
                  <w:r>
                    <w:rPr>
                      <w:rFonts w:hint="default" w:ascii="Times New Roman" w:hAnsi="Times New Roman" w:cs="Times New Roman"/>
                      <w:b w:val="0"/>
                      <w:bCs w:val="0"/>
                      <w:color w:val="000000" w:themeColor="text1"/>
                      <w:sz w:val="21"/>
                      <w:szCs w:val="21"/>
                      <w:highlight w:val="none"/>
                      <w14:textFill>
                        <w14:solidFill>
                          <w14:schemeClr w14:val="tx1"/>
                        </w14:solidFill>
                      </w14:textFill>
                    </w:rPr>
                    <w:t>泾河新城</w:t>
                  </w:r>
                  <w:r>
                    <w:rPr>
                      <w:rFonts w:hint="eastAsia" w:cs="Times New Roman"/>
                      <w:b w:val="0"/>
                      <w:bCs w:val="0"/>
                      <w:color w:val="000000" w:themeColor="text1"/>
                      <w:sz w:val="21"/>
                      <w:szCs w:val="21"/>
                      <w:highlight w:val="none"/>
                      <w:lang w:val="en-US" w:eastAsia="zh-CN"/>
                      <w14:textFill>
                        <w14:solidFill>
                          <w14:schemeClr w14:val="tx1"/>
                        </w14:solidFill>
                      </w14:textFill>
                    </w:rPr>
                    <w:t>及周边</w:t>
                  </w: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企业生产运营过程中产生的一般固废</w:t>
                  </w: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w:t>
                  </w:r>
                  <w:r>
                    <w:rPr>
                      <w:rFonts w:hint="eastAsia" w:cs="Times New Roman"/>
                      <w:b w:val="0"/>
                      <w:bCs w:val="0"/>
                      <w:color w:val="000000" w:themeColor="text1"/>
                      <w:sz w:val="21"/>
                      <w:szCs w:val="21"/>
                      <w:highlight w:val="none"/>
                      <w:lang w:val="en-US" w:eastAsia="zh-CN"/>
                      <w14:textFill>
                        <w14:solidFill>
                          <w14:schemeClr w14:val="tx1"/>
                        </w14:solidFill>
                      </w14:textFill>
                    </w:rPr>
                    <w:t>为</w:t>
                  </w:r>
                  <w:r>
                    <w:rPr>
                      <w:rFonts w:hint="default" w:ascii="Times New Roman" w:hAnsi="Times New Roman" w:cs="Times New Roman"/>
                      <w:b w:val="0"/>
                      <w:bCs w:val="0"/>
                      <w:color w:val="000000" w:themeColor="text1"/>
                      <w:sz w:val="21"/>
                      <w:szCs w:val="21"/>
                      <w:highlight w:val="none"/>
                      <w14:textFill>
                        <w14:solidFill>
                          <w14:schemeClr w14:val="tx1"/>
                        </w14:solidFill>
                      </w14:textFill>
                    </w:rPr>
                    <w:t>泾河新城</w:t>
                  </w:r>
                  <w:r>
                    <w:rPr>
                      <w:rFonts w:hint="eastAsia" w:cs="Times New Roman"/>
                      <w:b w:val="0"/>
                      <w:bCs w:val="0"/>
                      <w:color w:val="000000" w:themeColor="text1"/>
                      <w:sz w:val="21"/>
                      <w:szCs w:val="21"/>
                      <w:highlight w:val="none"/>
                      <w:lang w:val="en-US" w:eastAsia="zh-CN"/>
                      <w14:textFill>
                        <w14:solidFill>
                          <w14:schemeClr w14:val="tx1"/>
                        </w14:solidFill>
                      </w14:textFill>
                    </w:rPr>
                    <w:t>企业配套的固废资源化利用企业，</w:t>
                  </w: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属于生产性服务，符合产业定位。</w:t>
                  </w:r>
                </w:p>
              </w:tc>
              <w:tc>
                <w:tcPr>
                  <w:tcW w:w="279" w:type="pct"/>
                  <w:noWrap w:val="0"/>
                  <w:vAlign w:val="center"/>
                </w:tcPr>
                <w:p w14:paraId="6EC971A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31A87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noWrap w:val="0"/>
                  <w:vAlign w:val="center"/>
                </w:tcPr>
                <w:p w14:paraId="6C10C2F4">
                  <w:pPr>
                    <w:keepNext w:val="0"/>
                    <w:keepLines w:val="0"/>
                    <w:pageBreakBefore w:val="0"/>
                    <w:kinsoku/>
                    <w:wordWrap w:val="0"/>
                    <w:overflowPunct w:val="0"/>
                    <w:topLinePunct w:val="0"/>
                    <w:autoSpaceDE/>
                    <w:autoSpaceDN/>
                    <w:bidi w:val="0"/>
                    <w:adjustRightInd/>
                    <w:snapToGrid/>
                    <w:jc w:val="center"/>
                    <w:textAlignment w:val="auto"/>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《陕西省西咸新区泾河新城控制性详细</w:t>
                  </w:r>
                </w:p>
                <w:p w14:paraId="4D882186">
                  <w:pPr>
                    <w:keepNext w:val="0"/>
                    <w:keepLines w:val="0"/>
                    <w:pageBreakBefore w:val="0"/>
                    <w:kinsoku/>
                    <w:wordWrap w:val="0"/>
                    <w:overflowPunct w:val="0"/>
                    <w:topLinePunct w:val="0"/>
                    <w:autoSpaceDE/>
                    <w:autoSpaceDN/>
                    <w:bidi w:val="0"/>
                    <w:adjustRightInd/>
                    <w:snapToGrid/>
                    <w:jc w:val="center"/>
                    <w:textAlignment w:val="auto"/>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规划</w:t>
                  </w:r>
                </w:p>
                <w:p w14:paraId="408E0603">
                  <w:pPr>
                    <w:keepNext w:val="0"/>
                    <w:keepLines w:val="0"/>
                    <w:pageBreakBefore w:val="0"/>
                    <w:kinsoku/>
                    <w:wordWrap w:val="0"/>
                    <w:overflowPunct w:val="0"/>
                    <w:topLinePunct w:val="0"/>
                    <w:autoSpaceDE/>
                    <w:autoSpaceDN/>
                    <w:bidi w:val="0"/>
                    <w:adjustRightInd/>
                    <w:snapToGrid/>
                    <w:jc w:val="center"/>
                    <w:textAlignment w:val="auto"/>
                    <w:rPr>
                      <w:rFonts w:hint="default"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（2016-2035）》</w:t>
                  </w:r>
                </w:p>
              </w:tc>
              <w:tc>
                <w:tcPr>
                  <w:tcW w:w="2165" w:type="pct"/>
                  <w:noWrap w:val="0"/>
                  <w:vAlign w:val="center"/>
                </w:tcPr>
                <w:p w14:paraId="6E1E6742">
                  <w:pPr>
                    <w:jc w:val="both"/>
                    <w:rPr>
                      <w:rFonts w:hint="default"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624" w:type="pct"/>
                  <w:vMerge w:val="continue"/>
                  <w:noWrap w:val="0"/>
                  <w:vAlign w:val="center"/>
                </w:tcPr>
                <w:p w14:paraId="58E30627">
                  <w:pPr>
                    <w:widowControl/>
                    <w:jc w:val="both"/>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79" w:type="pct"/>
                  <w:noWrap w:val="0"/>
                  <w:vAlign w:val="center"/>
                </w:tcPr>
                <w:p w14:paraId="560E6DD6">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符合</w:t>
                  </w:r>
                </w:p>
              </w:tc>
            </w:tr>
            <w:tr w14:paraId="5522D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vMerge w:val="restart"/>
                  <w:noWrap w:val="0"/>
                  <w:vAlign w:val="center"/>
                </w:tcPr>
                <w:p w14:paraId="75181526">
                  <w:pPr>
                    <w:keepNext w:val="0"/>
                    <w:keepLines w:val="0"/>
                    <w:pageBreakBefore w:val="0"/>
                    <w:widowControl/>
                    <w:kinsoku/>
                    <w:wordWrap w:val="0"/>
                    <w:overflowPunct w:val="0"/>
                    <w:topLinePunct w:val="0"/>
                    <w:autoSpaceDE/>
                    <w:autoSpaceDN/>
                    <w:bidi w:val="0"/>
                    <w:adjustRightInd/>
                    <w:snapToGrid/>
                    <w:jc w:val="center"/>
                    <w:textAlignment w:val="auto"/>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《陕西省西咸新区泾河新城分区规划（2016-2035）环境影响报告书》及审查意见</w:t>
                  </w:r>
                </w:p>
              </w:tc>
              <w:tc>
                <w:tcPr>
                  <w:tcW w:w="2165" w:type="pct"/>
                  <w:noWrap w:val="0"/>
                  <w:vAlign w:val="center"/>
                </w:tcPr>
                <w:p w14:paraId="5C0FE57E">
                  <w:pPr>
                    <w:jc w:val="both"/>
                    <w:rPr>
                      <w:rFonts w:hint="default"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主管部门应严格管理，要求入住企业采用先进、成熟、可靠的工艺技术和清洁的原材料，对产生的废物进行合理的回用和治理，尽可能从源头上减少污染物排放；禁止利用渗坑、渗井、裂隙等排放污水和其他有害废弃物的行为；严格按照国家相关规范要求，对工艺、管道、设备、污水储存及处理构筑物采取相应的措施，以防止和降低污染物的跑、冒、滴、漏，将污染物泄漏的环境风险事故降低到最低程度；加强雨污分流排水体制建设，避免雨污水混流后进入外环境，污染区域地下水质。</w:t>
                  </w:r>
                </w:p>
              </w:tc>
              <w:tc>
                <w:tcPr>
                  <w:tcW w:w="1624" w:type="pct"/>
                  <w:noWrap w:val="0"/>
                  <w:vAlign w:val="center"/>
                </w:tcPr>
                <w:p w14:paraId="437D1424">
                  <w:pPr>
                    <w:jc w:val="both"/>
                    <w:rPr>
                      <w:rFonts w:hint="default"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项目厂区雨污分流，雨水排至市政雨水管网；本项目为一般固废资源化利用项目，</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无生产废水</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排放</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，生活污水依托</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陕西国坤时代科技有限公司化粪池</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处理后经市政管网排入泾河新城第二污水处理厂</w:t>
                  </w:r>
                  <w:r>
                    <w:rPr>
                      <w:rFonts w:hint="eastAsia" w:cs="Times New Roman"/>
                      <w:b w:val="0"/>
                      <w:bCs w:val="0"/>
                      <w:color w:val="000000" w:themeColor="text1"/>
                      <w:sz w:val="21"/>
                      <w:szCs w:val="21"/>
                      <w:highlight w:val="none"/>
                      <w:lang w:val="en-US" w:eastAsia="zh-CN"/>
                      <w14:textFill>
                        <w14:solidFill>
                          <w14:schemeClr w14:val="tx1"/>
                        </w14:solidFill>
                      </w14:textFill>
                    </w:rPr>
                    <w:t>进一步处理</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w:t>
                  </w:r>
                </w:p>
              </w:tc>
              <w:tc>
                <w:tcPr>
                  <w:tcW w:w="279" w:type="pct"/>
                  <w:noWrap w:val="0"/>
                  <w:vAlign w:val="center"/>
                </w:tcPr>
                <w:p w14:paraId="15C7CCB2">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63D97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vMerge w:val="continue"/>
                  <w:noWrap w:val="0"/>
                  <w:vAlign w:val="center"/>
                </w:tcPr>
                <w:p w14:paraId="54E1D33F">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165" w:type="pct"/>
                  <w:noWrap w:val="0"/>
                  <w:vAlign w:val="center"/>
                </w:tcPr>
                <w:p w14:paraId="18A9204C">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按照循环经济思想的指导，生产一般固废必须按照《一般工业固体废物贮存和填埋污染控制标准》（</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GB18599-2020</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）要求，进行贮存和处置；危废的产生和管理按照陕西省环境保护厅颁发的《危险废物转移联单管理办法》等有关规定文件的要求，收集后送往危废处理处置中心处置。</w:t>
                  </w:r>
                </w:p>
              </w:tc>
              <w:tc>
                <w:tcPr>
                  <w:tcW w:w="1624" w:type="pct"/>
                  <w:noWrap w:val="0"/>
                  <w:vAlign w:val="center"/>
                </w:tcPr>
                <w:p w14:paraId="0549ABDB">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生活垃圾交由环卫部门处置；</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废润滑油、</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废油桶和</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废含油抹布及手套</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收集于专用容器中，</w:t>
                  </w:r>
                  <w:r>
                    <w:rPr>
                      <w:rFonts w:hint="eastAsia" w:cs="Times New Roman"/>
                      <w:b w:val="0"/>
                      <w:bCs w:val="0"/>
                      <w:color w:val="000000" w:themeColor="text1"/>
                      <w:sz w:val="21"/>
                      <w:szCs w:val="21"/>
                      <w:highlight w:val="none"/>
                      <w:lang w:val="en-US" w:eastAsia="zh-CN"/>
                      <w14:textFill>
                        <w14:solidFill>
                          <w14:schemeClr w14:val="tx1"/>
                        </w14:solidFill>
                      </w14:textFill>
                    </w:rPr>
                    <w:t>定期</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交由有资质单位处置。</w:t>
                  </w:r>
                </w:p>
              </w:tc>
              <w:tc>
                <w:tcPr>
                  <w:tcW w:w="279" w:type="pct"/>
                  <w:noWrap w:val="0"/>
                  <w:vAlign w:val="center"/>
                </w:tcPr>
                <w:p w14:paraId="0D258B88">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0DBAD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vMerge w:val="continue"/>
                  <w:noWrap w:val="0"/>
                  <w:vAlign w:val="center"/>
                </w:tcPr>
                <w:p w14:paraId="2A180107">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165" w:type="pct"/>
                  <w:noWrap w:val="0"/>
                  <w:vAlign w:val="center"/>
                </w:tcPr>
                <w:p w14:paraId="585367A5">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对于涉及危险废物的企业应建立危险废物暂存库并严格按照重点防渗区进行防渗处理，防止污染地下水，并定期及时交由有资质单位处置，应与有危险废物处置资质单位建立长期合作关系。</w:t>
                  </w:r>
                </w:p>
              </w:tc>
              <w:tc>
                <w:tcPr>
                  <w:tcW w:w="1624" w:type="pct"/>
                  <w:noWrap w:val="0"/>
                  <w:vAlign w:val="center"/>
                </w:tcPr>
                <w:p w14:paraId="381FE968">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本项目设有危险废物贮存库，为混凝土浇筑地面，设防渗层</w:t>
                  </w:r>
                  <w:r>
                    <w:rPr>
                      <w:rFonts w:hint="eastAsia" w:cs="Times New Roman"/>
                      <w:b w:val="0"/>
                      <w:bCs w:val="0"/>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废润滑油、</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废油桶和</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废含油抹布及手套</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收集于专用容器中暂存于危废贮存库内</w:t>
                  </w:r>
                  <w:r>
                    <w:rPr>
                      <w:rFonts w:hint="eastAsia" w:cs="Times New Roman"/>
                      <w:b w:val="0"/>
                      <w:bCs w:val="0"/>
                      <w:color w:val="000000" w:themeColor="text1"/>
                      <w:sz w:val="21"/>
                      <w:szCs w:val="21"/>
                      <w:highlight w:val="none"/>
                      <w:lang w:val="en-US" w:eastAsia="zh-CN"/>
                      <w14:textFill>
                        <w14:solidFill>
                          <w14:schemeClr w14:val="tx1"/>
                        </w14:solidFill>
                      </w14:textFill>
                    </w:rPr>
                    <w:t>，定期</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交由有资质单位处置。</w:t>
                  </w:r>
                </w:p>
              </w:tc>
              <w:tc>
                <w:tcPr>
                  <w:tcW w:w="279" w:type="pct"/>
                  <w:noWrap w:val="0"/>
                  <w:vAlign w:val="center"/>
                </w:tcPr>
                <w:p w14:paraId="7C9D0280">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319D8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vMerge w:val="continue"/>
                  <w:noWrap w:val="0"/>
                  <w:vAlign w:val="center"/>
                </w:tcPr>
                <w:p w14:paraId="449BD490">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165" w:type="pct"/>
                  <w:noWrap w:val="0"/>
                  <w:vAlign w:val="center"/>
                </w:tcPr>
                <w:p w14:paraId="642F0DD9">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提高入园企业大气污染物排放的清洁生产水平，引进企业必须采用先进、可靠的废气治理措施，确保废气排放满足《大气污染物综合排放标准》（</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GB16297-1996</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）二级标准或相应的行业标准要求。严格控制入区工业项目，采取总量控制的方式，</w:t>
                  </w:r>
                  <w:r>
                    <w:rPr>
                      <w:rFonts w:hint="eastAsia" w:cs="Times New Roman"/>
                      <w:b w:val="0"/>
                      <w:bCs w:val="0"/>
                      <w:color w:val="000000" w:themeColor="text1"/>
                      <w:sz w:val="21"/>
                      <w:szCs w:val="21"/>
                      <w:highlight w:val="none"/>
                      <w:lang w:val="en-US" w:eastAsia="zh-CN"/>
                      <w14:textFill>
                        <w14:solidFill>
                          <w14:schemeClr w14:val="tx1"/>
                        </w14:solidFill>
                      </w14:textFill>
                    </w:rPr>
                    <w:t>限制</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大气污染物排放量大的项目入区。</w:t>
                  </w:r>
                </w:p>
              </w:tc>
              <w:tc>
                <w:tcPr>
                  <w:tcW w:w="1624" w:type="pct"/>
                  <w:vMerge w:val="restart"/>
                  <w:noWrap w:val="0"/>
                  <w:vAlign w:val="center"/>
                </w:tcPr>
                <w:p w14:paraId="115E6CF0">
                  <w:pPr>
                    <w:jc w:val="both"/>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本项目满足</w:t>
                  </w:r>
                  <w:r>
                    <w:rPr>
                      <w:rFonts w:hint="eastAsia" w:cs="Times New Roman"/>
                      <w:b w:val="0"/>
                      <w:bCs w:val="0"/>
                      <w:color w:val="000000" w:themeColor="text1"/>
                      <w:sz w:val="21"/>
                      <w:szCs w:val="21"/>
                      <w:highlight w:val="none"/>
                      <w:lang w:val="en-US" w:eastAsia="zh-CN"/>
                      <w14:textFill>
                        <w14:solidFill>
                          <w14:schemeClr w14:val="tx1"/>
                        </w14:solidFill>
                      </w14:textFill>
                    </w:rPr>
                    <w:t>“</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三线一单</w:t>
                  </w:r>
                  <w:r>
                    <w:rPr>
                      <w:rFonts w:hint="eastAsia" w:cs="Times New Roman"/>
                      <w:b w:val="0"/>
                      <w:bCs w:val="0"/>
                      <w:color w:val="000000" w:themeColor="text1"/>
                      <w:sz w:val="21"/>
                      <w:szCs w:val="21"/>
                      <w:highlight w:val="none"/>
                      <w:lang w:val="en-US" w:eastAsia="zh-CN"/>
                      <w14:textFill>
                        <w14:solidFill>
                          <w14:schemeClr w14:val="tx1"/>
                        </w14:solidFill>
                      </w14:textFill>
                    </w:rPr>
                    <w:t>”</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管控要求，项目不产生生产废水，</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生活污水依托</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陕西国坤时代科技有限公司化粪池</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处理后经市政管网排入泾河新城第二污水处理厂</w:t>
                  </w:r>
                  <w:r>
                    <w:rPr>
                      <w:rFonts w:hint="eastAsia" w:cs="Times New Roman"/>
                      <w:b w:val="0"/>
                      <w:bCs w:val="0"/>
                      <w:color w:val="000000" w:themeColor="text1"/>
                      <w:sz w:val="21"/>
                      <w:szCs w:val="21"/>
                      <w:highlight w:val="none"/>
                      <w:lang w:val="en-US" w:eastAsia="zh-CN"/>
                      <w14:textFill>
                        <w14:solidFill>
                          <w14:schemeClr w14:val="tx1"/>
                        </w14:solidFill>
                      </w14:textFill>
                    </w:rPr>
                    <w:t>进一步处理</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废气仅为</w:t>
                  </w:r>
                  <w:r>
                    <w:rPr>
                      <w:rFonts w:hint="eastAsia" w:cs="Times New Roman"/>
                      <w:b w:val="0"/>
                      <w:bCs w:val="0"/>
                      <w:color w:val="000000" w:themeColor="text1"/>
                      <w:sz w:val="21"/>
                      <w:szCs w:val="21"/>
                      <w:highlight w:val="none"/>
                      <w:lang w:val="en-US" w:eastAsia="zh-CN"/>
                      <w14:textFill>
                        <w14:solidFill>
                          <w14:schemeClr w14:val="tx1"/>
                        </w14:solidFill>
                      </w14:textFill>
                    </w:rPr>
                    <w:t>上料、破碎和打包</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工序产生的颗粒物，根据工程分析产生量极少，故本项目不属于大气污染物和水污染物排放量大的项目。</w:t>
                  </w:r>
                </w:p>
              </w:tc>
              <w:tc>
                <w:tcPr>
                  <w:tcW w:w="279" w:type="pct"/>
                  <w:noWrap w:val="0"/>
                  <w:vAlign w:val="center"/>
                </w:tcPr>
                <w:p w14:paraId="21EB98F7">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42F7D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vMerge w:val="continue"/>
                  <w:noWrap w:val="0"/>
                  <w:vAlign w:val="center"/>
                </w:tcPr>
                <w:p w14:paraId="30BFF803">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165" w:type="pct"/>
                  <w:noWrap w:val="0"/>
                  <w:vAlign w:val="center"/>
                </w:tcPr>
                <w:p w14:paraId="5DCBB399">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严格控制入区工业项目，采取总量控制的方式，限制大气污染物排放量大的项目入区。</w:t>
                  </w:r>
                </w:p>
              </w:tc>
              <w:tc>
                <w:tcPr>
                  <w:tcW w:w="1624" w:type="pct"/>
                  <w:vMerge w:val="continue"/>
                  <w:noWrap w:val="0"/>
                  <w:vAlign w:val="center"/>
                </w:tcPr>
                <w:p w14:paraId="11782639">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pPr>
                </w:p>
              </w:tc>
              <w:tc>
                <w:tcPr>
                  <w:tcW w:w="279" w:type="pct"/>
                  <w:noWrap w:val="0"/>
                  <w:vAlign w:val="center"/>
                </w:tcPr>
                <w:p w14:paraId="6A749200">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7B847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vMerge w:val="continue"/>
                  <w:noWrap w:val="0"/>
                  <w:vAlign w:val="center"/>
                </w:tcPr>
                <w:p w14:paraId="360F9E19">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165" w:type="pct"/>
                  <w:noWrap w:val="0"/>
                  <w:vAlign w:val="center"/>
                </w:tcPr>
                <w:p w14:paraId="0E4C8A3C">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加强监督管理，确保入住企业的污水预处理设施</w:t>
                  </w:r>
                  <w:r>
                    <w:rPr>
                      <w:rFonts w:hint="eastAsia" w:cs="Times New Roman"/>
                      <w:b w:val="0"/>
                      <w:bCs w:val="0"/>
                      <w:color w:val="000000" w:themeColor="text1"/>
                      <w:sz w:val="21"/>
                      <w:szCs w:val="21"/>
                      <w:highlight w:val="none"/>
                      <w:lang w:val="en-US" w:eastAsia="zh-CN"/>
                      <w14:textFill>
                        <w14:solidFill>
                          <w14:schemeClr w14:val="tx1"/>
                        </w14:solidFill>
                      </w14:textFill>
                    </w:rPr>
                    <w:t>正常</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运行，保证进入污水处理厂的污水水质满足污水处理厂设计水质的要求，特别是严格控制含有毒有害污染物的废水排放，应根据下游污水处理厂的污水处理工艺和尾水排放标准，从严考虑接管标准。</w:t>
                  </w:r>
                </w:p>
              </w:tc>
              <w:tc>
                <w:tcPr>
                  <w:tcW w:w="1624" w:type="pct"/>
                  <w:noWrap w:val="0"/>
                  <w:vAlign w:val="center"/>
                </w:tcPr>
                <w:p w14:paraId="2DA73798">
                  <w:pPr>
                    <w:jc w:val="both"/>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本项目厂区雨污分流，雨水排至市政雨水管网；项目不产生生产废水；本项目</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生活污水依托</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陕西国坤时代科技有限公司化粪池</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处理后经市政管网排入泾河新城第二污水处理厂</w:t>
                  </w:r>
                  <w:r>
                    <w:rPr>
                      <w:rFonts w:hint="eastAsia" w:cs="Times New Roman"/>
                      <w:b w:val="0"/>
                      <w:bCs w:val="0"/>
                      <w:color w:val="000000" w:themeColor="text1"/>
                      <w:sz w:val="21"/>
                      <w:szCs w:val="21"/>
                      <w:highlight w:val="none"/>
                      <w:lang w:val="en-US" w:eastAsia="zh-CN"/>
                      <w14:textFill>
                        <w14:solidFill>
                          <w14:schemeClr w14:val="tx1"/>
                        </w14:solidFill>
                      </w14:textFill>
                    </w:rPr>
                    <w:t>进一步处理</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w:t>
                  </w:r>
                </w:p>
              </w:tc>
              <w:tc>
                <w:tcPr>
                  <w:tcW w:w="279" w:type="pct"/>
                  <w:noWrap w:val="0"/>
                  <w:vAlign w:val="center"/>
                </w:tcPr>
                <w:p w14:paraId="49C0BF04">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47B64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vMerge w:val="continue"/>
                  <w:noWrap w:val="0"/>
                  <w:vAlign w:val="center"/>
                </w:tcPr>
                <w:p w14:paraId="75BBE239">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165" w:type="pct"/>
                  <w:noWrap w:val="0"/>
                  <w:vAlign w:val="center"/>
                </w:tcPr>
                <w:p w14:paraId="4785E587">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对饮食业、单位食堂等确保使用清洁能源和安装符合要求的油烟净化设施。</w:t>
                  </w:r>
                </w:p>
              </w:tc>
              <w:tc>
                <w:tcPr>
                  <w:tcW w:w="1624" w:type="pct"/>
                  <w:noWrap w:val="0"/>
                  <w:vAlign w:val="center"/>
                </w:tcPr>
                <w:p w14:paraId="4D0745B0">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本项目不涉及食堂。</w:t>
                  </w:r>
                </w:p>
              </w:tc>
              <w:tc>
                <w:tcPr>
                  <w:tcW w:w="279" w:type="pct"/>
                  <w:noWrap w:val="0"/>
                  <w:vAlign w:val="center"/>
                </w:tcPr>
                <w:p w14:paraId="01730AD5">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7A01E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vMerge w:val="continue"/>
                  <w:noWrap w:val="0"/>
                  <w:vAlign w:val="center"/>
                </w:tcPr>
                <w:p w14:paraId="38697190">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165" w:type="pct"/>
                  <w:noWrap w:val="0"/>
                  <w:vAlign w:val="center"/>
                </w:tcPr>
                <w:p w14:paraId="6663BA73">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按照《陕西省大气污染防治条例》，在城镇规划区全面发展集中供热，泾河新城能源结构应采用天然气、电等清洁燃料。在燃气管网和集中供热管网覆盖的区域，不得新建、扩建燃料煤炭、重油、渣油的供热设施。同时，建议根据环境容量情况建设集中供热</w:t>
                  </w:r>
                  <w:r>
                    <w:rPr>
                      <w:rFonts w:hint="eastAsia" w:cs="Times New Roman"/>
                      <w:b w:val="0"/>
                      <w:bCs w:val="0"/>
                      <w:color w:val="000000" w:themeColor="text1"/>
                      <w:sz w:val="21"/>
                      <w:szCs w:val="21"/>
                      <w:highlight w:val="none"/>
                      <w:lang w:val="en-US" w:eastAsia="zh-CN"/>
                      <w14:textFill>
                        <w14:solidFill>
                          <w14:schemeClr w14:val="tx1"/>
                        </w14:solidFill>
                      </w14:textFill>
                    </w:rPr>
                    <w:t>设施</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，鼓励采用地热、太阳能等清洁能源。</w:t>
                  </w:r>
                </w:p>
              </w:tc>
              <w:tc>
                <w:tcPr>
                  <w:tcW w:w="1624" w:type="pct"/>
                  <w:noWrap w:val="0"/>
                  <w:vAlign w:val="center"/>
                </w:tcPr>
                <w:p w14:paraId="67C9D688">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本项目使用能源为电，属于清洁能源。</w:t>
                  </w:r>
                </w:p>
              </w:tc>
              <w:tc>
                <w:tcPr>
                  <w:tcW w:w="279" w:type="pct"/>
                  <w:noWrap w:val="0"/>
                  <w:vAlign w:val="center"/>
                </w:tcPr>
                <w:p w14:paraId="18266779">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2CF21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vMerge w:val="continue"/>
                  <w:noWrap w:val="0"/>
                  <w:vAlign w:val="center"/>
                </w:tcPr>
                <w:p w14:paraId="1D9DEF11">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165" w:type="pct"/>
                  <w:noWrap w:val="0"/>
                  <w:vAlign w:val="center"/>
                </w:tcPr>
                <w:p w14:paraId="4B3289E0">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严守环境质量底线，落实污染物总量管控要求。根据国家、陕西省、西咸新区有关大气、水、土壤污染防治行动计划相关要求，采取有效措施减少主要污染物排放总量，实现区域环境质量改善目标。</w:t>
                  </w:r>
                </w:p>
              </w:tc>
              <w:tc>
                <w:tcPr>
                  <w:tcW w:w="1624" w:type="pct"/>
                  <w:noWrap w:val="0"/>
                  <w:vAlign w:val="center"/>
                </w:tcPr>
                <w:p w14:paraId="0928B772">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项目不产生生产废水；上料和打包工序粉尘经2个集气罩收集</w:t>
                  </w:r>
                  <w:r>
                    <w:rPr>
                      <w:rFonts w:hint="eastAsia" w:cs="Times New Roman"/>
                      <w:b w:val="0"/>
                      <w:bC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破碎粉尘经管道收集后，最终汇入一根主管道，经布袋除尘器处理后通过</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根</w:t>
                  </w:r>
                  <w:r>
                    <w:rPr>
                      <w:rFonts w:hint="eastAsia" w:cs="Times New Roman"/>
                      <w:b w:val="0"/>
                      <w:bCs w:val="0"/>
                      <w:color w:val="000000" w:themeColor="text1"/>
                      <w:sz w:val="21"/>
                      <w:szCs w:val="21"/>
                      <w:highlight w:val="none"/>
                      <w:lang w:val="en-US" w:eastAsia="zh-CN"/>
                      <w14:textFill>
                        <w14:solidFill>
                          <w14:schemeClr w14:val="tx1"/>
                        </w14:solidFill>
                      </w14:textFill>
                    </w:rPr>
                    <w:t>18</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m</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高排气筒排放。产生的颗粒物经处理后排放量较小。</w:t>
                  </w:r>
                </w:p>
              </w:tc>
              <w:tc>
                <w:tcPr>
                  <w:tcW w:w="279" w:type="pct"/>
                  <w:noWrap w:val="0"/>
                  <w:vAlign w:val="center"/>
                </w:tcPr>
                <w:p w14:paraId="2336E690">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bookmarkEnd w:id="4"/>
          </w:tbl>
          <w:p w14:paraId="32888C72">
            <w:pPr>
              <w:pStyle w:val="12"/>
              <w:rPr>
                <w:rFonts w:hint="default" w:ascii="Times New Roman" w:hAnsi="Times New Roman" w:cs="Times New Roman"/>
                <w:color w:val="000000" w:themeColor="text1"/>
                <w:highlight w:val="none"/>
                <w:lang w:val="en-US" w:eastAsia="zh-CN"/>
                <w14:textFill>
                  <w14:solidFill>
                    <w14:schemeClr w14:val="tx1"/>
                  </w14:solidFill>
                </w14:textFill>
              </w:rPr>
            </w:pPr>
          </w:p>
        </w:tc>
      </w:tr>
      <w:tr w14:paraId="6E192B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Before w:val="1"/>
          <w:wBefore w:w="3" w:type="dxa"/>
          <w:trHeight w:val="1021" w:hRule="atLeast"/>
          <w:jc w:val="center"/>
        </w:trPr>
        <w:tc>
          <w:tcPr>
            <w:tcW w:w="706" w:type="dxa"/>
            <w:noWrap w:val="0"/>
            <w:vAlign w:val="center"/>
          </w:tcPr>
          <w:p w14:paraId="361E3240">
            <w:pPr>
              <w:autoSpaceDE w:val="0"/>
              <w:autoSpaceDN w:val="0"/>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其他</w:t>
            </w:r>
          </w:p>
          <w:p w14:paraId="4BBF5D71">
            <w:pPr>
              <w:autoSpaceDE w:val="0"/>
              <w:autoSpaceDN w:val="0"/>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符合性分析</w:t>
            </w:r>
          </w:p>
        </w:tc>
        <w:tc>
          <w:tcPr>
            <w:tcW w:w="8164" w:type="dxa"/>
            <w:gridSpan w:val="5"/>
            <w:noWrap w:val="0"/>
            <w:vAlign w:val="center"/>
          </w:tcPr>
          <w:p w14:paraId="7A57287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1、</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产业政策符合性分析</w:t>
            </w:r>
          </w:p>
          <w:p w14:paraId="33C60C5E">
            <w:pPr>
              <w:numPr>
                <w:ilvl w:val="0"/>
                <w:numId w:val="0"/>
              </w:numPr>
              <w:spacing w:line="360" w:lineRule="auto"/>
              <w:ind w:firstLine="480" w:firstLineChars="200"/>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根据《产业结构调整指导目录（2024年本）》，本项目属于其中规定</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鼓励类</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”的“</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四十二、环境保护与资源节约综合利用</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8</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废弃物循环利用</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”，符合国家相关产业政策的要求；</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经查阅，本项目不属于《市场准入负面清单（2025年版）》中禁止或许可准入类。</w:t>
            </w:r>
          </w:p>
          <w:p w14:paraId="05A00965">
            <w:pPr>
              <w:numPr>
                <w:ilvl w:val="0"/>
                <w:numId w:val="0"/>
              </w:numPr>
              <w:spacing w:line="360" w:lineRule="auto"/>
              <w:ind w:firstLine="480" w:firstLineChars="200"/>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本项目已取得陕西省西咸新区泾河新城管理委员会备案确认书（项目代码：</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2507-611206-04-05-601479</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），见附件2。</w:t>
            </w:r>
          </w:p>
          <w:p w14:paraId="4AC3362B">
            <w:pPr>
              <w:numPr>
                <w:ilvl w:val="0"/>
                <w:numId w:val="0"/>
              </w:numPr>
              <w:spacing w:line="360" w:lineRule="auto"/>
              <w:ind w:firstLine="480" w:firstLineChars="200"/>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因此，本项目符合相关产业政策。</w:t>
            </w:r>
          </w:p>
          <w:p w14:paraId="3086685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“三线一单”符合性分析</w:t>
            </w:r>
          </w:p>
          <w:p w14:paraId="7E5385D3">
            <w:pPr>
              <w:pStyle w:val="41"/>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4"/>
                <w:szCs w:val="24"/>
                <w:highlight w:val="none"/>
                <w:lang w:val="en-US" w:eastAsia="zh-CN" w:bidi="ar-SA"/>
                <w14:textFill>
                  <w14:solidFill>
                    <w14:schemeClr w14:val="tx1"/>
                  </w14:solidFill>
                </w14:textFill>
              </w:rPr>
              <w:t>本项目</w:t>
            </w:r>
            <w:r>
              <w:rPr>
                <w:rFonts w:hint="eastAsia" w:ascii="Times New Roman" w:hAnsi="Times New Roman" w:eastAsia="宋体" w:cs="Times New Roman"/>
                <w:b w:val="0"/>
                <w:bCs w:val="0"/>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4"/>
                <w:szCs w:val="24"/>
                <w:highlight w:val="none"/>
                <w:lang w:val="en-US" w:eastAsia="zh-CN" w:bidi="ar-SA"/>
                <w14:textFill>
                  <w14:solidFill>
                    <w14:schemeClr w14:val="tx1"/>
                  </w14:solidFill>
                </w14:textFill>
              </w:rPr>
              <w:t>三线一单</w:t>
            </w:r>
            <w:r>
              <w:rPr>
                <w:rFonts w:hint="eastAsia" w:ascii="Times New Roman" w:hAnsi="Times New Roman" w:eastAsia="宋体" w:cs="Times New Roman"/>
                <w:b w:val="0"/>
                <w:bCs w:val="0"/>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4"/>
                <w:szCs w:val="24"/>
                <w:highlight w:val="none"/>
                <w:lang w:val="en-US" w:eastAsia="zh-CN" w:bidi="ar-SA"/>
                <w14:textFill>
                  <w14:solidFill>
                    <w14:schemeClr w14:val="tx1"/>
                  </w14:solidFill>
                </w14:textFill>
              </w:rPr>
              <w:t>符合性分析见表1-2。</w:t>
            </w:r>
          </w:p>
          <w:p w14:paraId="53740D1E">
            <w:pPr>
              <w:pStyle w:val="3"/>
              <w:spacing w:line="240" w:lineRule="auto"/>
              <w:jc w:val="center"/>
              <w:rPr>
                <w:rFonts w:hint="default"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t>表1-2</w:t>
            </w:r>
            <w:r>
              <w:rPr>
                <w:rFonts w:hint="eastAsia" w:cs="Times New Roman"/>
                <w:b/>
                <w:bCs/>
                <w:color w:val="000000" w:themeColor="text1"/>
                <w:kern w:val="0"/>
                <w:sz w:val="21"/>
                <w:szCs w:val="21"/>
                <w:highlight w:val="none"/>
                <w:lang w:val="en-US" w:eastAsia="zh-CN" w:bidi="ar"/>
                <w14:textFill>
                  <w14:solidFill>
                    <w14:schemeClr w14:val="tx1"/>
                  </w14:solidFill>
                </w14:textFill>
              </w:rPr>
              <w:t xml:space="preserve"> </w:t>
            </w:r>
            <w:r>
              <w:rPr>
                <w:rFonts w:hint="default"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t>本项目与</w:t>
            </w:r>
            <w:r>
              <w:rPr>
                <w:rFonts w:hint="default" w:ascii="Times New Roman" w:hAnsi="Times New Roman" w:eastAsia="宋体" w:cs="Times New Roman"/>
                <w:b/>
                <w:bCs/>
                <w:color w:val="000000" w:themeColor="text1"/>
                <w:kern w:val="0"/>
                <w:sz w:val="21"/>
                <w:szCs w:val="21"/>
                <w:highlight w:val="none"/>
                <w:lang w:val="en-GB" w:eastAsia="zh-CN" w:bidi="ar"/>
                <w14:textFill>
                  <w14:solidFill>
                    <w14:schemeClr w14:val="tx1"/>
                  </w14:solidFill>
                </w14:textFill>
              </w:rPr>
              <w:t>“三线一单”</w:t>
            </w:r>
            <w:r>
              <w:rPr>
                <w:rFonts w:hint="default"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t>的符合性</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6221"/>
              <w:gridCol w:w="737"/>
            </w:tblGrid>
            <w:tr w14:paraId="1221D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1EB08DA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“三线</w:t>
                  </w:r>
                </w:p>
                <w:p w14:paraId="20D0FEFB">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一单”</w:t>
                  </w:r>
                </w:p>
              </w:tc>
              <w:tc>
                <w:tcPr>
                  <w:tcW w:w="3919" w:type="pct"/>
                  <w:noWrap w:val="0"/>
                  <w:vAlign w:val="center"/>
                </w:tcPr>
                <w:p w14:paraId="43A640C7">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符合性分析</w:t>
                  </w:r>
                </w:p>
              </w:tc>
              <w:tc>
                <w:tcPr>
                  <w:tcW w:w="464" w:type="pct"/>
                  <w:noWrap w:val="0"/>
                  <w:vAlign w:val="center"/>
                </w:tcPr>
                <w:p w14:paraId="5CCD95BF">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符合性</w:t>
                  </w:r>
                </w:p>
              </w:tc>
            </w:tr>
            <w:tr w14:paraId="144B7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322867FF">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生态保护红线</w:t>
                  </w:r>
                </w:p>
              </w:tc>
              <w:tc>
                <w:tcPr>
                  <w:tcW w:w="3919" w:type="pct"/>
                  <w:noWrap w:val="0"/>
                  <w:vAlign w:val="center"/>
                </w:tcPr>
                <w:p w14:paraId="1970E0D6">
                  <w:pPr>
                    <w:keepNext w:val="0"/>
                    <w:keepLines w:val="0"/>
                    <w:pageBreakBefore w:val="0"/>
                    <w:widowControl w:val="0"/>
                    <w:kinsoku/>
                    <w:wordWrap/>
                    <w:overflowPunct/>
                    <w:topLinePunct w:val="0"/>
                    <w:autoSpaceDE/>
                    <w:autoSpaceDN/>
                    <w:bidi w:val="0"/>
                    <w:spacing w:line="264" w:lineRule="auto"/>
                    <w:jc w:val="left"/>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项目位于</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陕西省西咸新区泾河新城</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永乐工业园</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项目地附近无自然保护区、风景名胜区、湿地、饮用水源地等各类保护区，项目</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地</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不在生态保护红线范围内。</w:t>
                  </w:r>
                </w:p>
              </w:tc>
              <w:tc>
                <w:tcPr>
                  <w:tcW w:w="464" w:type="pct"/>
                  <w:noWrap w:val="0"/>
                  <w:vAlign w:val="center"/>
                </w:tcPr>
                <w:p w14:paraId="2E9021A9">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符合</w:t>
                  </w:r>
                </w:p>
              </w:tc>
            </w:tr>
            <w:tr w14:paraId="315DE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7B98CCEA">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环境质量底线</w:t>
                  </w:r>
                </w:p>
              </w:tc>
              <w:tc>
                <w:tcPr>
                  <w:tcW w:w="3919" w:type="pct"/>
                  <w:noWrap w:val="0"/>
                  <w:vAlign w:val="center"/>
                </w:tcPr>
                <w:p w14:paraId="165D807A">
                  <w:pPr>
                    <w:keepNext w:val="0"/>
                    <w:keepLines w:val="0"/>
                    <w:pageBreakBefore w:val="0"/>
                    <w:widowControl w:val="0"/>
                    <w:kinsoku/>
                    <w:wordWrap/>
                    <w:overflowPunct/>
                    <w:topLinePunct w:val="0"/>
                    <w:autoSpaceDE/>
                    <w:autoSpaceDN/>
                    <w:bidi w:val="0"/>
                    <w:spacing w:line="264" w:lineRule="auto"/>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根据《202</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1"/>
                      <w:szCs w:val="21"/>
                      <w:highlight w:val="none"/>
                      <w14:textFill>
                        <w14:solidFill>
                          <w14:schemeClr w14:val="tx1"/>
                        </w14:solidFill>
                      </w14:textFill>
                    </w:rPr>
                    <w:t>年12月及1~12月全省环境空气质量状况环保快报》，本项目所在区域SO</w:t>
                  </w:r>
                  <w:r>
                    <w:rPr>
                      <w:rFonts w:hint="default" w:ascii="Times New Roman" w:hAnsi="Times New Roman"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cs="Times New Roman"/>
                      <w:color w:val="000000" w:themeColor="text1"/>
                      <w:kern w:val="0"/>
                      <w:sz w:val="21"/>
                      <w:szCs w:val="21"/>
                      <w:highlight w:val="none"/>
                      <w14:textFill>
                        <w14:solidFill>
                          <w14:schemeClr w14:val="tx1"/>
                        </w14:solidFill>
                      </w14:textFill>
                    </w:rPr>
                    <w:t>年平均质量浓度、CO</w:t>
                  </w:r>
                  <w:r>
                    <w:rPr>
                      <w:rFonts w:hint="eastAsia"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第95</w:t>
                  </w: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位百分浓度</w:t>
                  </w:r>
                  <w:r>
                    <w:rPr>
                      <w:rFonts w:hint="default" w:ascii="Times New Roman" w:hAnsi="Times New Roman" w:cs="Times New Roman"/>
                      <w:color w:val="000000" w:themeColor="text1"/>
                      <w:kern w:val="0"/>
                      <w:sz w:val="21"/>
                      <w:szCs w:val="21"/>
                      <w:highlight w:val="none"/>
                      <w14:textFill>
                        <w14:solidFill>
                          <w14:schemeClr w14:val="tx1"/>
                        </w14:solidFill>
                      </w14:textFill>
                    </w:rPr>
                    <w:t>24小时平均浓度、NO</w:t>
                  </w:r>
                  <w:r>
                    <w:rPr>
                      <w:rFonts w:hint="default" w:ascii="Times New Roman" w:hAnsi="Times New Roman"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cs="Times New Roman"/>
                      <w:color w:val="000000" w:themeColor="text1"/>
                      <w:kern w:val="0"/>
                      <w:sz w:val="21"/>
                      <w:szCs w:val="21"/>
                      <w:highlight w:val="none"/>
                      <w14:textFill>
                        <w14:solidFill>
                          <w14:schemeClr w14:val="tx1"/>
                        </w14:solidFill>
                      </w14:textFill>
                    </w:rPr>
                    <w:t>年平均质量浓度达到《环境空气质量标准》（GB3095-2012）二级标准要求，PM</w:t>
                  </w:r>
                  <w:r>
                    <w:rPr>
                      <w:rFonts w:hint="default" w:ascii="Times New Roman" w:hAnsi="Times New Roman" w:cs="Times New Roman"/>
                      <w:color w:val="000000" w:themeColor="text1"/>
                      <w:kern w:val="0"/>
                      <w:sz w:val="21"/>
                      <w:szCs w:val="21"/>
                      <w:highlight w:val="none"/>
                      <w:vertAlign w:val="subscript"/>
                      <w14:textFill>
                        <w14:solidFill>
                          <w14:schemeClr w14:val="tx1"/>
                        </w14:solidFill>
                      </w14:textFill>
                    </w:rPr>
                    <w:t>2.5</w:t>
                  </w:r>
                  <w:r>
                    <w:rPr>
                      <w:rFonts w:hint="default" w:ascii="Times New Roman" w:hAnsi="Times New Roman" w:cs="Times New Roman"/>
                      <w:color w:val="000000" w:themeColor="text1"/>
                      <w:kern w:val="0"/>
                      <w:sz w:val="21"/>
                      <w:szCs w:val="21"/>
                      <w:highlight w:val="none"/>
                      <w14:textFill>
                        <w14:solidFill>
                          <w14:schemeClr w14:val="tx1"/>
                        </w14:solidFill>
                      </w14:textFill>
                    </w:rPr>
                    <w:t>年平均质量浓度、PM</w:t>
                  </w:r>
                  <w:r>
                    <w:rPr>
                      <w:rFonts w:hint="default" w:ascii="Times New Roman" w:hAnsi="Times New Roman" w:cs="Times New Roman"/>
                      <w:color w:val="000000" w:themeColor="text1"/>
                      <w:kern w:val="0"/>
                      <w:sz w:val="21"/>
                      <w:szCs w:val="21"/>
                      <w:highlight w:val="none"/>
                      <w:vertAlign w:val="subscript"/>
                      <w14:textFill>
                        <w14:solidFill>
                          <w14:schemeClr w14:val="tx1"/>
                        </w14:solidFill>
                      </w14:textFill>
                    </w:rPr>
                    <w:t>10</w:t>
                  </w:r>
                  <w:r>
                    <w:rPr>
                      <w:rFonts w:hint="default" w:ascii="Times New Roman" w:hAnsi="Times New Roman" w:cs="Times New Roman"/>
                      <w:color w:val="000000" w:themeColor="text1"/>
                      <w:kern w:val="0"/>
                      <w:sz w:val="21"/>
                      <w:szCs w:val="21"/>
                      <w:highlight w:val="none"/>
                      <w14:textFill>
                        <w14:solidFill>
                          <w14:schemeClr w14:val="tx1"/>
                        </w14:solidFill>
                      </w14:textFill>
                    </w:rPr>
                    <w:t>年平均质量浓度、O</w:t>
                  </w:r>
                  <w:r>
                    <w:rPr>
                      <w:rFonts w:hint="default" w:ascii="Times New Roman" w:hAnsi="Times New Roman" w:cs="Times New Roman"/>
                      <w:color w:val="000000" w:themeColor="text1"/>
                      <w:kern w:val="0"/>
                      <w:sz w:val="21"/>
                      <w:szCs w:val="21"/>
                      <w:highlight w:val="none"/>
                      <w:vertAlign w:val="subscript"/>
                      <w14:textFill>
                        <w14:solidFill>
                          <w14:schemeClr w14:val="tx1"/>
                        </w14:solidFill>
                      </w14:textFill>
                    </w:rPr>
                    <w:t>3</w:t>
                  </w:r>
                  <w:r>
                    <w:rPr>
                      <w:rFonts w:hint="eastAsia"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第90</w:t>
                  </w: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位百分浓度</w:t>
                  </w:r>
                  <w:r>
                    <w:rPr>
                      <w:rFonts w:hint="default" w:ascii="Times New Roman" w:hAnsi="Times New Roman" w:cs="Times New Roman"/>
                      <w:color w:val="000000" w:themeColor="text1"/>
                      <w:kern w:val="0"/>
                      <w:sz w:val="21"/>
                      <w:szCs w:val="21"/>
                      <w:highlight w:val="none"/>
                      <w14:textFill>
                        <w14:solidFill>
                          <w14:schemeClr w14:val="tx1"/>
                        </w14:solidFill>
                      </w14:textFill>
                    </w:rPr>
                    <w:t>8小时平均浓度超过《环境空气质量标准》（GB3095-2012）二级标准要求</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因此，本项目所在评价区域为</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不</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达标区。</w:t>
                  </w:r>
                  <w:r>
                    <w:rPr>
                      <w:rFonts w:hint="default" w:ascii="Times New Roman" w:hAnsi="Times New Roman" w:cs="Times New Roman"/>
                      <w:color w:val="000000" w:themeColor="text1"/>
                      <w:kern w:val="0"/>
                      <w:sz w:val="21"/>
                      <w:szCs w:val="21"/>
                      <w:highlight w:val="none"/>
                      <w14:textFill>
                        <w14:solidFill>
                          <w14:schemeClr w14:val="tx1"/>
                        </w14:solidFill>
                      </w14:textFill>
                    </w:rPr>
                    <w:t>本项目运营期在采取各项环境保护措施后，不会突破区域环境质量底线。</w:t>
                  </w:r>
                </w:p>
              </w:tc>
              <w:tc>
                <w:tcPr>
                  <w:tcW w:w="464" w:type="pct"/>
                  <w:noWrap w:val="0"/>
                  <w:vAlign w:val="center"/>
                </w:tcPr>
                <w:p w14:paraId="22B89C62">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符合</w:t>
                  </w:r>
                </w:p>
              </w:tc>
            </w:tr>
            <w:tr w14:paraId="41031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7477CFFC">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资源利用上线</w:t>
                  </w:r>
                </w:p>
              </w:tc>
              <w:tc>
                <w:tcPr>
                  <w:tcW w:w="3919" w:type="pct"/>
                  <w:noWrap w:val="0"/>
                  <w:vAlign w:val="center"/>
                </w:tcPr>
                <w:p w14:paraId="3DE53E48">
                  <w:pPr>
                    <w:keepNext w:val="0"/>
                    <w:keepLines w:val="0"/>
                    <w:pageBreakBefore w:val="0"/>
                    <w:widowControl w:val="0"/>
                    <w:kinsoku/>
                    <w:wordWrap/>
                    <w:overflowPunct/>
                    <w:topLinePunct w:val="0"/>
                    <w:autoSpaceDE/>
                    <w:autoSpaceDN/>
                    <w:bidi w:val="0"/>
                    <w:adjustRightInd w:val="0"/>
                    <w:snapToGrid w:val="0"/>
                    <w:spacing w:line="264" w:lineRule="auto"/>
                    <w:jc w:val="left"/>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本项目主要能耗为水、电，项目所在区域电能和水资源供应充足。项目资源利用量相对区域资源利用总量占比较小，通过内部管理、设备选择、原材料的选用及管理、污染治理等多方面采取合理可行的措施，以</w:t>
                  </w:r>
                  <w:r>
                    <w:rPr>
                      <w:rFonts w:hint="eastAsia"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节能、降耗、减污</w:t>
                  </w:r>
                  <w:r>
                    <w:rPr>
                      <w:rFonts w:hint="eastAsia"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为目标，有效控制污染，不触及资源利用上线。</w:t>
                  </w:r>
                </w:p>
              </w:tc>
              <w:tc>
                <w:tcPr>
                  <w:tcW w:w="464" w:type="pct"/>
                  <w:noWrap w:val="0"/>
                  <w:vAlign w:val="center"/>
                </w:tcPr>
                <w:p w14:paraId="44FE2C5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符合</w:t>
                  </w:r>
                </w:p>
              </w:tc>
            </w:tr>
            <w:tr w14:paraId="26FCF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noWrap w:val="0"/>
                  <w:vAlign w:val="center"/>
                </w:tcPr>
                <w:p w14:paraId="778086F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环境准入负面清单</w:t>
                  </w:r>
                </w:p>
              </w:tc>
              <w:tc>
                <w:tcPr>
                  <w:tcW w:w="3919" w:type="pct"/>
                  <w:noWrap w:val="0"/>
                  <w:vAlign w:val="center"/>
                </w:tcPr>
                <w:p w14:paraId="53BF63E6">
                  <w:pPr>
                    <w:keepNext w:val="0"/>
                    <w:keepLines w:val="0"/>
                    <w:pageBreakBefore w:val="0"/>
                    <w:widowControl w:val="0"/>
                    <w:kinsoku/>
                    <w:wordWrap/>
                    <w:overflowPunct/>
                    <w:topLinePunct w:val="0"/>
                    <w:autoSpaceDE/>
                    <w:autoSpaceDN/>
                    <w:bidi w:val="0"/>
                    <w:spacing w:line="264" w:lineRule="auto"/>
                    <w:jc w:val="left"/>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项目不属于</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《产业结构调整指导目录（2024年本）》中规定的鼓励类，限制类和淘汰类项目；经查阅，本项目不属于《市场准入负面清单（2025年版）》中禁止或许可准入类</w:t>
                  </w:r>
                  <w:r>
                    <w:rPr>
                      <w:rFonts w:hint="default" w:ascii="Times New Roman" w:hAnsi="Times New Roman" w:eastAsia="宋体" w:cs="Times New Roman"/>
                      <w:color w:val="000000" w:themeColor="text1"/>
                      <w:sz w:val="21"/>
                      <w:szCs w:val="21"/>
                      <w:highlight w:val="none"/>
                      <w14:textFill>
                        <w14:solidFill>
                          <w14:schemeClr w14:val="tx1"/>
                        </w14:solidFill>
                      </w14:textFill>
                    </w:rPr>
                    <w:t>。项目</w:t>
                  </w:r>
                  <w:r>
                    <w:rPr>
                      <w:rFonts w:hint="default" w:ascii="Times New Roman" w:hAnsi="Times New Roman" w:cs="Times New Roman"/>
                      <w:color w:val="000000" w:themeColor="text1"/>
                      <w:sz w:val="21"/>
                      <w:szCs w:val="21"/>
                      <w:highlight w:val="none"/>
                      <w14:textFill>
                        <w14:solidFill>
                          <w14:schemeClr w14:val="tx1"/>
                        </w14:solidFill>
                      </w14:textFill>
                    </w:rPr>
                    <w:t>所在地不在《陕西省国家重点生态功能区产业准入负面清单</w:t>
                  </w:r>
                  <w:r>
                    <w:rPr>
                      <w:rFonts w:hint="eastAsia"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试行</w:t>
                  </w:r>
                  <w:r>
                    <w:rPr>
                      <w:rFonts w:hint="eastAsia"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464" w:type="pct"/>
                  <w:noWrap w:val="0"/>
                  <w:vAlign w:val="center"/>
                </w:tcPr>
                <w:p w14:paraId="6DBC4200">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符合</w:t>
                  </w:r>
                </w:p>
              </w:tc>
            </w:tr>
          </w:tbl>
          <w:p w14:paraId="309CE2E8">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根据</w:t>
            </w:r>
            <w:r>
              <w:rPr>
                <w:rFonts w:hint="eastAsia"/>
                <w:color w:val="000000" w:themeColor="text1"/>
                <w:sz w:val="24"/>
                <w:highlight w:val="none"/>
                <w14:textFill>
                  <w14:solidFill>
                    <w14:schemeClr w14:val="tx1"/>
                  </w14:solidFill>
                </w14:textFill>
              </w:rPr>
              <w:t>《2023年陕西省生态环境分区管控成果动态更新实施方案》及《陕西省“</w:t>
            </w:r>
            <w:r>
              <w:rPr>
                <w:color w:val="000000" w:themeColor="text1"/>
                <w:sz w:val="24"/>
                <w:highlight w:val="none"/>
                <w14:textFill>
                  <w14:solidFill>
                    <w14:schemeClr w14:val="tx1"/>
                  </w14:solidFill>
                </w14:textFill>
              </w:rPr>
              <w:t>三线一单</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生态环境分区管控</w:t>
            </w:r>
            <w:r>
              <w:rPr>
                <w:rFonts w:hint="eastAsia"/>
                <w:color w:val="000000" w:themeColor="text1"/>
                <w:sz w:val="24"/>
                <w:highlight w:val="none"/>
                <w14:textFill>
                  <w14:solidFill>
                    <w14:schemeClr w14:val="tx1"/>
                  </w14:solidFill>
                </w14:textFill>
              </w:rPr>
              <w:t>应用技术指南：环境影响评价（试行）》</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，环评文件涉及</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三线一单</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生态环境分区管控符合性分析采取</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一图一表一说明</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的表达方式，对照分析结果，论证建设项目的符合性。</w:t>
            </w:r>
          </w:p>
          <w:p w14:paraId="45AE71E3">
            <w:pPr>
              <w:numPr>
                <w:ilvl w:val="0"/>
                <w:numId w:val="0"/>
              </w:numPr>
              <w:spacing w:line="360" w:lineRule="auto"/>
              <w:ind w:firstLine="482" w:firstLineChars="20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（1）一图</w:t>
            </w:r>
          </w:p>
          <w:p w14:paraId="48713D84">
            <w:pPr>
              <w:numPr>
                <w:ilvl w:val="0"/>
                <w:numId w:val="0"/>
              </w:numPr>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根据西安市生态环境保护委员会办公室关于印发《</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2023年西安市生态环境分区管控调整方案</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》的通知（市生态委办发〔2024〕16号），本项目位于重点管控单元，本项目与陕西省</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三线一单</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生态环境管控单元对照</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见图1-1。</w:t>
            </w:r>
          </w:p>
          <w:p w14:paraId="3E95A5D1">
            <w:pPr>
              <w:pStyle w:val="24"/>
              <w:ind w:left="0" w:leftChars="0" w:firstLine="0" w:firstLineChars="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3822065" cy="5824220"/>
                  <wp:effectExtent l="0" t="0" r="6985" b="508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0"/>
                          <a:srcRect b="2305"/>
                          <a:stretch>
                            <a:fillRect/>
                          </a:stretch>
                        </pic:blipFill>
                        <pic:spPr>
                          <a:xfrm>
                            <a:off x="0" y="0"/>
                            <a:ext cx="3822065" cy="5824220"/>
                          </a:xfrm>
                          <a:prstGeom prst="rect">
                            <a:avLst/>
                          </a:prstGeom>
                          <a:noFill/>
                          <a:ln>
                            <a:noFill/>
                          </a:ln>
                        </pic:spPr>
                      </pic:pic>
                    </a:graphicData>
                  </a:graphic>
                </wp:inline>
              </w:drawing>
            </w:r>
          </w:p>
          <w:p w14:paraId="3B5DAD98">
            <w:pPr>
              <w:spacing w:line="240" w:lineRule="auto"/>
              <w:jc w:val="center"/>
              <w:rPr>
                <w:rFonts w:hint="default"/>
                <w:color w:val="000000" w:themeColor="text1"/>
                <w:highlight w:val="none"/>
                <w:lang w:val="en-US" w:eastAsia="zh-CN"/>
                <w14:textFill>
                  <w14:solidFill>
                    <w14:schemeClr w14:val="tx1"/>
                  </w14:solidFill>
                </w14:textFill>
              </w:rPr>
            </w:pPr>
            <w:r>
              <w:rPr>
                <w:rFonts w:hint="default" w:ascii="Times New Roman" w:hAnsi="Times New Roman" w:cs="Times New Roman"/>
                <w:b/>
                <w:bCs/>
                <w:color w:val="000000" w:themeColor="text1"/>
                <w:highlight w:val="none"/>
                <w:lang w:val="en-US" w:eastAsia="zh-CN"/>
                <w14:textFill>
                  <w14:solidFill>
                    <w14:schemeClr w14:val="tx1"/>
                  </w14:solidFill>
                </w14:textFill>
              </w:rPr>
              <w:t>图1-</w:t>
            </w:r>
            <w:r>
              <w:rPr>
                <w:rFonts w:hint="eastAsia" w:ascii="Times New Roman" w:hAnsi="Times New Roman" w:cs="Times New Roman"/>
                <w:b/>
                <w:bCs/>
                <w:color w:val="000000" w:themeColor="text1"/>
                <w:highlight w:val="none"/>
                <w:lang w:val="en-US" w:eastAsia="zh-CN"/>
                <w14:textFill>
                  <w14:solidFill>
                    <w14:schemeClr w14:val="tx1"/>
                  </w14:solidFill>
                </w14:textFill>
              </w:rPr>
              <w:t>1</w:t>
            </w:r>
            <w:r>
              <w:rPr>
                <w:rFonts w:hint="default" w:ascii="Times New Roman" w:hAnsi="Times New Roman" w:cs="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cs="Times New Roman"/>
                <w:b/>
                <w:bCs/>
                <w:color w:val="000000" w:themeColor="text1"/>
                <w:highlight w:val="none"/>
                <w:lang w:val="en-US" w:eastAsia="zh-CN"/>
                <w14:textFill>
                  <w14:solidFill>
                    <w14:schemeClr w14:val="tx1"/>
                  </w14:solidFill>
                </w14:textFill>
              </w:rPr>
              <w:t>本项目与</w:t>
            </w:r>
            <w:r>
              <w:rPr>
                <w:rFonts w:hint="default" w:ascii="Times New Roman" w:hAnsi="Times New Roman" w:cs="Times New Roman"/>
                <w:b/>
                <w:bCs/>
                <w:color w:val="000000" w:themeColor="text1"/>
                <w:highlight w:val="none"/>
                <w:lang w:val="en-US" w:eastAsia="zh-CN"/>
                <w14:textFill>
                  <w14:solidFill>
                    <w14:schemeClr w14:val="tx1"/>
                  </w14:solidFill>
                </w14:textFill>
              </w:rPr>
              <w:t>陕西省“三线一单”生态环境管控单元对照</w:t>
            </w:r>
            <w:r>
              <w:rPr>
                <w:rFonts w:hint="eastAsia" w:ascii="Times New Roman" w:hAnsi="Times New Roman" w:cs="Times New Roman"/>
                <w:b/>
                <w:bCs/>
                <w:color w:val="000000" w:themeColor="text1"/>
                <w:highlight w:val="none"/>
                <w:lang w:val="en-US" w:eastAsia="zh-CN"/>
                <w14:textFill>
                  <w14:solidFill>
                    <w14:schemeClr w14:val="tx1"/>
                  </w14:solidFill>
                </w14:textFill>
              </w:rPr>
              <w:t>图</w:t>
            </w:r>
          </w:p>
        </w:tc>
      </w:tr>
    </w:tbl>
    <w:p w14:paraId="6D370080">
      <w:pPr>
        <w:rPr>
          <w:color w:val="000000" w:themeColor="text1"/>
          <w:highlight w:val="none"/>
          <w14:textFill>
            <w14:solidFill>
              <w14:schemeClr w14:val="tx1"/>
            </w14:solidFill>
          </w14:textFill>
        </w:rPr>
        <w:sectPr>
          <w:footerReference r:id="rId6" w:type="default"/>
          <w:pgSz w:w="11906" w:h="16838"/>
          <w:pgMar w:top="1701" w:right="1531" w:bottom="1701" w:left="1531" w:header="851" w:footer="1077" w:gutter="0"/>
          <w:pgNumType w:fmt="decimal" w:start="1"/>
          <w:cols w:space="720" w:num="1"/>
          <w:docGrid w:linePitch="312" w:charSpace="0"/>
        </w:sectPr>
      </w:pPr>
    </w:p>
    <w:p w14:paraId="5A00B0A4">
      <w:pPr>
        <w:numPr>
          <w:ilvl w:val="0"/>
          <w:numId w:val="2"/>
        </w:numPr>
        <w:spacing w:line="360" w:lineRule="auto"/>
        <w:ind w:firstLine="482" w:firstLineChars="20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一表</w:t>
      </w:r>
    </w:p>
    <w:p w14:paraId="4DA48BF1">
      <w:pPr>
        <w:pStyle w:val="12"/>
        <w:numPr>
          <w:ilvl w:val="0"/>
          <w:numId w:val="0"/>
        </w:numPr>
        <w:spacing w:line="360" w:lineRule="auto"/>
        <w:ind w:firstLine="480" w:firstLineChars="200"/>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根据《</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2023年西安市生态环境分区管控调整方案</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》（市生态委办发〔2024〕16号），本项目与西安市生态环境管控单元准入清单符合性分析见下表。</w:t>
      </w:r>
    </w:p>
    <w:p w14:paraId="7F233AAC">
      <w:pPr>
        <w:spacing w:line="240" w:lineRule="auto"/>
        <w:jc w:val="center"/>
        <w:outlineLvl w:val="9"/>
        <w:rPr>
          <w:rFonts w:hint="default"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pPr>
      <w:bookmarkStart w:id="5" w:name="_Toc28423"/>
      <w:r>
        <w:rPr>
          <w:rFonts w:hint="default"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t>表1-</w:t>
      </w:r>
      <w:r>
        <w:rPr>
          <w:rFonts w:hint="eastAsia"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t>3</w:t>
      </w:r>
      <w:r>
        <w:rPr>
          <w:rFonts w:hint="default" w:ascii="Times New Roman" w:hAnsi="Times New Roman" w:eastAsia="宋体" w:cs="Times New Roman"/>
          <w:b/>
          <w:bCs/>
          <w:color w:val="000000" w:themeColor="text1"/>
          <w:kern w:val="0"/>
          <w:sz w:val="21"/>
          <w:szCs w:val="21"/>
          <w:highlight w:val="none"/>
          <w:lang w:val="en-US" w:eastAsia="zh-CN" w:bidi="ar"/>
          <w14:textFill>
            <w14:solidFill>
              <w14:schemeClr w14:val="tx1"/>
            </w14:solidFill>
          </w14:textFill>
        </w:rPr>
        <w:t xml:space="preserve"> 本项目与西安市生态环境管控单元准入清单符合性分析</w:t>
      </w:r>
      <w:bookmarkEnd w:id="5"/>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784"/>
        <w:gridCol w:w="841"/>
        <w:gridCol w:w="7336"/>
        <w:gridCol w:w="885"/>
        <w:gridCol w:w="2053"/>
        <w:gridCol w:w="861"/>
      </w:tblGrid>
      <w:tr w14:paraId="32D77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4" w:type="pct"/>
            <w:noWrap w:val="0"/>
            <w:vAlign w:val="center"/>
          </w:tcPr>
          <w:p w14:paraId="2D6F11C0">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环境管控单元名称</w:t>
            </w:r>
          </w:p>
        </w:tc>
        <w:tc>
          <w:tcPr>
            <w:tcW w:w="287" w:type="pct"/>
            <w:noWrap w:val="0"/>
            <w:vAlign w:val="center"/>
          </w:tcPr>
          <w:p w14:paraId="6B7C11E2">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管控维度</w:t>
            </w:r>
          </w:p>
        </w:tc>
        <w:tc>
          <w:tcPr>
            <w:tcW w:w="2995" w:type="pct"/>
            <w:gridSpan w:val="2"/>
            <w:noWrap w:val="0"/>
            <w:vAlign w:val="center"/>
          </w:tcPr>
          <w:p w14:paraId="1117B68C">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管控要求</w:t>
            </w:r>
          </w:p>
        </w:tc>
        <w:tc>
          <w:tcPr>
            <w:tcW w:w="324" w:type="pct"/>
            <w:noWrap w:val="0"/>
            <w:vAlign w:val="center"/>
          </w:tcPr>
          <w:p w14:paraId="13E7DD3A">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面积</w:t>
            </w:r>
          </w:p>
          <w:p w14:paraId="3CF1CF1D">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/长度</w:t>
            </w:r>
          </w:p>
        </w:tc>
        <w:tc>
          <w:tcPr>
            <w:tcW w:w="752" w:type="pct"/>
            <w:noWrap w:val="0"/>
            <w:vAlign w:val="center"/>
          </w:tcPr>
          <w:p w14:paraId="03F76DCE">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本</w:t>
            </w:r>
            <w: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t>项目情况</w:t>
            </w:r>
          </w:p>
        </w:tc>
        <w:tc>
          <w:tcPr>
            <w:tcW w:w="315" w:type="pct"/>
            <w:noWrap w:val="0"/>
            <w:vAlign w:val="center"/>
          </w:tcPr>
          <w:p w14:paraId="07620423">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t>符合性</w:t>
            </w:r>
          </w:p>
        </w:tc>
      </w:tr>
      <w:tr w14:paraId="7AF68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4" w:type="pct"/>
            <w:vMerge w:val="restart"/>
            <w:noWrap w:val="0"/>
            <w:vAlign w:val="center"/>
          </w:tcPr>
          <w:p w14:paraId="6510EEF0">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陕西省咸阳市泾阳县重点管控单元11</w:t>
            </w:r>
          </w:p>
          <w:p w14:paraId="0BD7318B">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（西咸新区）</w:t>
            </w:r>
          </w:p>
          <w:p w14:paraId="0A49CC64">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p>
        </w:tc>
        <w:tc>
          <w:tcPr>
            <w:tcW w:w="287" w:type="pct"/>
            <w:vMerge w:val="restart"/>
            <w:noWrap w:val="0"/>
            <w:vAlign w:val="center"/>
          </w:tcPr>
          <w:p w14:paraId="06902486">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大气环境受体敏感重点管控区、</w:t>
            </w:r>
            <w:r>
              <w:rPr>
                <w:rFonts w:hint="default" w:ascii="Times New Roman" w:hAnsi="Times New Roman" w:eastAsia="宋体" w:cs="Times New Roman"/>
                <w:color w:val="000000" w:themeColor="text1"/>
                <w:sz w:val="21"/>
                <w:szCs w:val="21"/>
                <w:highlight w:val="none"/>
                <w14:textFill>
                  <w14:solidFill>
                    <w14:schemeClr w14:val="tx1"/>
                  </w14:solidFill>
                </w14:textFill>
              </w:rPr>
              <w:t>水环境城镇生活污染重点管控区</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高污染燃料禁燃重点</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管</w:t>
            </w:r>
            <w:r>
              <w:rPr>
                <w:rFonts w:hint="default" w:ascii="Times New Roman" w:hAnsi="Times New Roman" w:eastAsia="宋体" w:cs="Times New Roman"/>
                <w:color w:val="000000" w:themeColor="text1"/>
                <w:sz w:val="21"/>
                <w:szCs w:val="21"/>
                <w:highlight w:val="none"/>
                <w14:textFill>
                  <w14:solidFill>
                    <w14:schemeClr w14:val="tx1"/>
                  </w14:solidFill>
                </w14:textFill>
              </w:rPr>
              <w:t>控区</w:t>
            </w:r>
          </w:p>
        </w:tc>
        <w:tc>
          <w:tcPr>
            <w:tcW w:w="308" w:type="pct"/>
            <w:noWrap w:val="0"/>
            <w:vAlign w:val="center"/>
          </w:tcPr>
          <w:p w14:paraId="7A022603">
            <w:pPr>
              <w:keepNext w:val="0"/>
              <w:keepLines w:val="0"/>
              <w:pageBreakBefore w:val="0"/>
              <w:widowControl w:val="0"/>
              <w:kinsoku/>
              <w:wordWrap/>
              <w:overflowPunct/>
              <w:topLinePunct w:val="0"/>
              <w:bidi w:val="0"/>
              <w:spacing w:line="264"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空间约束要求</w:t>
            </w:r>
          </w:p>
        </w:tc>
        <w:tc>
          <w:tcPr>
            <w:tcW w:w="2687" w:type="pct"/>
            <w:noWrap w:val="0"/>
            <w:vAlign w:val="center"/>
          </w:tcPr>
          <w:p w14:paraId="58FD2846">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大气环境受体敏感重点管控区：</w:t>
            </w:r>
          </w:p>
          <w:p w14:paraId="0620C140">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1.严格控制新增《陕西省</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两高</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项目管理暂行目录》行业项目（民生等项目除外，后续对</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两高</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范围国家如有新规定的，从其规定）。</w:t>
            </w:r>
          </w:p>
          <w:p w14:paraId="643A6979">
            <w:pPr>
              <w:keepNext w:val="0"/>
              <w:keepLines w:val="0"/>
              <w:pageBreakBefore w:val="0"/>
              <w:widowControl w:val="0"/>
              <w:kinsoku/>
              <w:wordWrap/>
              <w:overflowPunct/>
              <w:topLinePunct w:val="0"/>
              <w:bidi w:val="0"/>
              <w:spacing w:line="264" w:lineRule="auto"/>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2.推动重污染企业搬迁入园或依法关闭。</w:t>
            </w:r>
          </w:p>
        </w:tc>
        <w:tc>
          <w:tcPr>
            <w:tcW w:w="324" w:type="pct"/>
            <w:vMerge w:val="restart"/>
            <w:noWrap w:val="0"/>
            <w:vAlign w:val="center"/>
          </w:tcPr>
          <w:p w14:paraId="239275ED">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3504</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2</w:t>
            </w:r>
          </w:p>
        </w:tc>
        <w:tc>
          <w:tcPr>
            <w:tcW w:w="752" w:type="pct"/>
            <w:noWrap w:val="0"/>
            <w:vAlign w:val="center"/>
          </w:tcPr>
          <w:p w14:paraId="7FCFD7CB">
            <w:pPr>
              <w:keepNext w:val="0"/>
              <w:keepLines w:val="0"/>
              <w:pageBreakBefore w:val="0"/>
              <w:widowControl w:val="0"/>
              <w:numPr>
                <w:ilvl w:val="0"/>
                <w:numId w:val="0"/>
              </w:numPr>
              <w:kinsoku/>
              <w:wordWrap/>
              <w:overflowPunct/>
              <w:topLinePunct w:val="0"/>
              <w:autoSpaceDE w:val="0"/>
              <w:autoSpaceDN w:val="0"/>
              <w:bidi w:val="0"/>
              <w:spacing w:line="264" w:lineRule="auto"/>
              <w:jc w:val="both"/>
              <w:textAlignment w:val="auto"/>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highlight w:val="none"/>
                <w14:textFill>
                  <w14:solidFill>
                    <w14:schemeClr w14:val="tx1"/>
                  </w14:solidFill>
                </w14:textFill>
              </w:rPr>
              <w:t>本项目为</w:t>
            </w: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固体废物治理项目</w:t>
            </w:r>
            <w:r>
              <w:rPr>
                <w:rFonts w:hint="default" w:ascii="Times New Roman" w:hAnsi="Times New Roman" w:eastAsia="宋体" w:cs="Times New Roman"/>
                <w:color w:val="000000" w:themeColor="text1"/>
                <w:kern w:val="0"/>
                <w:szCs w:val="21"/>
                <w:highlight w:val="none"/>
                <w14:textFill>
                  <w14:solidFill>
                    <w14:schemeClr w14:val="tx1"/>
                  </w14:solidFill>
                </w14:textFill>
              </w:rPr>
              <w:t>，不属于禁止类项目</w:t>
            </w:r>
            <w: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t>；</w:t>
            </w:r>
          </w:p>
          <w:p w14:paraId="204A22D9">
            <w:pPr>
              <w:keepNext w:val="0"/>
              <w:keepLines w:val="0"/>
              <w:pageBreakBefore w:val="0"/>
              <w:widowControl w:val="0"/>
              <w:kinsoku/>
              <w:wordWrap/>
              <w:overflowPunct/>
              <w:topLinePunct w:val="0"/>
              <w:autoSpaceDE w:val="0"/>
              <w:autoSpaceDN w:val="0"/>
              <w:bidi w:val="0"/>
              <w:adjustRightInd w:val="0"/>
              <w:snapToGrid w:val="0"/>
              <w:spacing w:line="264" w:lineRule="auto"/>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kern w:val="0"/>
                <w:szCs w:val="21"/>
                <w:highlight w:val="none"/>
                <w14:textFill>
                  <w14:solidFill>
                    <w14:schemeClr w14:val="tx1"/>
                  </w14:solidFill>
                </w14:textFill>
              </w:rPr>
              <w:t>本项目不属于</w:t>
            </w: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重污染企业。</w:t>
            </w:r>
          </w:p>
        </w:tc>
        <w:tc>
          <w:tcPr>
            <w:tcW w:w="315" w:type="pct"/>
            <w:noWrap w:val="0"/>
            <w:vAlign w:val="center"/>
          </w:tcPr>
          <w:p w14:paraId="1C883F77">
            <w:pPr>
              <w:keepNext w:val="0"/>
              <w:keepLines w:val="0"/>
              <w:pageBreakBefore w:val="0"/>
              <w:widowControl w:val="0"/>
              <w:kinsoku/>
              <w:wordWrap/>
              <w:overflowPunct/>
              <w:topLinePunct w:val="0"/>
              <w:autoSpaceDE w:val="0"/>
              <w:autoSpaceDN w:val="0"/>
              <w:bidi w:val="0"/>
              <w:adjustRightInd w:val="0"/>
              <w:snapToGrid w:val="0"/>
              <w:spacing w:line="264" w:lineRule="auto"/>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符合</w:t>
            </w:r>
          </w:p>
        </w:tc>
      </w:tr>
      <w:tr w14:paraId="49DB8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4" w:type="pct"/>
            <w:vMerge w:val="continue"/>
            <w:noWrap w:val="0"/>
            <w:vAlign w:val="center"/>
          </w:tcPr>
          <w:p w14:paraId="70B35F5E">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87" w:type="pct"/>
            <w:vMerge w:val="continue"/>
            <w:noWrap w:val="0"/>
            <w:vAlign w:val="center"/>
          </w:tcPr>
          <w:p w14:paraId="1D2123A9">
            <w:pPr>
              <w:pStyle w:val="51"/>
              <w:keepNext w:val="0"/>
              <w:keepLines w:val="0"/>
              <w:pageBreakBefore w:val="0"/>
              <w:widowControl w:val="0"/>
              <w:tabs>
                <w:tab w:val="left" w:pos="265"/>
              </w:tabs>
              <w:kinsoku/>
              <w:wordWrap/>
              <w:overflowPunct/>
              <w:topLinePunct w:val="0"/>
              <w:autoSpaceDE w:val="0"/>
              <w:autoSpaceDN w:val="0"/>
              <w:bidi w:val="0"/>
              <w:spacing w:beforeLines="0" w:line="264" w:lineRule="auto"/>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308" w:type="pct"/>
            <w:noWrap w:val="0"/>
            <w:vAlign w:val="center"/>
          </w:tcPr>
          <w:p w14:paraId="146F6F9E">
            <w:pPr>
              <w:keepNext w:val="0"/>
              <w:keepLines w:val="0"/>
              <w:pageBreakBefore w:val="0"/>
              <w:widowControl w:val="0"/>
              <w:tabs>
                <w:tab w:val="left" w:pos="265"/>
              </w:tabs>
              <w:kinsoku/>
              <w:wordWrap/>
              <w:overflowPunct/>
              <w:topLinePunct w:val="0"/>
              <w:autoSpaceDE w:val="0"/>
              <w:autoSpaceDN w:val="0"/>
              <w:bidi w:val="0"/>
              <w:spacing w:line="264"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污染物排放管控</w:t>
            </w:r>
          </w:p>
        </w:tc>
        <w:tc>
          <w:tcPr>
            <w:tcW w:w="2687" w:type="pct"/>
            <w:noWrap w:val="0"/>
            <w:vAlign w:val="center"/>
          </w:tcPr>
          <w:p w14:paraId="0726F01C">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大气环境受体敏感重点管控区：1.城市建成区产生油烟的餐饮服务单位全部安装油烟净化装置并保持正常运行和定期维护。2.持续因地制宜实施</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煤改气</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油改气</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电能、地热、生物质等清洁能源取暖措施。3.鼓励将老旧车辆和非道路移动机械替换为清洁能源车辆。推进新能源或清洁能源汽车使用。4.位于大气污染防治重点区域的汾渭平原，特别排放限值行业（钢铁、水泥、焦化、石化、化工、有色等行业）现有企业全面执行二氧化硫、氮氧化物、颗粒物、挥发性有机物（VOCs）特别排放限值。水环境城镇生活污染重点管控区：1.加强城镇污水收集处理设施建设与提标改造。全省黄河流域城镇生活污水处理达到《陕西省黄河流域污水综合排放标准》（DB61/224-2018）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4.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造。</w:t>
            </w:r>
          </w:p>
        </w:tc>
        <w:tc>
          <w:tcPr>
            <w:tcW w:w="324" w:type="pct"/>
            <w:vMerge w:val="continue"/>
            <w:noWrap w:val="0"/>
            <w:vAlign w:val="center"/>
          </w:tcPr>
          <w:p w14:paraId="383B6EAA">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52" w:type="pct"/>
            <w:noWrap w:val="0"/>
            <w:vAlign w:val="center"/>
          </w:tcPr>
          <w:p w14:paraId="0C4BA2BC">
            <w:pPr>
              <w:keepNext w:val="0"/>
              <w:keepLines w:val="0"/>
              <w:pageBreakBefore w:val="0"/>
              <w:widowControl w:val="0"/>
              <w:numPr>
                <w:ilvl w:val="0"/>
                <w:numId w:val="0"/>
              </w:numPr>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本项目采用电</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作为</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能源</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w:t>
            </w:r>
          </w:p>
          <w:p w14:paraId="5EBC9C6D">
            <w:pPr>
              <w:keepNext w:val="0"/>
              <w:keepLines w:val="0"/>
              <w:pageBreakBefore w:val="0"/>
              <w:widowControl w:val="0"/>
              <w:numPr>
                <w:ilvl w:val="0"/>
                <w:numId w:val="0"/>
              </w:numPr>
              <w:kinsoku/>
              <w:wordWrap/>
              <w:overflowPunct/>
              <w:topLinePunct w:val="0"/>
              <w:autoSpaceDE w:val="0"/>
              <w:autoSpaceDN w:val="0"/>
              <w:bidi w:val="0"/>
              <w:spacing w:line="264" w:lineRule="auto"/>
              <w:ind w:left="0" w:leftChars="0" w:firstLine="0" w:firstLineChars="0"/>
              <w:jc w:val="left"/>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本项目厂区内</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非道路移动机械</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采</w:t>
            </w: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用</w:t>
            </w:r>
            <w:r>
              <w:rPr>
                <w:rFonts w:hint="eastAsia" w:ascii="Times New Roman" w:hAnsi="Times New Roman" w:eastAsia="宋体" w:cs="Times New Roman"/>
                <w:color w:val="000000" w:themeColor="text1"/>
                <w:kern w:val="0"/>
                <w:szCs w:val="21"/>
                <w:highlight w:val="none"/>
                <w14:textFill>
                  <w14:solidFill>
                    <w14:schemeClr w14:val="tx1"/>
                  </w14:solidFill>
                </w14:textFill>
              </w:rPr>
              <w:t>清洁能源</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w:t>
            </w:r>
          </w:p>
          <w:p w14:paraId="15745934">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本项目生活污水排入市政污水管网。</w:t>
            </w:r>
          </w:p>
        </w:tc>
        <w:tc>
          <w:tcPr>
            <w:tcW w:w="315" w:type="pct"/>
            <w:noWrap w:val="0"/>
            <w:vAlign w:val="center"/>
          </w:tcPr>
          <w:p w14:paraId="009FD2ED">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符合</w:t>
            </w:r>
          </w:p>
        </w:tc>
      </w:tr>
      <w:tr w14:paraId="2DA94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4" w:type="pct"/>
            <w:vMerge w:val="continue"/>
            <w:noWrap w:val="0"/>
            <w:vAlign w:val="center"/>
          </w:tcPr>
          <w:p w14:paraId="328DE8A4">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87" w:type="pct"/>
            <w:vMerge w:val="continue"/>
            <w:noWrap w:val="0"/>
            <w:vAlign w:val="center"/>
          </w:tcPr>
          <w:p w14:paraId="7BF3CEB9">
            <w:pPr>
              <w:pStyle w:val="51"/>
              <w:keepNext w:val="0"/>
              <w:keepLines w:val="0"/>
              <w:pageBreakBefore w:val="0"/>
              <w:widowControl w:val="0"/>
              <w:tabs>
                <w:tab w:val="left" w:pos="265"/>
              </w:tabs>
              <w:kinsoku/>
              <w:wordWrap/>
              <w:overflowPunct/>
              <w:topLinePunct w:val="0"/>
              <w:autoSpaceDE w:val="0"/>
              <w:autoSpaceDN w:val="0"/>
              <w:bidi w:val="0"/>
              <w:spacing w:beforeLines="0" w:line="264" w:lineRule="auto"/>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308" w:type="pct"/>
            <w:noWrap w:val="0"/>
            <w:vAlign w:val="center"/>
          </w:tcPr>
          <w:p w14:paraId="694DD398">
            <w:pPr>
              <w:keepNext w:val="0"/>
              <w:keepLines w:val="0"/>
              <w:pageBreakBefore w:val="0"/>
              <w:widowControl w:val="0"/>
              <w:tabs>
                <w:tab w:val="left" w:pos="265"/>
              </w:tabs>
              <w:kinsoku/>
              <w:wordWrap/>
              <w:overflowPunct/>
              <w:topLinePunct w:val="0"/>
              <w:autoSpaceDE w:val="0"/>
              <w:autoSpaceDN w:val="0"/>
              <w:bidi w:val="0"/>
              <w:spacing w:line="264" w:lineRule="auto"/>
              <w:jc w:val="center"/>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环境风险防控</w:t>
            </w:r>
          </w:p>
        </w:tc>
        <w:tc>
          <w:tcPr>
            <w:tcW w:w="2687" w:type="pct"/>
            <w:noWrap w:val="0"/>
            <w:vAlign w:val="center"/>
          </w:tcPr>
          <w:p w14:paraId="12C7276D">
            <w:pPr>
              <w:keepNext w:val="0"/>
              <w:keepLines w:val="0"/>
              <w:pageBreakBefore w:val="0"/>
              <w:widowControl w:val="0"/>
              <w:kinsoku/>
              <w:wordWrap/>
              <w:overflowPunct/>
              <w:topLinePunct w:val="0"/>
              <w:autoSpaceDE w:val="0"/>
              <w:autoSpaceDN w:val="0"/>
              <w:bidi w:val="0"/>
              <w:spacing w:line="264"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w:t>
            </w:r>
          </w:p>
        </w:tc>
        <w:tc>
          <w:tcPr>
            <w:tcW w:w="324" w:type="pct"/>
            <w:vMerge w:val="continue"/>
            <w:noWrap w:val="0"/>
            <w:vAlign w:val="center"/>
          </w:tcPr>
          <w:p w14:paraId="4839745D">
            <w:pPr>
              <w:pStyle w:val="51"/>
              <w:keepNext w:val="0"/>
              <w:keepLines w:val="0"/>
              <w:pageBreakBefore w:val="0"/>
              <w:widowControl w:val="0"/>
              <w:kinsoku/>
              <w:wordWrap/>
              <w:overflowPunct/>
              <w:topLinePunct w:val="0"/>
              <w:bidi w:val="0"/>
              <w:spacing w:beforeLines="0" w:line="264" w:lineRule="auto"/>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52" w:type="pct"/>
            <w:noWrap w:val="0"/>
            <w:vAlign w:val="center"/>
          </w:tcPr>
          <w:p w14:paraId="34F7A027">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c>
          <w:tcPr>
            <w:tcW w:w="315" w:type="pct"/>
            <w:noWrap w:val="0"/>
            <w:vAlign w:val="center"/>
          </w:tcPr>
          <w:p w14:paraId="2FF93E75">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14:paraId="1E376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4" w:type="pct"/>
            <w:vMerge w:val="continue"/>
            <w:noWrap w:val="0"/>
            <w:vAlign w:val="center"/>
          </w:tcPr>
          <w:p w14:paraId="35C8A2D6">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287" w:type="pct"/>
            <w:vMerge w:val="continue"/>
            <w:noWrap w:val="0"/>
            <w:vAlign w:val="center"/>
          </w:tcPr>
          <w:p w14:paraId="2B3DC686">
            <w:pPr>
              <w:pStyle w:val="51"/>
              <w:keepNext w:val="0"/>
              <w:keepLines w:val="0"/>
              <w:pageBreakBefore w:val="0"/>
              <w:widowControl w:val="0"/>
              <w:tabs>
                <w:tab w:val="left" w:pos="265"/>
              </w:tabs>
              <w:kinsoku/>
              <w:wordWrap/>
              <w:overflowPunct/>
              <w:topLinePunct w:val="0"/>
              <w:autoSpaceDE w:val="0"/>
              <w:autoSpaceDN w:val="0"/>
              <w:bidi w:val="0"/>
              <w:spacing w:beforeLines="0" w:line="264" w:lineRule="auto"/>
              <w:jc w:val="both"/>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308" w:type="pct"/>
            <w:noWrap w:val="0"/>
            <w:vAlign w:val="center"/>
          </w:tcPr>
          <w:p w14:paraId="0B333BEC">
            <w:pPr>
              <w:keepNext w:val="0"/>
              <w:keepLines w:val="0"/>
              <w:pageBreakBefore w:val="0"/>
              <w:widowControl w:val="0"/>
              <w:tabs>
                <w:tab w:val="left" w:pos="265"/>
              </w:tabs>
              <w:kinsoku/>
              <w:wordWrap/>
              <w:overflowPunct/>
              <w:topLinePunct w:val="0"/>
              <w:autoSpaceDE w:val="0"/>
              <w:autoSpaceDN w:val="0"/>
              <w:bidi w:val="0"/>
              <w:spacing w:line="264" w:lineRule="auto"/>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资源开发效率要求</w:t>
            </w:r>
          </w:p>
        </w:tc>
        <w:tc>
          <w:tcPr>
            <w:tcW w:w="2687" w:type="pct"/>
            <w:noWrap w:val="0"/>
            <w:vAlign w:val="center"/>
          </w:tcPr>
          <w:p w14:paraId="1EA76C43">
            <w:pPr>
              <w:keepNext w:val="0"/>
              <w:keepLines w:val="0"/>
              <w:pageBreakBefore w:val="0"/>
              <w:widowControl w:val="0"/>
              <w:kinsoku/>
              <w:wordWrap/>
              <w:overflowPunct/>
              <w:topLinePunct w:val="0"/>
              <w:autoSpaceDE w:val="0"/>
              <w:autoSpaceDN w:val="0"/>
              <w:bidi w:val="0"/>
              <w:spacing w:line="264" w:lineRule="auto"/>
              <w:jc w:val="left"/>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高污染燃料禁燃区：严格禁燃区管控。市区和南六县市全域及北五县市城镇周边划定为高污染燃料禁燃区，禁止销售、使用煤炭及其制品等高污染燃料（35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源头杜绝散煤销售。</w:t>
            </w:r>
          </w:p>
        </w:tc>
        <w:tc>
          <w:tcPr>
            <w:tcW w:w="324" w:type="pct"/>
            <w:vMerge w:val="continue"/>
            <w:noWrap w:val="0"/>
            <w:vAlign w:val="center"/>
          </w:tcPr>
          <w:p w14:paraId="3DE7E394">
            <w:pPr>
              <w:pStyle w:val="51"/>
              <w:keepNext w:val="0"/>
              <w:keepLines w:val="0"/>
              <w:pageBreakBefore w:val="0"/>
              <w:widowControl w:val="0"/>
              <w:kinsoku/>
              <w:wordWrap/>
              <w:overflowPunct/>
              <w:topLinePunct w:val="0"/>
              <w:bidi w:val="0"/>
              <w:spacing w:beforeLines="0" w:line="264" w:lineRule="auto"/>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52" w:type="pct"/>
            <w:noWrap w:val="0"/>
            <w:vAlign w:val="center"/>
          </w:tcPr>
          <w:p w14:paraId="441EFBB6">
            <w:pPr>
              <w:pStyle w:val="51"/>
              <w:keepNext w:val="0"/>
              <w:keepLines w:val="0"/>
              <w:pageBreakBefore w:val="0"/>
              <w:widowControl w:val="0"/>
              <w:kinsoku/>
              <w:wordWrap/>
              <w:overflowPunct/>
              <w:topLinePunct w:val="0"/>
              <w:bidi w:val="0"/>
              <w:spacing w:beforeLines="0" w:line="264" w:lineRule="auto"/>
              <w:ind w:left="0" w:leftChars="0" w:firstLine="0" w:firstLineChars="0"/>
              <w:jc w:val="both"/>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本项目</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采用电</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作为</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能源，不涉及燃煤</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、生物质的</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使用。</w:t>
            </w:r>
          </w:p>
        </w:tc>
        <w:tc>
          <w:tcPr>
            <w:tcW w:w="315" w:type="pct"/>
            <w:noWrap w:val="0"/>
            <w:vAlign w:val="center"/>
          </w:tcPr>
          <w:p w14:paraId="1D2B2B0C">
            <w:pPr>
              <w:pStyle w:val="51"/>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符合</w:t>
            </w:r>
          </w:p>
        </w:tc>
      </w:tr>
    </w:tbl>
    <w:p w14:paraId="7E9B74D1">
      <w:pPr>
        <w:numPr>
          <w:ilvl w:val="0"/>
          <w:numId w:val="2"/>
        </w:numPr>
        <w:spacing w:line="360" w:lineRule="auto"/>
        <w:ind w:left="0" w:leftChars="0" w:firstLine="482" w:firstLineChars="20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一说明</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0"/>
        <w:gridCol w:w="6932"/>
        <w:gridCol w:w="2170"/>
      </w:tblGrid>
      <w:tr w14:paraId="449E7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73E20709">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对照分析</w:t>
            </w:r>
          </w:p>
        </w:tc>
        <w:tc>
          <w:tcPr>
            <w:tcW w:w="6932" w:type="dxa"/>
            <w:noWrap w:val="0"/>
            <w:vAlign w:val="center"/>
          </w:tcPr>
          <w:p w14:paraId="62057126">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本项目情况</w:t>
            </w:r>
          </w:p>
        </w:tc>
        <w:tc>
          <w:tcPr>
            <w:tcW w:w="2170" w:type="dxa"/>
            <w:noWrap w:val="0"/>
            <w:vAlign w:val="center"/>
          </w:tcPr>
          <w:p w14:paraId="526A63DB">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vertAlign w:val="baseline"/>
                <w:lang w:val="en-US" w:eastAsia="zh-CN"/>
                <w14:textFill>
                  <w14:solidFill>
                    <w14:schemeClr w14:val="tx1"/>
                  </w14:solidFill>
                </w14:textFill>
              </w:rPr>
              <w:t>符合性</w:t>
            </w:r>
          </w:p>
        </w:tc>
      </w:tr>
      <w:tr w14:paraId="7719E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2CE31930">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各类生态环境敏感区对照分析</w:t>
            </w:r>
          </w:p>
        </w:tc>
        <w:tc>
          <w:tcPr>
            <w:tcW w:w="6932" w:type="dxa"/>
            <w:noWrap w:val="0"/>
            <w:vAlign w:val="center"/>
          </w:tcPr>
          <w:p w14:paraId="1A5BBAA5">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根据</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一图</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可知，本项目不涉及生态环境敏感区。</w:t>
            </w:r>
          </w:p>
        </w:tc>
        <w:tc>
          <w:tcPr>
            <w:tcW w:w="2170" w:type="dxa"/>
            <w:noWrap w:val="0"/>
            <w:vAlign w:val="center"/>
          </w:tcPr>
          <w:p w14:paraId="0303E336">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符合</w:t>
            </w:r>
          </w:p>
        </w:tc>
      </w:tr>
      <w:tr w14:paraId="685C5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4550" w:type="dxa"/>
            <w:noWrap w:val="0"/>
            <w:vAlign w:val="center"/>
          </w:tcPr>
          <w:p w14:paraId="7FDDAFA8">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环境管控单元对照分析</w:t>
            </w:r>
          </w:p>
        </w:tc>
        <w:tc>
          <w:tcPr>
            <w:tcW w:w="6932" w:type="dxa"/>
            <w:noWrap w:val="0"/>
            <w:vAlign w:val="center"/>
          </w:tcPr>
          <w:p w14:paraId="12D652C9">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根据</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一图</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可知，本项目位于重点管控单元</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根据</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一表</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可知本项目重点管控单元面积为</w:t>
            </w:r>
            <w:r>
              <w:rPr>
                <w:rFonts w:hint="eastAsia" w:cs="Times New Roman"/>
                <w:color w:val="000000" w:themeColor="text1"/>
                <w:sz w:val="21"/>
                <w:szCs w:val="21"/>
                <w:highlight w:val="none"/>
                <w:lang w:val="en-US" w:eastAsia="zh-CN"/>
                <w14:textFill>
                  <w14:solidFill>
                    <w14:schemeClr w14:val="tx1"/>
                  </w14:solidFill>
                </w14:textFill>
              </w:rPr>
              <w:t>3504</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，同时满足重点管控单元管控措施要求。</w:t>
            </w:r>
          </w:p>
        </w:tc>
        <w:tc>
          <w:tcPr>
            <w:tcW w:w="2170" w:type="dxa"/>
            <w:noWrap w:val="0"/>
            <w:vAlign w:val="center"/>
          </w:tcPr>
          <w:p w14:paraId="4EEA1FE5">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符合</w:t>
            </w:r>
          </w:p>
        </w:tc>
      </w:tr>
      <w:tr w14:paraId="028D5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3FF62A7D">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未纳入环境管控单元的要素分区对照分析</w:t>
            </w:r>
          </w:p>
        </w:tc>
        <w:tc>
          <w:tcPr>
            <w:tcW w:w="6932" w:type="dxa"/>
            <w:noWrap w:val="0"/>
            <w:vAlign w:val="center"/>
          </w:tcPr>
          <w:p w14:paraId="0A09D5EF">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不涉及</w:t>
            </w:r>
          </w:p>
        </w:tc>
        <w:tc>
          <w:tcPr>
            <w:tcW w:w="2170" w:type="dxa"/>
            <w:noWrap w:val="0"/>
            <w:vAlign w:val="center"/>
          </w:tcPr>
          <w:p w14:paraId="532DBDDB">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r>
      <w:tr w14:paraId="27ECD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50" w:type="dxa"/>
            <w:noWrap w:val="0"/>
            <w:vAlign w:val="center"/>
          </w:tcPr>
          <w:p w14:paraId="688B77EB">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其他对照分析</w:t>
            </w:r>
          </w:p>
        </w:tc>
        <w:tc>
          <w:tcPr>
            <w:tcW w:w="6932" w:type="dxa"/>
            <w:noWrap w:val="0"/>
            <w:vAlign w:val="center"/>
          </w:tcPr>
          <w:p w14:paraId="5CED69D6">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不涉及</w:t>
            </w:r>
          </w:p>
        </w:tc>
        <w:tc>
          <w:tcPr>
            <w:tcW w:w="2170" w:type="dxa"/>
            <w:noWrap w:val="0"/>
            <w:vAlign w:val="center"/>
          </w:tcPr>
          <w:p w14:paraId="5BBBD611">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p>
        </w:tc>
      </w:tr>
    </w:tbl>
    <w:p w14:paraId="712B9F12">
      <w:pPr>
        <w:spacing w:line="360" w:lineRule="auto"/>
        <w:ind w:firstLine="480" w:firstLineChars="20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综上所述，项目符合陕西省及</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西安市“</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三线一单</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分区管控方案要求。</w:t>
      </w:r>
    </w:p>
    <w:p w14:paraId="103C007A">
      <w:pPr>
        <w:rPr>
          <w:color w:val="000000" w:themeColor="text1"/>
          <w:highlight w:val="none"/>
          <w14:textFill>
            <w14:solidFill>
              <w14:schemeClr w14:val="tx1"/>
            </w14:solidFill>
          </w14:textFill>
        </w:rPr>
        <w:sectPr>
          <w:pgSz w:w="16838" w:h="11906" w:orient="landscape"/>
          <w:pgMar w:top="1531" w:right="1701" w:bottom="1531" w:left="1701" w:header="851" w:footer="1077" w:gutter="0"/>
          <w:pgNumType w:fmt="decimal"/>
          <w:cols w:space="720" w:num="1"/>
          <w:docGrid w:linePitch="312" w:charSpace="0"/>
        </w:sectPr>
      </w:pPr>
    </w:p>
    <w:p w14:paraId="29DCA7A0">
      <w:pPr>
        <w:rPr>
          <w:color w:val="000000" w:themeColor="text1"/>
          <w:highlight w:val="none"/>
          <w14:textFill>
            <w14:solidFill>
              <w14:schemeClr w14:val="tx1"/>
            </w14:solidFill>
          </w14:textFill>
        </w:rPr>
      </w:pP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35"/>
        <w:gridCol w:w="8235"/>
      </w:tblGrid>
      <w:tr w14:paraId="2F34AE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35" w:type="dxa"/>
            <w:noWrap w:val="0"/>
            <w:vAlign w:val="center"/>
          </w:tcPr>
          <w:p w14:paraId="58DB61DD">
            <w:pPr>
              <w:autoSpaceDE w:val="0"/>
              <w:autoSpaceDN w:val="0"/>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p>
        </w:tc>
        <w:tc>
          <w:tcPr>
            <w:tcW w:w="8235" w:type="dxa"/>
            <w:noWrap w:val="0"/>
            <w:vAlign w:val="center"/>
          </w:tcPr>
          <w:p w14:paraId="6BC80FC3">
            <w:pPr>
              <w:numPr>
                <w:ilvl w:val="0"/>
                <w:numId w:val="0"/>
              </w:numPr>
              <w:spacing w:line="360" w:lineRule="auto"/>
              <w:ind w:left="0" w:leftChars="0" w:firstLine="0" w:firstLineChars="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3、</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与相关环保政策符合性分析</w:t>
            </w:r>
          </w:p>
          <w:p w14:paraId="5262417D">
            <w:pPr>
              <w:pStyle w:val="1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本项目与相关环保政策符合性分析见下表。</w:t>
            </w:r>
          </w:p>
          <w:p w14:paraId="7E8667EC">
            <w:pPr>
              <w:jc w:val="cente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表1-</w:t>
            </w:r>
            <w:r>
              <w:rPr>
                <w:rFonts w:hint="eastAsia" w:ascii="Times New Roman" w:hAnsi="Times New Roman" w:cs="Times New Roman"/>
                <w:b/>
                <w:bCs/>
                <w:color w:val="000000" w:themeColor="text1"/>
                <w:sz w:val="21"/>
                <w:szCs w:val="21"/>
                <w:highlight w:val="none"/>
                <w:lang w:val="en-US" w:eastAsia="zh-CN"/>
                <w14:textFill>
                  <w14:solidFill>
                    <w14:schemeClr w14:val="tx1"/>
                  </w14:solidFill>
                </w14:textFill>
              </w:rPr>
              <w:t>4</w:t>
            </w: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 xml:space="preserve"> 本项目与相关环保政策符合性分析</w:t>
            </w:r>
          </w:p>
          <w:tbl>
            <w:tblPr>
              <w:tblStyle w:val="25"/>
              <w:tblW w:w="8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06"/>
              <w:gridCol w:w="3604"/>
              <w:gridCol w:w="2340"/>
              <w:gridCol w:w="651"/>
            </w:tblGrid>
            <w:tr w14:paraId="3B1DD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11441FC2">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t>文件</w:t>
                  </w:r>
                </w:p>
              </w:tc>
              <w:tc>
                <w:tcPr>
                  <w:tcW w:w="2224" w:type="pct"/>
                  <w:noWrap w:val="0"/>
                  <w:vAlign w:val="center"/>
                </w:tcPr>
                <w:p w14:paraId="2EF6298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t>政策要求</w:t>
                  </w:r>
                </w:p>
              </w:tc>
              <w:tc>
                <w:tcPr>
                  <w:tcW w:w="1444" w:type="pct"/>
                  <w:noWrap w:val="0"/>
                  <w:vAlign w:val="center"/>
                </w:tcPr>
                <w:p w14:paraId="0E79CDD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t>本项目情况</w:t>
                  </w:r>
                </w:p>
              </w:tc>
              <w:tc>
                <w:tcPr>
                  <w:tcW w:w="401" w:type="pct"/>
                  <w:noWrap w:val="0"/>
                  <w:vAlign w:val="center"/>
                </w:tcPr>
                <w:p w14:paraId="791F4EA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t>相符性</w:t>
                  </w:r>
                </w:p>
              </w:tc>
            </w:tr>
            <w:tr w14:paraId="1E853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3DB96DAC">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《国务院办公厅关于加快构建废弃物循环利用体系的意见》国办发〔2024〕7号</w:t>
                  </w:r>
                </w:p>
                <w:p w14:paraId="7869F4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pPr>
                </w:p>
              </w:tc>
              <w:tc>
                <w:tcPr>
                  <w:tcW w:w="2224" w:type="pct"/>
                  <w:noWrap w:val="0"/>
                  <w:vAlign w:val="center"/>
                </w:tcPr>
                <w:p w14:paraId="4DF677F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eastAsia" w:ascii="Times New Roman" w:hAnsi="Times New Roman" w:cs="Times New Roman"/>
                      <w:bCs/>
                      <w:color w:val="000000" w:themeColor="text1"/>
                      <w:kern w:val="0"/>
                      <w:sz w:val="21"/>
                      <w:szCs w:val="21"/>
                      <w:highlight w:val="none"/>
                      <w:lang w:val="en-GB" w:eastAsia="zh-CN" w:bidi="ar-SA"/>
                      <w14:textFill>
                        <w14:solidFill>
                          <w14:schemeClr w14:val="tx1"/>
                        </w14:solidFill>
                      </w14:textFill>
                    </w:rPr>
                    <w:t>工业</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产业链合理延伸。支持现有再生资源加工利用项目绿色化、机械化、智能化提质改造。鼓励企业和科研机构加强技术装备研发，支持先进技术推广应用</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p>
              </w:tc>
              <w:tc>
                <w:tcPr>
                  <w:tcW w:w="1444" w:type="pct"/>
                  <w:noWrap w:val="0"/>
                  <w:vAlign w:val="center"/>
                </w:tcPr>
                <w:p w14:paraId="73FBDD7C">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项目采用最新RDF替代燃料技术</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将</w:t>
                  </w:r>
                  <w:r>
                    <w:rPr>
                      <w:rFonts w:hint="eastAsia" w:ascii="Times New Roman" w:hAnsi="Times New Roman" w:cs="Times New Roman"/>
                      <w:bCs/>
                      <w:color w:val="000000" w:themeColor="text1"/>
                      <w:kern w:val="0"/>
                      <w:sz w:val="21"/>
                      <w:szCs w:val="21"/>
                      <w:highlight w:val="none"/>
                      <w:lang w:val="en-US" w:eastAsia="zh-CN" w:bidi="ar-SA"/>
                      <w14:textFill>
                        <w14:solidFill>
                          <w14:schemeClr w14:val="tx1"/>
                        </w14:solidFill>
                      </w14:textFill>
                    </w:rPr>
                    <w:t>有热值的</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一般固废（工业固废、生活垃圾（废纸、废塑料、废纺织物、报废家具、园林垃圾、废包装物）、建筑垃圾中的轻浮物</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上游企业风选完的包装类塑料、装饰类塑料等</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、农业固体废物）</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加工成RDF燃料。</w:t>
                  </w:r>
                </w:p>
              </w:tc>
              <w:tc>
                <w:tcPr>
                  <w:tcW w:w="401" w:type="pct"/>
                  <w:noWrap w:val="0"/>
                  <w:vAlign w:val="center"/>
                </w:tcPr>
                <w:p w14:paraId="54AA21A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1E87E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0B04B290">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生态环境部关于《进一步加强塑料污染治理的意见》（发改环资〔2020〕</w:t>
                  </w:r>
                </w:p>
                <w:p w14:paraId="41CD7203">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80号）</w:t>
                  </w:r>
                </w:p>
              </w:tc>
              <w:tc>
                <w:tcPr>
                  <w:tcW w:w="2224" w:type="pct"/>
                  <w:noWrap w:val="0"/>
                  <w:vAlign w:val="center"/>
                </w:tcPr>
                <w:p w14:paraId="0F9828B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禁止、限制部分塑料制品的生产、销售和使用；规范塑料废弃物回收利用和处置。</w:t>
                  </w:r>
                </w:p>
              </w:tc>
              <w:tc>
                <w:tcPr>
                  <w:tcW w:w="1444" w:type="pct"/>
                  <w:noWrap w:val="0"/>
                  <w:vAlign w:val="center"/>
                </w:tcPr>
                <w:p w14:paraId="7AB29EB7">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本项目</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原料、产品</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均不属于禁止、限制塑料制品；</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项目运营期不产生</w:t>
                  </w: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塑料废弃物</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401" w:type="pct"/>
                  <w:noWrap w:val="0"/>
                  <w:vAlign w:val="center"/>
                </w:tcPr>
                <w:p w14:paraId="1C887626">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符合</w:t>
                  </w:r>
                </w:p>
              </w:tc>
            </w:tr>
            <w:tr w14:paraId="3DAD4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16E46CF0">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关于</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十四五</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大宗固体废弃物综合利用的指导意见（发改环资〔2021〕</w:t>
                  </w:r>
                </w:p>
                <w:p w14:paraId="2FBF3998">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381号）</w:t>
                  </w:r>
                </w:p>
                <w:p w14:paraId="63CE27CA">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pPr>
                </w:p>
              </w:tc>
              <w:tc>
                <w:tcPr>
                  <w:tcW w:w="2224" w:type="pct"/>
                  <w:noWrap w:val="0"/>
                  <w:vAlign w:val="center"/>
                </w:tcPr>
                <w:p w14:paraId="6F636A2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鼓励企业积极开展工业固体废物资源综合利用评价，不断健全评价机制，加强评价机构能力建设，规范评价机构运行管理，积极推动评价结果采信，引导企业提高资源综合利用产品质量</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p>
              </w:tc>
              <w:tc>
                <w:tcPr>
                  <w:tcW w:w="1444" w:type="pct"/>
                  <w:noWrap w:val="0"/>
                  <w:vAlign w:val="center"/>
                </w:tcPr>
                <w:p w14:paraId="00BD95A9">
                  <w:pPr>
                    <w:pStyle w:val="61"/>
                    <w:keepNext w:val="0"/>
                    <w:keepLines w:val="0"/>
                    <w:pageBreakBefore w:val="0"/>
                    <w:widowControl w:val="0"/>
                    <w:kinsoku/>
                    <w:wordWrap w:val="0"/>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项目原料主要</w:t>
                  </w:r>
                  <w:r>
                    <w:rPr>
                      <w:rFonts w:hint="eastAsia" w:ascii="Times New Roman" w:hAnsi="Times New Roman" w:cs="Times New Roman"/>
                      <w:bCs/>
                      <w:color w:val="000000" w:themeColor="text1"/>
                      <w:kern w:val="0"/>
                      <w:sz w:val="21"/>
                      <w:szCs w:val="21"/>
                      <w:highlight w:val="none"/>
                      <w:lang w:val="en-US" w:eastAsia="zh-CN" w:bidi="ar-SA"/>
                      <w14:textFill>
                        <w14:solidFill>
                          <w14:schemeClr w14:val="tx1"/>
                        </w14:solidFill>
                      </w14:textFill>
                    </w:rPr>
                    <w:t>为有热值的</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一般固废（工业固废、生活垃圾（废纸、废塑料、废纺织物、报废家具、园林垃圾、废包装物）、建筑垃圾中的轻浮物</w:t>
                  </w:r>
                  <w:r>
                    <w:rPr>
                      <w:rFonts w:hint="eastAsia" w:ascii="Times New Roman" w:hAnsi="Times New Roman" w:cs="Times New Roman"/>
                      <w:bCs/>
                      <w:color w:val="000000" w:themeColor="text1"/>
                      <w:kern w:val="0"/>
                      <w:sz w:val="21"/>
                      <w:szCs w:val="21"/>
                      <w:highlight w:val="none"/>
                      <w:lang w:val="en-GB" w:eastAsia="zh-CN" w:bidi="ar-SA"/>
                      <w14:textFill>
                        <w14:solidFill>
                          <w14:schemeClr w14:val="tx1"/>
                        </w14:solidFill>
                      </w14:textFill>
                    </w:rPr>
                    <w:t>（</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上游企业风选完的包装类塑料、装饰类塑料等</w:t>
                  </w:r>
                  <w:r>
                    <w:rPr>
                      <w:rFonts w:hint="eastAsia" w:ascii="Times New Roman" w:hAnsi="Times New Roman" w:cs="Times New Roman"/>
                      <w:bCs/>
                      <w:color w:val="000000" w:themeColor="text1"/>
                      <w:kern w:val="0"/>
                      <w:sz w:val="21"/>
                      <w:szCs w:val="21"/>
                      <w:highlight w:val="none"/>
                      <w:lang w:val="en-GB"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、农业固体废物）</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将可燃物</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采用最新RDF替代燃料技术，生产RDF替代燃料</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生产</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产品参照《固体替代燃料定义与分类》（T/CIC046-2021）和《固体替代燃料制备技术规范》（T/CIC47-2021）</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r>
                    <w:rPr>
                      <w:rFonts w:hint="eastAsia" w:ascii="Times New Roman" w:hAnsi="Times New Roman" w:cs="Times New Roman"/>
                      <w:bCs/>
                      <w:color w:val="000000" w:themeColor="text1"/>
                      <w:kern w:val="0"/>
                      <w:sz w:val="21"/>
                      <w:szCs w:val="21"/>
                      <w:highlight w:val="none"/>
                      <w:lang w:eastAsia="zh-CN"/>
                      <w14:textFill>
                        <w14:solidFill>
                          <w14:schemeClr w14:val="tx1"/>
                        </w14:solidFill>
                      </w14:textFill>
                    </w:rPr>
                    <w:t>。</w:t>
                  </w:r>
                </w:p>
              </w:tc>
              <w:tc>
                <w:tcPr>
                  <w:tcW w:w="401" w:type="pct"/>
                  <w:noWrap w:val="0"/>
                  <w:vAlign w:val="center"/>
                </w:tcPr>
                <w:p w14:paraId="38F52E3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7B4B1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4A428EDA">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《中华人民共和国固体废物污染环境防治法》</w:t>
                  </w:r>
                </w:p>
                <w:p w14:paraId="73FC0F88">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pPr>
                </w:p>
              </w:tc>
              <w:tc>
                <w:tcPr>
                  <w:tcW w:w="2224" w:type="pct"/>
                  <w:noWrap w:val="0"/>
                  <w:vAlign w:val="center"/>
                </w:tcPr>
                <w:p w14:paraId="526A0312">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产生、收集、贮存、运输、利用、处置固体废物的单位和其他生产经营者，应当采取防扬散、防流失、防渗漏或者其他防止污染环境的措施，不得擅自倾倒、堆放、丢弃、遗撒固体废物</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p>
              </w:tc>
              <w:tc>
                <w:tcPr>
                  <w:tcW w:w="1444" w:type="pct"/>
                  <w:noWrap w:val="0"/>
                  <w:vAlign w:val="center"/>
                </w:tcPr>
                <w:p w14:paraId="43CD4F6D">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项目</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在</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收集、贮存、运输</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一般固体过程中做好</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防扬散、防流失、防渗漏</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等措施。</w:t>
                  </w:r>
                </w:p>
              </w:tc>
              <w:tc>
                <w:tcPr>
                  <w:tcW w:w="401" w:type="pct"/>
                  <w:noWrap w:val="0"/>
                  <w:vAlign w:val="center"/>
                </w:tcPr>
                <w:p w14:paraId="68428EB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3DC31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5065EABB">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pPr>
                </w:p>
              </w:tc>
              <w:tc>
                <w:tcPr>
                  <w:tcW w:w="2224" w:type="pct"/>
                  <w:noWrap w:val="0"/>
                  <w:vAlign w:val="center"/>
                </w:tcPr>
                <w:p w14:paraId="20979EB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在生态保护红线区域、永久基本农田集中区域和其他需要特别保护的区域内，禁止建设工业固体废物、危险废物集中贮存、利用、处置的设施、场所和生活垃圾填埋场</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p>
              </w:tc>
              <w:tc>
                <w:tcPr>
                  <w:tcW w:w="1444" w:type="pct"/>
                  <w:noWrap w:val="0"/>
                  <w:vAlign w:val="center"/>
                </w:tcPr>
                <w:p w14:paraId="56BCF371">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根据</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三线一单</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可知，本项目位于</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重点</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管控单元。项目用地为工业用地，不在生态保护红线区域、永久基本农田集中区域和其他需要特别保护的区域内</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p>
              </w:tc>
              <w:tc>
                <w:tcPr>
                  <w:tcW w:w="401" w:type="pct"/>
                  <w:noWrap w:val="0"/>
                  <w:vAlign w:val="center"/>
                </w:tcPr>
                <w:p w14:paraId="57BCE513">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5D02D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33821AC3">
                  <w:pPr>
                    <w:pStyle w:val="61"/>
                    <w:keepNext w:val="0"/>
                    <w:keepLines w:val="0"/>
                    <w:pageBreakBefore w:val="0"/>
                    <w:widowControl w:val="0"/>
                    <w:kinsoku/>
                    <w:wordWrap/>
                    <w:overflowPunct/>
                    <w:topLinePunct w:val="0"/>
                    <w:autoSpaceDE/>
                    <w:autoSpaceDN/>
                    <w:bidi w:val="0"/>
                    <w:snapToGrid w:val="0"/>
                    <w:spacing w:line="240" w:lineRule="auto"/>
                    <w:ind w:right="145"/>
                    <w:jc w:val="center"/>
                    <w:textAlignment w:val="auto"/>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pPr>
                </w:p>
              </w:tc>
              <w:tc>
                <w:tcPr>
                  <w:tcW w:w="2224" w:type="pct"/>
                  <w:noWrap w:val="0"/>
                  <w:vAlign w:val="center"/>
                </w:tcPr>
                <w:p w14:paraId="55777778">
                  <w:pPr>
                    <w:pStyle w:val="61"/>
                    <w:keepNext w:val="0"/>
                    <w:keepLines w:val="0"/>
                    <w:pageBreakBefore w:val="0"/>
                    <w:widowControl w:val="0"/>
                    <w:kinsoku/>
                    <w:wordWrap/>
                    <w:overflowPunct/>
                    <w:topLinePunct w:val="0"/>
                    <w:autoSpaceDE/>
                    <w:autoSpaceDN/>
                    <w:bidi w:val="0"/>
                    <w:adjustRightInd/>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转移固体废物出省、自治区、直辖市行政区域贮存、处置的，应当向固体废物移出地的省、自治区、直辖市人民政府生态环境主管部门提出申请。移出地的省、自治区、直辖市人民政府生态环境主管部门应当及时经接受地的省、自治区、直辖市人民政府生态环境主管部门同意后，在规定期限内批准转移该固体废物出省、自治区、直辖市行政区域。未经批准的，不得转移</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p>
              </w:tc>
              <w:tc>
                <w:tcPr>
                  <w:tcW w:w="1444" w:type="pct"/>
                  <w:noWrap w:val="0"/>
                  <w:vAlign w:val="center"/>
                </w:tcPr>
                <w:p w14:paraId="0C6D4AF8">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本项目</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原料</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为一般固体废物，</w:t>
                  </w:r>
                  <w:r>
                    <w:rPr>
                      <w:rFonts w:hint="eastAsia"/>
                      <w:color w:val="000000" w:themeColor="text1"/>
                      <w:sz w:val="21"/>
                      <w:szCs w:val="21"/>
                      <w:highlight w:val="none"/>
                      <w:lang w:val="en-US" w:eastAsia="zh-CN"/>
                      <w14:textFill>
                        <w14:solidFill>
                          <w14:schemeClr w14:val="tx1"/>
                        </w14:solidFill>
                      </w14:textFill>
                    </w:rPr>
                    <w:t>来自泾河新城及周边地区</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企业。</w:t>
                  </w:r>
                </w:p>
              </w:tc>
              <w:tc>
                <w:tcPr>
                  <w:tcW w:w="401" w:type="pct"/>
                  <w:noWrap w:val="0"/>
                  <w:vAlign w:val="center"/>
                </w:tcPr>
                <w:p w14:paraId="1A38781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61EFC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544A0866">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《陕西省固体废物污染环境防治条例》</w:t>
                  </w:r>
                </w:p>
                <w:p w14:paraId="6519EE02">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2021年修订</w:t>
                  </w:r>
                </w:p>
              </w:tc>
              <w:tc>
                <w:tcPr>
                  <w:tcW w:w="2224" w:type="pct"/>
                  <w:noWrap w:val="0"/>
                  <w:vAlign w:val="center"/>
                </w:tcPr>
                <w:p w14:paraId="37CBE028">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产生、收集、贮存、运输、利用、处置固体废物的单位，应当采取符合技术规范、合格有效的防扬散、防流失、防渗漏或者其他防止污染环境的措施</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p>
              </w:tc>
              <w:tc>
                <w:tcPr>
                  <w:tcW w:w="1444" w:type="pct"/>
                  <w:noWrap w:val="0"/>
                  <w:vAlign w:val="center"/>
                </w:tcPr>
                <w:p w14:paraId="7264675D">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项目</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在</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收集、贮存、运输</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一般固体</w:t>
                  </w:r>
                  <w:r>
                    <w:rPr>
                      <w:rFonts w:hint="eastAsia" w:ascii="Times New Roman" w:hAnsi="Times New Roman" w:cs="Times New Roman"/>
                      <w:bCs/>
                      <w:color w:val="000000" w:themeColor="text1"/>
                      <w:kern w:val="0"/>
                      <w:sz w:val="21"/>
                      <w:szCs w:val="21"/>
                      <w:highlight w:val="none"/>
                      <w:lang w:val="en-US" w:eastAsia="zh-CN" w:bidi="ar-SA"/>
                      <w14:textFill>
                        <w14:solidFill>
                          <w14:schemeClr w14:val="tx1"/>
                        </w14:solidFill>
                      </w14:textFill>
                    </w:rPr>
                    <w:t>废物</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过程中做好</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防扬散、防流失、防渗漏</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等措施。</w:t>
                  </w:r>
                </w:p>
              </w:tc>
              <w:tc>
                <w:tcPr>
                  <w:tcW w:w="401" w:type="pct"/>
                  <w:noWrap w:val="0"/>
                  <w:vAlign w:val="center"/>
                </w:tcPr>
                <w:p w14:paraId="2C3E09F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44993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76D7370D">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pPr>
                </w:p>
              </w:tc>
              <w:tc>
                <w:tcPr>
                  <w:tcW w:w="2224" w:type="pct"/>
                  <w:noWrap w:val="0"/>
                  <w:vAlign w:val="center"/>
                </w:tcPr>
                <w:p w14:paraId="3BE44A58">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产生工业固体废物的单位应当向县级生态环境行政主管部门提供工业固体废物的种类、数量、流向、贮存、利用、处置等有关资料，以及减少工业固体废物产生、促进综合利用的具体措施，并执行排污许可管理制度的相关规定</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p>
              </w:tc>
              <w:tc>
                <w:tcPr>
                  <w:tcW w:w="1444" w:type="pct"/>
                  <w:noWrap w:val="0"/>
                  <w:vAlign w:val="center"/>
                </w:tcPr>
                <w:p w14:paraId="50BA3E40">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企业建立健全</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了</w:t>
                  </w:r>
                  <w:r>
                    <w:rPr>
                      <w:rFonts w:hint="eastAsia" w:ascii="Times New Roman" w:hAnsi="Times New Roman" w:cs="Times New Roman"/>
                      <w:bCs/>
                      <w:color w:val="000000" w:themeColor="text1"/>
                      <w:kern w:val="0"/>
                      <w:sz w:val="21"/>
                      <w:szCs w:val="21"/>
                      <w:highlight w:val="none"/>
                      <w:lang w:val="en-US" w:eastAsia="zh-CN" w:bidi="ar-SA"/>
                      <w14:textFill>
                        <w14:solidFill>
                          <w14:schemeClr w14:val="tx1"/>
                        </w14:solidFill>
                      </w14:textFill>
                    </w:rPr>
                    <w:t>一般</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固体废物收集、贮存、运输、利用全过程的污染环境防治责任制度，建立</w:t>
                  </w:r>
                  <w:r>
                    <w:rPr>
                      <w:rFonts w:hint="eastAsia" w:ascii="Times New Roman" w:hAnsi="Times New Roman" w:cs="Times New Roman"/>
                      <w:bCs/>
                      <w:color w:val="000000" w:themeColor="text1"/>
                      <w:kern w:val="0"/>
                      <w:sz w:val="21"/>
                      <w:szCs w:val="21"/>
                      <w:highlight w:val="none"/>
                      <w:lang w:val="en-US" w:eastAsia="zh-CN" w:bidi="ar-SA"/>
                      <w14:textFill>
                        <w14:solidFill>
                          <w14:schemeClr w14:val="tx1"/>
                        </w14:solidFill>
                      </w14:textFill>
                    </w:rPr>
                    <w:t>一般</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固体废物管理台账</w:t>
                  </w:r>
                  <w:r>
                    <w:rPr>
                      <w:rFonts w:hint="eastAsia"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w:t>
                  </w:r>
                </w:p>
              </w:tc>
              <w:tc>
                <w:tcPr>
                  <w:tcW w:w="401" w:type="pct"/>
                  <w:noWrap w:val="0"/>
                  <w:vAlign w:val="center"/>
                </w:tcPr>
                <w:p w14:paraId="468655F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7CEFC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2EF474E7">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关于印发《陕西省进一步加强塑料污染治理实施方案》的通知（陕发改环资〔2020〕1184号）</w:t>
                  </w:r>
                </w:p>
              </w:tc>
              <w:tc>
                <w:tcPr>
                  <w:tcW w:w="2224" w:type="pct"/>
                  <w:noWrap w:val="0"/>
                  <w:vAlign w:val="center"/>
                </w:tcPr>
                <w:p w14:paraId="0BCA821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禁止、限制部分塑料制品的生产、销售和使用</w:t>
                  </w: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；规范塑料废弃物回收利用和处置。</w:t>
                  </w:r>
                </w:p>
              </w:tc>
              <w:tc>
                <w:tcPr>
                  <w:tcW w:w="1444" w:type="pct"/>
                  <w:noWrap w:val="0"/>
                  <w:vAlign w:val="center"/>
                </w:tcPr>
                <w:p w14:paraId="659A07CF">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本项目</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原料、产品</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均不属于禁止、限制塑料制品；</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项目运营期不产生</w:t>
                  </w: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塑料废弃物</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401" w:type="pct"/>
                  <w:noWrap w:val="0"/>
                  <w:vAlign w:val="center"/>
                </w:tcPr>
                <w:p w14:paraId="7322741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符合</w:t>
                  </w:r>
                </w:p>
              </w:tc>
            </w:tr>
            <w:tr w14:paraId="01424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6D91ADE7">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陕西省</w:t>
                  </w:r>
                  <w:r>
                    <w:rPr>
                      <w:rFonts w:hint="eastAsia" w:ascii="Times New Roman" w:hAnsi="Times New Roman" w:cs="Times New Roman"/>
                      <w:bCs/>
                      <w:color w:val="000000" w:themeColor="text1"/>
                      <w:kern w:val="0"/>
                      <w:sz w:val="21"/>
                      <w:szCs w:val="21"/>
                      <w:highlight w:val="none"/>
                      <w:lang w:val="en"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十四五</w:t>
                  </w:r>
                  <w:r>
                    <w:rPr>
                      <w:rFonts w:hint="eastAsia" w:ascii="Times New Roman" w:hAnsi="Times New Roman" w:cs="Times New Roman"/>
                      <w:bCs/>
                      <w:color w:val="000000" w:themeColor="text1"/>
                      <w:kern w:val="0"/>
                      <w:sz w:val="21"/>
                      <w:szCs w:val="21"/>
                      <w:highlight w:val="none"/>
                      <w:lang w:val="en"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生态环境保护规划（陕政办发</w:t>
                  </w:r>
                  <w:r>
                    <w:rPr>
                      <w:rFonts w:hint="eastAsia" w:ascii="Times New Roman" w:hAnsi="Times New Roman" w:cs="Times New Roman"/>
                      <w:bCs/>
                      <w:color w:val="000000" w:themeColor="text1"/>
                      <w:kern w:val="0"/>
                      <w:sz w:val="21"/>
                      <w:szCs w:val="21"/>
                      <w:highlight w:val="none"/>
                      <w:lang w:val="en" w:eastAsia="zh-CN" w:bidi="ar-SA"/>
                      <w14:textFill>
                        <w14:solidFill>
                          <w14:schemeClr w14:val="tx1"/>
                        </w14:solidFill>
                      </w14:textFill>
                    </w:rPr>
                    <w:t>〔2021〕25号</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p>
              </w:tc>
              <w:tc>
                <w:tcPr>
                  <w:tcW w:w="2224" w:type="pct"/>
                  <w:noWrap w:val="0"/>
                  <w:vAlign w:val="center"/>
                </w:tcPr>
                <w:p w14:paraId="2EB4C427">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建立健全生态环境分区管控体系。建立以</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三线一单</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为核心的全省生态环境分区管控体系。加强</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三线一单</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在规划编制、政策制定、环境准入、园区管理、执法监管等方面的应用，将环境质量底线作为硬约束。建立常规调整和动态调整相结合的更新管理机制，实施全省</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三线一单</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的动态管理，适时更新调整</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三线一单</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成果</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p>
              </w:tc>
              <w:tc>
                <w:tcPr>
                  <w:tcW w:w="1444" w:type="pct"/>
                  <w:noWrap w:val="0"/>
                  <w:vAlign w:val="center"/>
                </w:tcPr>
                <w:p w14:paraId="2A0643A5">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项目符合</w:t>
                  </w:r>
                  <w:r>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三线一单</w:t>
                  </w:r>
                  <w:r>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生态环境分区管控中的相关要求。</w:t>
                  </w:r>
                </w:p>
              </w:tc>
              <w:tc>
                <w:tcPr>
                  <w:tcW w:w="401" w:type="pct"/>
                  <w:noWrap w:val="0"/>
                  <w:vAlign w:val="center"/>
                </w:tcPr>
                <w:p w14:paraId="624E9EFE">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345F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18BFFD39">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pPr>
                </w:p>
              </w:tc>
              <w:tc>
                <w:tcPr>
                  <w:tcW w:w="2224" w:type="pct"/>
                  <w:noWrap w:val="0"/>
                  <w:vAlign w:val="center"/>
                </w:tcPr>
                <w:p w14:paraId="68E6B1CF">
                  <w:pPr>
                    <w:keepNext w:val="0"/>
                    <w:keepLines w:val="0"/>
                    <w:pageBreakBefore w:val="0"/>
                    <w:widowControl/>
                    <w:suppressLineNumbers w:val="0"/>
                    <w:kinsoku/>
                    <w:overflowPunct/>
                    <w:topLinePunct w:val="0"/>
                    <w:autoSpaceDE/>
                    <w:autoSpaceDN/>
                    <w:bidi w:val="0"/>
                    <w:spacing w:line="240" w:lineRule="auto"/>
                    <w:jc w:val="both"/>
                    <w:textAlignment w:val="auto"/>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pP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深入推进大宗固体废物污染防治。</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加强固体废物源头减量和资源化利用，推广固体废物资源化、无害化处理处置新技术，创新大宗固体废物协同利用机制，最大限度减少填埋量。建立健全固体废物信息化监管体系，加大固体废物走私打击力度。</w:t>
                  </w:r>
                </w:p>
              </w:tc>
              <w:tc>
                <w:tcPr>
                  <w:tcW w:w="1444" w:type="pct"/>
                  <w:noWrap w:val="0"/>
                  <w:vAlign w:val="center"/>
                </w:tcPr>
                <w:p w14:paraId="6B7ACC2F">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本项目属于固体废物资源化利用项目，</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生产工艺</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采用最新RDF替代燃料技术</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建立健全固体废物</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收集和转运台账。</w:t>
                  </w:r>
                </w:p>
              </w:tc>
              <w:tc>
                <w:tcPr>
                  <w:tcW w:w="401" w:type="pct"/>
                  <w:noWrap w:val="0"/>
                  <w:vAlign w:val="center"/>
                </w:tcPr>
                <w:p w14:paraId="41B8429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50413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9" w:hRule="atLeast"/>
                <w:jc w:val="center"/>
              </w:trPr>
              <w:tc>
                <w:tcPr>
                  <w:tcW w:w="929" w:type="pct"/>
                  <w:noWrap w:val="0"/>
                  <w:vAlign w:val="center"/>
                </w:tcPr>
                <w:p w14:paraId="0DE8F86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21"/>
                      <w:sz w:val="21"/>
                      <w:szCs w:val="21"/>
                      <w:highlight w:val="none"/>
                      <w:lang w:val="en"/>
                      <w14:textFill>
                        <w14:solidFill>
                          <w14:schemeClr w14:val="tx1"/>
                        </w14:solidFill>
                      </w14:textFill>
                    </w:rPr>
                  </w:pPr>
                  <w:r>
                    <w:rPr>
                      <w:rFonts w:hint="default" w:ascii="Times New Roman" w:hAnsi="Times New Roman" w:eastAsia="宋体" w:cs="Times New Roman"/>
                      <w:color w:val="000000" w:themeColor="text1"/>
                      <w:kern w:val="21"/>
                      <w:sz w:val="21"/>
                      <w:szCs w:val="21"/>
                      <w:highlight w:val="none"/>
                      <w:lang w:val="en"/>
                      <w14:textFill>
                        <w14:solidFill>
                          <w14:schemeClr w14:val="tx1"/>
                        </w14:solidFill>
                      </w14:textFill>
                    </w:rPr>
                    <w:t>《陕西省</w:t>
                  </w:r>
                  <w:r>
                    <w:rPr>
                      <w:rFonts w:hint="eastAsia" w:ascii="Times New Roman" w:hAnsi="Times New Roman" w:eastAsia="宋体" w:cs="Times New Roman"/>
                      <w:color w:val="000000" w:themeColor="text1"/>
                      <w:kern w:val="21"/>
                      <w:sz w:val="21"/>
                      <w:szCs w:val="21"/>
                      <w:highlight w:val="none"/>
                      <w:lang w:val="en" w:eastAsia="zh-CN"/>
                      <w14:textFill>
                        <w14:solidFill>
                          <w14:schemeClr w14:val="tx1"/>
                        </w14:solidFill>
                      </w14:textFill>
                    </w:rPr>
                    <w:t>“</w:t>
                  </w:r>
                  <w:r>
                    <w:rPr>
                      <w:rFonts w:hint="default" w:ascii="Times New Roman" w:hAnsi="Times New Roman" w:eastAsia="宋体" w:cs="Times New Roman"/>
                      <w:color w:val="000000" w:themeColor="text1"/>
                      <w:kern w:val="21"/>
                      <w:sz w:val="21"/>
                      <w:szCs w:val="21"/>
                      <w:highlight w:val="none"/>
                      <w:lang w:val="en"/>
                      <w14:textFill>
                        <w14:solidFill>
                          <w14:schemeClr w14:val="tx1"/>
                        </w14:solidFill>
                      </w14:textFill>
                    </w:rPr>
                    <w:t>十四五</w:t>
                  </w:r>
                  <w:r>
                    <w:rPr>
                      <w:rFonts w:hint="eastAsia" w:ascii="Times New Roman" w:hAnsi="Times New Roman" w:eastAsia="宋体" w:cs="Times New Roman"/>
                      <w:color w:val="000000" w:themeColor="text1"/>
                      <w:kern w:val="21"/>
                      <w:sz w:val="21"/>
                      <w:szCs w:val="21"/>
                      <w:highlight w:val="none"/>
                      <w:lang w:val="en" w:eastAsia="zh-CN"/>
                      <w14:textFill>
                        <w14:solidFill>
                          <w14:schemeClr w14:val="tx1"/>
                        </w14:solidFill>
                      </w14:textFill>
                    </w:rPr>
                    <w:t>”</w:t>
                  </w:r>
                  <w:r>
                    <w:rPr>
                      <w:rFonts w:hint="default" w:ascii="Times New Roman" w:hAnsi="Times New Roman" w:eastAsia="宋体" w:cs="Times New Roman"/>
                      <w:color w:val="000000" w:themeColor="text1"/>
                      <w:kern w:val="21"/>
                      <w:sz w:val="21"/>
                      <w:szCs w:val="21"/>
                      <w:highlight w:val="none"/>
                      <w:lang w:val="en"/>
                      <w14:textFill>
                        <w14:solidFill>
                          <w14:schemeClr w14:val="tx1"/>
                        </w14:solidFill>
                      </w14:textFill>
                    </w:rPr>
                    <w:t>生态环境保护规划》（陕政办发〔2021〕</w:t>
                  </w:r>
                </w:p>
                <w:p w14:paraId="7E02FD2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1"/>
                      <w:sz w:val="21"/>
                      <w:szCs w:val="21"/>
                      <w:highlight w:val="none"/>
                      <w:lang w:val="en"/>
                      <w14:textFill>
                        <w14:solidFill>
                          <w14:schemeClr w14:val="tx1"/>
                        </w14:solidFill>
                      </w14:textFill>
                    </w:rPr>
                    <w:t>25号）</w:t>
                  </w:r>
                </w:p>
              </w:tc>
              <w:tc>
                <w:tcPr>
                  <w:tcW w:w="2224" w:type="pct"/>
                  <w:noWrap w:val="0"/>
                  <w:vAlign w:val="center"/>
                </w:tcPr>
                <w:p w14:paraId="5E3E1B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GB"/>
                      <w14:textFill>
                        <w14:solidFill>
                          <w14:schemeClr w14:val="tx1"/>
                        </w14:solidFill>
                      </w14:textFill>
                    </w:rPr>
                    <w:t>深化落实环评制度。不断健全环境影响评价等生态源头预防体系，对重点区域、重点流域、重点行业依法开展规划环境影响评价，严格建设项目生态环境准入。</w:t>
                  </w:r>
                </w:p>
              </w:tc>
              <w:tc>
                <w:tcPr>
                  <w:tcW w:w="1444" w:type="pct"/>
                  <w:noWrap w:val="0"/>
                  <w:vAlign w:val="center"/>
                </w:tcPr>
                <w:p w14:paraId="005775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themeColor="text1"/>
                      <w:kern w:val="21"/>
                      <w:sz w:val="21"/>
                      <w:szCs w:val="21"/>
                      <w:highlight w:val="none"/>
                      <w14:textFill>
                        <w14:solidFill>
                          <w14:schemeClr w14:val="tx1"/>
                        </w14:solidFill>
                      </w14:textFill>
                    </w:rPr>
                  </w:pPr>
                  <w:r>
                    <w:rPr>
                      <w:rFonts w:hint="eastAsia" w:ascii="Times New Roman" w:hAnsi="Times New Roman" w:eastAsia="宋体" w:cs="Times New Roman"/>
                      <w:bCs/>
                      <w:color w:val="000000" w:themeColor="text1"/>
                      <w:kern w:val="0"/>
                      <w:sz w:val="21"/>
                      <w:szCs w:val="21"/>
                      <w:highlight w:val="none"/>
                      <w:lang w:val="en-US" w:eastAsia="zh-CN"/>
                      <w14:textFill>
                        <w14:solidFill>
                          <w14:schemeClr w14:val="tx1"/>
                        </w14:solidFill>
                      </w14:textFill>
                    </w:rPr>
                    <w:t>本</w:t>
                  </w:r>
                  <w:r>
                    <w:rPr>
                      <w:rFonts w:hint="default" w:ascii="Times New Roman" w:hAnsi="Times New Roman" w:eastAsia="宋体" w:cs="Times New Roman"/>
                      <w:bCs/>
                      <w:color w:val="000000" w:themeColor="text1"/>
                      <w:kern w:val="0"/>
                      <w:sz w:val="21"/>
                      <w:szCs w:val="21"/>
                      <w:highlight w:val="none"/>
                      <w:lang w:val="en-GB" w:eastAsia="zh-CN"/>
                      <w14:textFill>
                        <w14:solidFill>
                          <w14:schemeClr w14:val="tx1"/>
                        </w14:solidFill>
                      </w14:textFill>
                    </w:rPr>
                    <w:t>项目位于陕西省</w:t>
                  </w:r>
                  <w:r>
                    <w:rPr>
                      <w:rFonts w:hint="default" w:ascii="Times New Roman" w:hAnsi="Times New Roman" w:eastAsia="宋体" w:cs="Times New Roman"/>
                      <w:bCs/>
                      <w:color w:val="000000" w:themeColor="text1"/>
                      <w:kern w:val="0"/>
                      <w:sz w:val="21"/>
                      <w:szCs w:val="21"/>
                      <w:highlight w:val="none"/>
                      <w:lang w:val="en-US" w:eastAsia="zh-CN"/>
                      <w14:textFill>
                        <w14:solidFill>
                          <w14:schemeClr w14:val="tx1"/>
                        </w14:solidFill>
                      </w14:textFill>
                    </w:rPr>
                    <w:t>西咸新区泾河新城</w:t>
                  </w:r>
                  <w:r>
                    <w:rPr>
                      <w:rFonts w:hint="default" w:ascii="Times New Roman" w:hAnsi="Times New Roman" w:eastAsia="宋体" w:cs="Times New Roman"/>
                      <w:bCs/>
                      <w:color w:val="000000" w:themeColor="text1"/>
                      <w:kern w:val="0"/>
                      <w:sz w:val="21"/>
                      <w:szCs w:val="21"/>
                      <w:highlight w:val="none"/>
                      <w:lang w:val="en-GB" w:eastAsia="zh-CN"/>
                      <w14:textFill>
                        <w14:solidFill>
                          <w14:schemeClr w14:val="tx1"/>
                        </w14:solidFill>
                      </w14:textFill>
                    </w:rPr>
                    <w:t>永乐工业园，租用</w:t>
                  </w:r>
                  <w:r>
                    <w:rPr>
                      <w:rFonts w:hint="eastAsia" w:ascii="Times New Roman" w:hAnsi="Times New Roman" w:eastAsia="宋体" w:cs="Times New Roman"/>
                      <w:bCs/>
                      <w:color w:val="000000" w:themeColor="text1"/>
                      <w:kern w:val="0"/>
                      <w:sz w:val="21"/>
                      <w:szCs w:val="21"/>
                      <w:highlight w:val="none"/>
                      <w:lang w:val="en-GB" w:eastAsia="zh-CN"/>
                      <w14:textFill>
                        <w14:solidFill>
                          <w14:schemeClr w14:val="tx1"/>
                        </w14:solidFill>
                      </w14:textFill>
                    </w:rPr>
                    <w:t>陕西国坤时代科技有限公司</w:t>
                  </w:r>
                  <w:r>
                    <w:rPr>
                      <w:rFonts w:hint="default" w:ascii="Times New Roman" w:hAnsi="Times New Roman" w:eastAsia="宋体" w:cs="Times New Roman"/>
                      <w:bCs/>
                      <w:color w:val="000000" w:themeColor="text1"/>
                      <w:kern w:val="0"/>
                      <w:sz w:val="21"/>
                      <w:szCs w:val="21"/>
                      <w:highlight w:val="none"/>
                      <w:lang w:val="en-US" w:eastAsia="zh-CN"/>
                      <w14:textFill>
                        <w14:solidFill>
                          <w14:schemeClr w14:val="tx1"/>
                        </w14:solidFill>
                      </w14:textFill>
                    </w:rPr>
                    <w:t>已建成厂房</w:t>
                  </w:r>
                  <w:r>
                    <w:rPr>
                      <w:rFonts w:hint="default" w:ascii="Times New Roman" w:hAnsi="Times New Roman" w:eastAsia="宋体" w:cs="Times New Roman"/>
                      <w:bCs/>
                      <w:color w:val="000000" w:themeColor="text1"/>
                      <w:kern w:val="0"/>
                      <w:sz w:val="21"/>
                      <w:szCs w:val="21"/>
                      <w:highlight w:val="none"/>
                      <w:lang w:val="en-GB" w:eastAsia="zh-CN"/>
                      <w14:textFill>
                        <w14:solidFill>
                          <w14:schemeClr w14:val="tx1"/>
                        </w14:solidFill>
                      </w14:textFill>
                    </w:rPr>
                    <w:t>，目前</w:t>
                  </w:r>
                  <w:r>
                    <w:rPr>
                      <w:rFonts w:hint="eastAsia" w:cs="Times New Roman"/>
                      <w:bCs/>
                      <w:color w:val="000000" w:themeColor="text1"/>
                      <w:kern w:val="0"/>
                      <w:sz w:val="21"/>
                      <w:szCs w:val="21"/>
                      <w:highlight w:val="none"/>
                      <w:lang w:val="en-US" w:eastAsia="zh-CN"/>
                      <w14:textFill>
                        <w14:solidFill>
                          <w14:schemeClr w14:val="tx1"/>
                        </w14:solidFill>
                      </w14:textFill>
                    </w:rPr>
                    <w:t>正</w:t>
                  </w:r>
                  <w:r>
                    <w:rPr>
                      <w:rFonts w:hint="default" w:ascii="Times New Roman" w:hAnsi="Times New Roman" w:eastAsia="宋体" w:cs="Times New Roman"/>
                      <w:bCs/>
                      <w:color w:val="000000" w:themeColor="text1"/>
                      <w:kern w:val="0"/>
                      <w:sz w:val="21"/>
                      <w:szCs w:val="21"/>
                      <w:highlight w:val="none"/>
                      <w:lang w:val="en-GB" w:eastAsia="zh-CN"/>
                      <w14:textFill>
                        <w14:solidFill>
                          <w14:schemeClr w14:val="tx1"/>
                        </w14:solidFill>
                      </w14:textFill>
                    </w:rPr>
                    <w:t>在开展相关的环评手续。</w:t>
                  </w:r>
                </w:p>
              </w:tc>
              <w:tc>
                <w:tcPr>
                  <w:tcW w:w="401" w:type="pct"/>
                  <w:noWrap w:val="0"/>
                  <w:vAlign w:val="center"/>
                </w:tcPr>
                <w:p w14:paraId="58169996">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符合</w:t>
                  </w:r>
                </w:p>
              </w:tc>
            </w:tr>
            <w:tr w14:paraId="33B95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0B954EC5">
                  <w:pPr>
                    <w:pStyle w:val="61"/>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《陕西省大气污染防治条例》</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2023</w:t>
                  </w:r>
                  <w:r>
                    <w:rPr>
                      <w:rFonts w:hint="eastAsia" w:ascii="Times New Roman" w:hAnsi="Times New Roman" w:cs="Times New Roman"/>
                      <w:bCs/>
                      <w:color w:val="000000" w:themeColor="text1"/>
                      <w:kern w:val="0"/>
                      <w:sz w:val="21"/>
                      <w:szCs w:val="21"/>
                      <w:highlight w:val="none"/>
                      <w:lang w:val="en-US" w:eastAsia="zh-CN" w:bidi="ar-SA"/>
                      <w14:textFill>
                        <w14:solidFill>
                          <w14:schemeClr w14:val="tx1"/>
                        </w14:solidFill>
                      </w14:textFill>
                    </w:rPr>
                    <w:t>年</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修订</w:t>
                  </w:r>
                </w:p>
              </w:tc>
              <w:tc>
                <w:tcPr>
                  <w:tcW w:w="2224" w:type="pct"/>
                  <w:noWrap w:val="0"/>
                  <w:vAlign w:val="center"/>
                </w:tcPr>
                <w:p w14:paraId="744D48C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000000" w:themeColor="text1"/>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企业应当优先采用能源和原材料利用效率高、污染物排放量少的清洁生产技术、工艺和装备，减少大气污染物的产生和排放。</w:t>
                  </w:r>
                </w:p>
              </w:tc>
              <w:tc>
                <w:tcPr>
                  <w:tcW w:w="1444" w:type="pct"/>
                  <w:noWrap w:val="0"/>
                  <w:vAlign w:val="center"/>
                </w:tcPr>
                <w:p w14:paraId="64BF68E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000000" w:themeColor="text1"/>
                      <w:kern w:val="2"/>
                      <w:sz w:val="21"/>
                      <w:szCs w:val="21"/>
                      <w:highlight w:val="none"/>
                      <w:lang w:val="en-GB"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项目生产工</w:t>
                  </w:r>
                  <w: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t>序</w:t>
                  </w: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均使用电能。</w:t>
                  </w:r>
                </w:p>
              </w:tc>
              <w:tc>
                <w:tcPr>
                  <w:tcW w:w="401" w:type="pct"/>
                  <w:noWrap w:val="0"/>
                  <w:vAlign w:val="center"/>
                </w:tcPr>
                <w:p w14:paraId="1D45B600">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符合</w:t>
                  </w:r>
                </w:p>
              </w:tc>
            </w:tr>
            <w:tr w14:paraId="1DD3C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9" w:hRule="atLeast"/>
                <w:jc w:val="center"/>
              </w:trPr>
              <w:tc>
                <w:tcPr>
                  <w:tcW w:w="929" w:type="pct"/>
                  <w:vMerge w:val="restart"/>
                  <w:noWrap w:val="0"/>
                  <w:vAlign w:val="center"/>
                </w:tcPr>
                <w:p w14:paraId="0AB4F4DB">
                  <w:pPr>
                    <w:keepNext w:val="0"/>
                    <w:keepLines w:val="0"/>
                    <w:pageBreakBefore w:val="0"/>
                    <w:widowControl/>
                    <w:suppressLineNumbers w:val="0"/>
                    <w:kinsoku/>
                    <w:overflowPunct/>
                    <w:autoSpaceDE/>
                    <w:autoSpaceDN/>
                    <w:bidi w:val="0"/>
                    <w:spacing w:line="264" w:lineRule="auto"/>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《陕西省大气污染治理专项</w:t>
                  </w:r>
                </w:p>
                <w:p w14:paraId="70ECD114">
                  <w:pPr>
                    <w:keepNext w:val="0"/>
                    <w:keepLines w:val="0"/>
                    <w:pageBreakBefore w:val="0"/>
                    <w:widowControl/>
                    <w:suppressLineNumbers w:val="0"/>
                    <w:kinsoku/>
                    <w:overflowPunct/>
                    <w:autoSpaceDE/>
                    <w:autoSpaceDN/>
                    <w:bidi w:val="0"/>
                    <w:spacing w:line="264" w:lineRule="auto"/>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行动方案》</w:t>
                  </w:r>
                </w:p>
                <w:p w14:paraId="5FD47E1F">
                  <w:pPr>
                    <w:keepNext w:val="0"/>
                    <w:keepLines w:val="0"/>
                    <w:pageBreakBefore w:val="0"/>
                    <w:widowControl/>
                    <w:suppressLineNumbers w:val="0"/>
                    <w:kinsoku/>
                    <w:overflowPunct/>
                    <w:autoSpaceDE/>
                    <w:autoSpaceDN/>
                    <w:bidi w:val="0"/>
                    <w:spacing w:line="264" w:lineRule="auto"/>
                    <w:jc w:val="center"/>
                    <w:textAlignment w:val="auto"/>
                    <w:rPr>
                      <w:rFonts w:hint="default" w:ascii="Times New Roman" w:hAnsi="Times New Roman" w:eastAsia="宋体" w:cs="Times New Roman"/>
                      <w:color w:val="000000" w:themeColor="text1"/>
                      <w:kern w:val="0"/>
                      <w:sz w:val="21"/>
                      <w:szCs w:val="21"/>
                      <w:highlight w:val="none"/>
                      <w:lang w:val="en"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（2023-2027年）</w:t>
                  </w:r>
                </w:p>
              </w:tc>
              <w:tc>
                <w:tcPr>
                  <w:tcW w:w="2224" w:type="pct"/>
                  <w:noWrap w:val="0"/>
                  <w:vAlign w:val="center"/>
                </w:tcPr>
                <w:p w14:paraId="6F577E5B">
                  <w:pPr>
                    <w:pStyle w:val="61"/>
                    <w:keepNext w:val="0"/>
                    <w:keepLines w:val="0"/>
                    <w:pageBreakBefore w:val="0"/>
                    <w:kinsoku/>
                    <w:overflowPunct/>
                    <w:topLinePunct w:val="0"/>
                    <w:autoSpaceDE/>
                    <w:autoSpaceDN/>
                    <w:bidi w:val="0"/>
                    <w:spacing w:before="79" w:line="240" w:lineRule="auto"/>
                    <w:ind w:left="105" w:leftChars="0" w:right="36" w:rightChars="0"/>
                    <w:jc w:val="both"/>
                    <w:textAlignment w:val="auto"/>
                    <w:rPr>
                      <w:rFonts w:hint="default" w:ascii="Times New Roman" w:hAnsi="Times New Roman" w:eastAsia="宋体" w:cs="Times New Roman"/>
                      <w:color w:val="000000" w:themeColor="text1"/>
                      <w:kern w:val="0"/>
                      <w:sz w:val="21"/>
                      <w:szCs w:val="21"/>
                      <w:highlight w:val="none"/>
                      <w:lang w:val="en-GB"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产业结构调整。关中地区严禁新增钢铁、焦化、水泥熟料、平板玻璃、电解铝、氧化铝、煤化工产业，合理控制煤制油气产能规模，严控新增炼油产能。</w:t>
                  </w:r>
                </w:p>
              </w:tc>
              <w:tc>
                <w:tcPr>
                  <w:tcW w:w="1444" w:type="pct"/>
                  <w:noWrap w:val="0"/>
                  <w:vAlign w:val="center"/>
                </w:tcPr>
                <w:p w14:paraId="7DF26B68">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themeColor="text1"/>
                      <w:kern w:val="0"/>
                      <w:sz w:val="21"/>
                      <w:szCs w:val="21"/>
                      <w:highlight w:val="none"/>
                      <w:lang w:val="en-GB"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本项目为固体废物治理，不属于严禁新增产业。</w:t>
                  </w:r>
                </w:p>
              </w:tc>
              <w:tc>
                <w:tcPr>
                  <w:tcW w:w="401" w:type="pct"/>
                  <w:vMerge w:val="restart"/>
                  <w:noWrap w:val="0"/>
                  <w:vAlign w:val="center"/>
                </w:tcPr>
                <w:p w14:paraId="0C8F4AE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符合</w:t>
                  </w:r>
                </w:p>
              </w:tc>
            </w:tr>
            <w:tr w14:paraId="07AB7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5" w:hRule="atLeast"/>
                <w:jc w:val="center"/>
              </w:trPr>
              <w:tc>
                <w:tcPr>
                  <w:tcW w:w="929" w:type="pct"/>
                  <w:vMerge w:val="continue"/>
                  <w:noWrap w:val="0"/>
                  <w:vAlign w:val="center"/>
                </w:tcPr>
                <w:p w14:paraId="40F2D5D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color w:val="000000" w:themeColor="text1"/>
                      <w:highlight w:val="none"/>
                      <w14:textFill>
                        <w14:solidFill>
                          <w14:schemeClr w14:val="tx1"/>
                        </w14:solidFill>
                      </w14:textFill>
                    </w:rPr>
                  </w:pPr>
                </w:p>
              </w:tc>
              <w:tc>
                <w:tcPr>
                  <w:tcW w:w="2224" w:type="pct"/>
                  <w:noWrap w:val="0"/>
                  <w:vAlign w:val="center"/>
                </w:tcPr>
                <w:p w14:paraId="3767320A">
                  <w:pPr>
                    <w:pStyle w:val="61"/>
                    <w:keepNext w:val="0"/>
                    <w:keepLines w:val="0"/>
                    <w:pageBreakBefore w:val="0"/>
                    <w:kinsoku/>
                    <w:overflowPunct/>
                    <w:topLinePunct w:val="0"/>
                    <w:autoSpaceDE/>
                    <w:autoSpaceDN/>
                    <w:bidi w:val="0"/>
                    <w:spacing w:before="80" w:line="240" w:lineRule="auto"/>
                    <w:ind w:left="106" w:leftChars="0" w:right="29" w:rightChars="0" w:firstLine="3" w:firstLineChars="0"/>
                    <w:jc w:val="both"/>
                    <w:textAlignment w:val="auto"/>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关中地区辖区及开发区范围内新、改、扩建涉气重点行业应达到环保绩效A级、绩效引领性水平，西安市、咸阳市、渭南市的其他区域应达到环保绩效B级及以上水平。</w:t>
                  </w:r>
                </w:p>
              </w:tc>
              <w:tc>
                <w:tcPr>
                  <w:tcW w:w="1444" w:type="pct"/>
                  <w:noWrap w:val="0"/>
                  <w:vAlign w:val="center"/>
                </w:tcPr>
                <w:p w14:paraId="68BE2D08">
                  <w:pPr>
                    <w:pStyle w:val="61"/>
                    <w:keepNext w:val="0"/>
                    <w:keepLines w:val="0"/>
                    <w:pageBreakBefore w:val="0"/>
                    <w:kinsoku/>
                    <w:overflowPunct/>
                    <w:topLinePunct w:val="0"/>
                    <w:autoSpaceDE/>
                    <w:autoSpaceDN/>
                    <w:bidi w:val="0"/>
                    <w:spacing w:before="65" w:line="240" w:lineRule="auto"/>
                    <w:ind w:right="95" w:rightChars="0"/>
                    <w:jc w:val="both"/>
                    <w:textAlignment w:val="auto"/>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本项目不属于涉气重点行业</w:t>
                  </w: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w:t>
                  </w:r>
                </w:p>
              </w:tc>
              <w:tc>
                <w:tcPr>
                  <w:tcW w:w="401" w:type="pct"/>
                  <w:vMerge w:val="continue"/>
                  <w:noWrap w:val="0"/>
                  <w:vAlign w:val="center"/>
                </w:tcPr>
                <w:p w14:paraId="15449F0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p>
              </w:tc>
            </w:tr>
            <w:tr w14:paraId="0439E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138CC2D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陕西省生态环境厅关于进一步加强关中地区涉气重点行业项目环评管理的通知（陕环环评函</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〔2023〕76号</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2224" w:type="pct"/>
                  <w:noWrap w:val="0"/>
                  <w:vAlign w:val="center"/>
                </w:tcPr>
                <w:p w14:paraId="2AAA0852">
                  <w:pPr>
                    <w:pStyle w:val="23"/>
                    <w:keepNext w:val="0"/>
                    <w:keepLines w:val="0"/>
                    <w:pageBreakBefore w:val="0"/>
                    <w:widowControl/>
                    <w:kinsoku/>
                    <w:wordWrap/>
                    <w:overflowPunct/>
                    <w:topLinePunct w:val="0"/>
                    <w:autoSpaceDE/>
                    <w:autoSpaceDN/>
                    <w:bidi w:val="0"/>
                    <w:adjustRightInd w:val="0"/>
                    <w:snapToGrid w:val="0"/>
                    <w:spacing w:before="0" w:after="0" w:line="240" w:lineRule="auto"/>
                    <w:ind w:right="0" w:rightChars="0" w:firstLine="0"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pacing w:val="0"/>
                      <w:kern w:val="0"/>
                      <w:sz w:val="21"/>
                      <w:szCs w:val="21"/>
                      <w:highlight w:val="none"/>
                      <w:lang w:val="en-US" w:eastAsia="zh-CN" w:bidi="ar-SA"/>
                      <w14:textFill>
                        <w14:solidFill>
                          <w14:schemeClr w14:val="tx1"/>
                        </w14:solidFill>
                      </w14:textFill>
                    </w:rPr>
                    <w:t>一、关中地区涉气重点行业项目范围为生态环境部确定的39个重点行业的新改扩建项目，涉及关中各市（区）辖区及开发区范围内的应达到环保绩效A级、绩效引领性水平要求，西安市、咸阳市、渭南市的其他区域应达到环保绩效B级及以上要求。</w:t>
                  </w:r>
                </w:p>
              </w:tc>
              <w:tc>
                <w:tcPr>
                  <w:tcW w:w="1444" w:type="pct"/>
                  <w:vMerge w:val="restart"/>
                  <w:noWrap w:val="0"/>
                  <w:vAlign w:val="center"/>
                </w:tcPr>
                <w:p w14:paraId="6A4CCE5E">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本项目</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位于西咸新区泾河新城，属于关中地区；不属于</w:t>
                  </w:r>
                  <w:r>
                    <w:rPr>
                      <w:rFonts w:hint="default" w:ascii="Times New Roman" w:hAnsi="Times New Roman" w:eastAsia="宋体" w:cs="Times New Roman"/>
                      <w:color w:val="000000" w:themeColor="text1"/>
                      <w:sz w:val="21"/>
                      <w:szCs w:val="21"/>
                      <w:highlight w:val="none"/>
                      <w14:textFill>
                        <w14:solidFill>
                          <w14:schemeClr w14:val="tx1"/>
                        </w14:solidFill>
                      </w14:textFill>
                    </w:rPr>
                    <w:t>《重污染天气重点行业应急减排措施制定技术指南（2020年修订版）》中的重点行业</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中，不纳入绩效评级管理。</w:t>
                  </w:r>
                </w:p>
              </w:tc>
              <w:tc>
                <w:tcPr>
                  <w:tcW w:w="401" w:type="pct"/>
                  <w:noWrap w:val="0"/>
                  <w:vAlign w:val="center"/>
                </w:tcPr>
                <w:p w14:paraId="4407703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符合</w:t>
                  </w:r>
                </w:p>
              </w:tc>
            </w:tr>
            <w:tr w14:paraId="6F416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7E18580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2224" w:type="pct"/>
                  <w:noWrap w:val="0"/>
                  <w:vAlign w:val="center"/>
                </w:tcPr>
                <w:p w14:paraId="36DEA072">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二、关中地区涉气重点行业新、改、扩建项目环境影响报告书（表）应编制环保绩效管理篇章，按照环办大气函〔2020</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340号文件从建设项目的装备水平</w:t>
                  </w:r>
                  <w:r>
                    <w:rPr>
                      <w:rFonts w:hint="eastAsia"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生产工艺</w:t>
                  </w:r>
                  <w:r>
                    <w:rPr>
                      <w:rFonts w:hint="eastAsia"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污染治理技术、排放限值、无组织管控要求、监测监控水平、环境管理水平、运输方式和管控要求等方面，专项分析拟建和已建项目建设内容、生态环境保护措施与对应环保绩效分级、绩效引领性水平的相符性。</w:t>
                  </w:r>
                </w:p>
              </w:tc>
              <w:tc>
                <w:tcPr>
                  <w:tcW w:w="1444" w:type="pct"/>
                  <w:vMerge w:val="continue"/>
                  <w:noWrap w:val="0"/>
                  <w:vAlign w:val="center"/>
                </w:tcPr>
                <w:p w14:paraId="118E8A16">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c>
                <w:tcPr>
                  <w:tcW w:w="401" w:type="pct"/>
                  <w:noWrap w:val="0"/>
                  <w:vAlign w:val="center"/>
                </w:tcPr>
                <w:p w14:paraId="63A35BE4">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符合</w:t>
                  </w:r>
                </w:p>
              </w:tc>
            </w:tr>
            <w:tr w14:paraId="42A28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3B69264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《陕西省生态环境厅关于解决企业申报污染物许可排放量与环评文件排放量不一致问题的通知》（陕环排管函〔2024〕18号）</w:t>
                  </w:r>
                </w:p>
              </w:tc>
              <w:tc>
                <w:tcPr>
                  <w:tcW w:w="2224" w:type="pct"/>
                  <w:noWrap w:val="0"/>
                  <w:vAlign w:val="center"/>
                </w:tcPr>
                <w:p w14:paraId="64A44BB0">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新改扩建项目环评文件应明确污染物排放量核算符合排污许可规范等相关要求</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同时增加该项目与已建成同类项目实际污染物达标排放量的比对分析内容</w:t>
                  </w:r>
                  <w:r>
                    <w:rPr>
                      <w:rFonts w:hint="eastAsia"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优先采用监测数据法，其次采用产排污系数法、物料衡算法核算</w:t>
                  </w:r>
                  <w:r>
                    <w:rPr>
                      <w:rFonts w:hint="eastAsia"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，综合确定该项目污染物排放量。环评文件审批部门应将项目污染物排放量作为环评审查的主要内容，确保环评文件排放量同时满足环境影响评价和排污许可管理要求。</w:t>
                  </w:r>
                </w:p>
              </w:tc>
              <w:tc>
                <w:tcPr>
                  <w:tcW w:w="1444" w:type="pct"/>
                  <w:noWrap w:val="0"/>
                  <w:vAlign w:val="center"/>
                </w:tcPr>
                <w:p w14:paraId="330C0B27">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kern w:val="21"/>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t>根据《固定污染源排污许可分类管理名录（2019年版）》</w:t>
                  </w: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w:t>
                  </w:r>
                  <w:r>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t>需</w:t>
                  </w:r>
                  <w:r>
                    <w:rPr>
                      <w:rFonts w:hint="eastAsia"/>
                      <w:color w:val="000000" w:themeColor="text1"/>
                      <w:highlight w:val="none"/>
                      <w:lang w:val="en-US" w:eastAsia="zh-CN"/>
                      <w14:textFill>
                        <w14:solidFill>
                          <w14:schemeClr w14:val="tx1"/>
                        </w14:solidFill>
                      </w14:textFill>
                    </w:rPr>
                    <w:t>办理排污许可证手续，</w:t>
                  </w:r>
                  <w:r>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t>申请排污许可证时</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综合确定该项目污染物排放量</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401" w:type="pct"/>
                  <w:noWrap w:val="0"/>
                  <w:vAlign w:val="center"/>
                </w:tcPr>
                <w:p w14:paraId="658A9850">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符合</w:t>
                  </w:r>
                </w:p>
              </w:tc>
            </w:tr>
            <w:tr w14:paraId="431C7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584D33E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《陕西省西咸新区党政办公室关于印发西咸新区推进实现“十四五”空气质量目标暨大气污染治理专项行动2025年工作方案的通知》陕西咸党政办函〔2025〕13号</w:t>
                  </w:r>
                </w:p>
              </w:tc>
              <w:tc>
                <w:tcPr>
                  <w:tcW w:w="2224" w:type="pct"/>
                  <w:noWrap w:val="0"/>
                  <w:vAlign w:val="center"/>
                </w:tcPr>
                <w:p w14:paraId="146FF5E7">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新、改、扩建项目严格落实各项准入要求，原则上采用清洁运输方式，对属于节能降碳工业重点领域的新建项目必须按照能效标杆</w:t>
                  </w:r>
                  <w:r>
                    <w:rPr>
                      <w:rFonts w:hint="eastAsia" w:cs="Times New Roman"/>
                      <w:color w:val="000000" w:themeColor="text1"/>
                      <w:sz w:val="21"/>
                      <w:szCs w:val="21"/>
                      <w:highlight w:val="none"/>
                      <w:lang w:val="en-US" w:eastAsia="zh-CN"/>
                      <w14:textFill>
                        <w14:solidFill>
                          <w14:schemeClr w14:val="tx1"/>
                        </w14:solidFill>
                      </w14:textFill>
                    </w:rPr>
                    <w:t>水平</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建设。</w:t>
                  </w:r>
                </w:p>
              </w:tc>
              <w:tc>
                <w:tcPr>
                  <w:tcW w:w="1444" w:type="pct"/>
                  <w:noWrap w:val="0"/>
                  <w:vAlign w:val="center"/>
                </w:tcPr>
                <w:p w14:paraId="2A3121F8">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eastAsia" w:cs="Times New Roman"/>
                      <w:color w:val="000000" w:themeColor="text1"/>
                      <w:kern w:val="21"/>
                      <w:sz w:val="21"/>
                      <w:szCs w:val="21"/>
                      <w:highlight w:val="none"/>
                      <w:lang w:val="en-US" w:eastAsia="zh-CN"/>
                      <w14:textFill>
                        <w14:solidFill>
                          <w14:schemeClr w14:val="tx1"/>
                        </w14:solidFill>
                      </w14:textFill>
                    </w:rPr>
                  </w:pPr>
                  <w:r>
                    <w:rPr>
                      <w:rFonts w:hint="eastAsia" w:cs="Times New Roman"/>
                      <w:color w:val="000000" w:themeColor="text1"/>
                      <w:kern w:val="21"/>
                      <w:sz w:val="21"/>
                      <w:szCs w:val="21"/>
                      <w:highlight w:val="none"/>
                      <w:lang w:val="en-US" w:eastAsia="zh-CN"/>
                      <w14:textFill>
                        <w14:solidFill>
                          <w14:schemeClr w14:val="tx1"/>
                        </w14:solidFill>
                      </w14:textFill>
                    </w:rPr>
                    <w:t>本项目使用的非道路移动机械为</w:t>
                  </w:r>
                  <w:r>
                    <w:rPr>
                      <w:rFonts w:hint="eastAsia"/>
                      <w:color w:val="000000" w:themeColor="text1"/>
                      <w:highlight w:val="none"/>
                      <w:vertAlign w:val="baseline"/>
                      <w:lang w:val="en-US" w:eastAsia="zh-CN"/>
                      <w14:textFill>
                        <w14:solidFill>
                          <w14:schemeClr w14:val="tx1"/>
                        </w14:solidFill>
                      </w14:textFill>
                    </w:rPr>
                    <w:t>叉车夹抱机，使用电能。</w:t>
                  </w:r>
                </w:p>
              </w:tc>
              <w:tc>
                <w:tcPr>
                  <w:tcW w:w="401" w:type="pct"/>
                  <w:vMerge w:val="restart"/>
                  <w:noWrap w:val="0"/>
                  <w:vAlign w:val="center"/>
                </w:tcPr>
                <w:p w14:paraId="2271B750">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pPr>
                  <w:r>
                    <w:rPr>
                      <w:rFonts w:hint="eastAsia" w:cs="Times New Roman"/>
                      <w:color w:val="000000" w:themeColor="text1"/>
                      <w:kern w:val="21"/>
                      <w:sz w:val="21"/>
                      <w:szCs w:val="21"/>
                      <w:highlight w:val="none"/>
                      <w:lang w:val="en-US" w:eastAsia="zh-CN"/>
                      <w14:textFill>
                        <w14:solidFill>
                          <w14:schemeClr w14:val="tx1"/>
                        </w14:solidFill>
                      </w14:textFill>
                    </w:rPr>
                    <w:t>符合</w:t>
                  </w:r>
                </w:p>
              </w:tc>
            </w:tr>
            <w:tr w14:paraId="135F2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14AD93C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p>
              </w:tc>
              <w:tc>
                <w:tcPr>
                  <w:tcW w:w="2224" w:type="pct"/>
                  <w:noWrap w:val="0"/>
                  <w:vAlign w:val="center"/>
                </w:tcPr>
                <w:p w14:paraId="626E720B">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落实易造成粉尘逸散的砂石等运输车辆密闭运输要求，防止运输过程中出现抛撒滴漏及扬尘问题。</w:t>
                  </w:r>
                </w:p>
              </w:tc>
              <w:tc>
                <w:tcPr>
                  <w:tcW w:w="1444" w:type="pct"/>
                  <w:noWrap w:val="0"/>
                  <w:vAlign w:val="center"/>
                </w:tcPr>
                <w:p w14:paraId="4F6A1AFD">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pPr>
                  <w:r>
                    <w:rPr>
                      <w:rFonts w:hint="eastAsia" w:cs="Times New Roman"/>
                      <w:color w:val="000000" w:themeColor="text1"/>
                      <w:kern w:val="21"/>
                      <w:sz w:val="21"/>
                      <w:szCs w:val="21"/>
                      <w:highlight w:val="none"/>
                      <w:lang w:val="en-US" w:eastAsia="zh-CN"/>
                      <w14:textFill>
                        <w14:solidFill>
                          <w14:schemeClr w14:val="tx1"/>
                        </w14:solidFill>
                      </w14:textFill>
                    </w:rPr>
                    <w:t>本项目原料运输过程中苫盖篷布。</w:t>
                  </w:r>
                </w:p>
              </w:tc>
              <w:tc>
                <w:tcPr>
                  <w:tcW w:w="401" w:type="pct"/>
                  <w:vMerge w:val="continue"/>
                  <w:noWrap w:val="0"/>
                  <w:vAlign w:val="center"/>
                </w:tcPr>
                <w:p w14:paraId="28A8E51A">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pPr>
                </w:p>
              </w:tc>
            </w:tr>
            <w:tr w14:paraId="28C25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3D1C869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p>
              </w:tc>
              <w:tc>
                <w:tcPr>
                  <w:tcW w:w="2224" w:type="pct"/>
                  <w:noWrap w:val="0"/>
                  <w:vAlign w:val="center"/>
                </w:tcPr>
                <w:p w14:paraId="553C05F6">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严禁露天装卸作业和物料干法作业，</w:t>
                  </w:r>
                </w:p>
              </w:tc>
              <w:tc>
                <w:tcPr>
                  <w:tcW w:w="1444" w:type="pct"/>
                  <w:noWrap w:val="0"/>
                  <w:vAlign w:val="center"/>
                </w:tcPr>
                <w:p w14:paraId="79E090F3">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eastAsia" w:cs="Times New Roman"/>
                      <w:color w:val="000000" w:themeColor="text1"/>
                      <w:kern w:val="21"/>
                      <w:sz w:val="21"/>
                      <w:szCs w:val="21"/>
                      <w:highlight w:val="none"/>
                      <w:lang w:val="en-US" w:eastAsia="zh-CN"/>
                      <w14:textFill>
                        <w14:solidFill>
                          <w14:schemeClr w14:val="tx1"/>
                        </w14:solidFill>
                      </w14:textFill>
                    </w:rPr>
                  </w:pPr>
                  <w:r>
                    <w:rPr>
                      <w:rFonts w:hint="eastAsia" w:cs="Times New Roman"/>
                      <w:color w:val="000000" w:themeColor="text1"/>
                      <w:kern w:val="21"/>
                      <w:sz w:val="21"/>
                      <w:szCs w:val="21"/>
                      <w:highlight w:val="none"/>
                      <w:lang w:val="en-US" w:eastAsia="zh-CN"/>
                      <w14:textFill>
                        <w14:solidFill>
                          <w14:schemeClr w14:val="tx1"/>
                        </w14:solidFill>
                      </w14:textFill>
                    </w:rPr>
                    <w:t>本项目原料卸车产品装车均在厂房内完成。</w:t>
                  </w:r>
                </w:p>
              </w:tc>
              <w:tc>
                <w:tcPr>
                  <w:tcW w:w="401" w:type="pct"/>
                  <w:vMerge w:val="continue"/>
                  <w:noWrap w:val="0"/>
                  <w:vAlign w:val="center"/>
                </w:tcPr>
                <w:p w14:paraId="2B38A461">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pPr>
                </w:p>
              </w:tc>
            </w:tr>
            <w:tr w14:paraId="3CE42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restart"/>
                  <w:noWrap w:val="0"/>
                  <w:vAlign w:val="center"/>
                </w:tcPr>
                <w:p w14:paraId="411A6D23">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陕西省西咸新区泾河新城党政办公室关于印发《泾河新城推进实现“十四五”空气质量目标暨大气污染治理专项行动2025年工作方案》陕泾河办发〔2025〕6号</w:t>
                  </w:r>
                </w:p>
              </w:tc>
              <w:tc>
                <w:tcPr>
                  <w:tcW w:w="2224" w:type="pct"/>
                  <w:noWrap w:val="0"/>
                  <w:vAlign w:val="center"/>
                </w:tcPr>
                <w:p w14:paraId="2B6941D7">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新、改、扩建项目严格落实各项准入要求，原则上采用清洁运输方式，对属于节能降碳工业重点领域的新建项目必须按照能效标杆</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水平</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建设。</w:t>
                  </w:r>
                </w:p>
              </w:tc>
              <w:tc>
                <w:tcPr>
                  <w:tcW w:w="1444" w:type="pct"/>
                  <w:noWrap w:val="0"/>
                  <w:vAlign w:val="center"/>
                </w:tcPr>
                <w:p w14:paraId="61CB2D9A">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本项目使用的非道路移动机械为叉车夹抱机，使用电能。</w:t>
                  </w:r>
                </w:p>
              </w:tc>
              <w:tc>
                <w:tcPr>
                  <w:tcW w:w="401" w:type="pct"/>
                  <w:vMerge w:val="restart"/>
                  <w:noWrap w:val="0"/>
                  <w:vAlign w:val="center"/>
                </w:tcPr>
                <w:p w14:paraId="1FCEE193">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pPr>
                  <w:r>
                    <w:rPr>
                      <w:rFonts w:hint="eastAsia" w:cs="Times New Roman"/>
                      <w:color w:val="000000" w:themeColor="text1"/>
                      <w:kern w:val="21"/>
                      <w:sz w:val="21"/>
                      <w:szCs w:val="21"/>
                      <w:highlight w:val="none"/>
                      <w:lang w:val="en-US" w:eastAsia="zh-CN"/>
                      <w14:textFill>
                        <w14:solidFill>
                          <w14:schemeClr w14:val="tx1"/>
                        </w14:solidFill>
                      </w14:textFill>
                    </w:rPr>
                    <w:t>符合</w:t>
                  </w:r>
                </w:p>
              </w:tc>
            </w:tr>
            <w:tr w14:paraId="1E011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29C733BA">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2224" w:type="pct"/>
                  <w:noWrap w:val="0"/>
                  <w:vAlign w:val="center"/>
                </w:tcPr>
                <w:p w14:paraId="5E906480">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落实易造成粉尘逸散的砂石等运输车辆密闭运输要求，防止运输过程中出现抛撒滴漏及扬尘问题。</w:t>
                  </w:r>
                </w:p>
              </w:tc>
              <w:tc>
                <w:tcPr>
                  <w:tcW w:w="1444" w:type="pct"/>
                  <w:noWrap w:val="0"/>
                  <w:vAlign w:val="center"/>
                </w:tcPr>
                <w:p w14:paraId="6A883307">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本项目原料运输过程中苫盖篷布。</w:t>
                  </w:r>
                </w:p>
              </w:tc>
              <w:tc>
                <w:tcPr>
                  <w:tcW w:w="401" w:type="pct"/>
                  <w:vMerge w:val="continue"/>
                  <w:noWrap w:val="0"/>
                  <w:vAlign w:val="center"/>
                </w:tcPr>
                <w:p w14:paraId="41722BFF">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pPr>
                </w:p>
              </w:tc>
            </w:tr>
            <w:tr w14:paraId="09A64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vMerge w:val="continue"/>
                  <w:noWrap w:val="0"/>
                  <w:vAlign w:val="center"/>
                </w:tcPr>
                <w:p w14:paraId="24983938">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2224" w:type="pct"/>
                  <w:noWrap w:val="0"/>
                  <w:vAlign w:val="center"/>
                </w:tcPr>
                <w:p w14:paraId="357ECDEB">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严禁露天装卸作业和物料</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干</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法作业</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1444" w:type="pct"/>
                  <w:noWrap w:val="0"/>
                  <w:vAlign w:val="center"/>
                </w:tcPr>
                <w:p w14:paraId="295A2B45">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本项目原料卸车产品装车均在厂房内完成。</w:t>
                  </w:r>
                </w:p>
              </w:tc>
              <w:tc>
                <w:tcPr>
                  <w:tcW w:w="401" w:type="pct"/>
                  <w:vMerge w:val="continue"/>
                  <w:noWrap w:val="0"/>
                  <w:vAlign w:val="center"/>
                </w:tcPr>
                <w:p w14:paraId="57E715CB">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pPr>
                </w:p>
              </w:tc>
            </w:tr>
            <w:tr w14:paraId="63B52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3AF4F911">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kern w:val="21"/>
                      <w:sz w:val="21"/>
                      <w:szCs w:val="21"/>
                      <w:highlight w:val="none"/>
                      <w:lang w:val="en"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《西安市人民政府关于印发西安市空气质量达标规划（2023-2030年）的通知》（市政发〔2023〕10号）</w:t>
                  </w:r>
                </w:p>
              </w:tc>
              <w:tc>
                <w:tcPr>
                  <w:tcW w:w="2224" w:type="pct"/>
                  <w:noWrap w:val="0"/>
                  <w:vAlign w:val="center"/>
                </w:tcPr>
                <w:p w14:paraId="27F2A124">
                  <w:pPr>
                    <w:keepNext w:val="0"/>
                    <w:keepLines w:val="0"/>
                    <w:pageBreakBefore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根据国土空间规划分区和用途管制，实施</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三线一单</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（生态保护红线、环境质量底线、资源利用上线和生态环境准入清单）生态环境分区管控制度。</w:t>
                  </w:r>
                </w:p>
              </w:tc>
              <w:tc>
                <w:tcPr>
                  <w:tcW w:w="1444" w:type="pct"/>
                  <w:noWrap w:val="0"/>
                  <w:vAlign w:val="center"/>
                </w:tcPr>
                <w:p w14:paraId="3B595462">
                  <w:pPr>
                    <w:keepNext w:val="0"/>
                    <w:keepLines w:val="0"/>
                    <w:pageBreakBefore w:val="0"/>
                    <w:widowControl w:val="0"/>
                    <w:kinsoku/>
                    <w:wordWrap w:val="0"/>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themeColor="text1"/>
                      <w:kern w:val="21"/>
                      <w:sz w:val="21"/>
                      <w:szCs w:val="21"/>
                      <w:highlight w:val="none"/>
                      <w:lang w:val="en-GB" w:eastAsia="zh-CN"/>
                      <w14:textFill>
                        <w14:solidFill>
                          <w14:schemeClr w14:val="tx1"/>
                        </w14:solidFill>
                      </w14:textFill>
                    </w:rPr>
                  </w:pP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项目符合</w:t>
                  </w:r>
                  <w:r>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三线一单</w:t>
                  </w:r>
                  <w:r>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生态环境分区管控中的相关要求。</w:t>
                  </w:r>
                </w:p>
              </w:tc>
              <w:tc>
                <w:tcPr>
                  <w:tcW w:w="401" w:type="pct"/>
                  <w:noWrap w:val="0"/>
                  <w:vAlign w:val="center"/>
                </w:tcPr>
                <w:p w14:paraId="380DDFA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符合</w:t>
                  </w:r>
                </w:p>
              </w:tc>
            </w:tr>
            <w:tr w14:paraId="1697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0E769C89">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cs="Times New Roman"/>
                      <w:color w:val="000000" w:themeColor="text1"/>
                      <w:kern w:val="21"/>
                      <w:sz w:val="21"/>
                      <w:szCs w:val="21"/>
                      <w:highlight w:val="none"/>
                      <w:lang w:val="en" w:eastAsia="zh-CN"/>
                      <w14:textFill>
                        <w14:solidFill>
                          <w14:schemeClr w14:val="tx1"/>
                        </w14:solidFill>
                      </w14:textFill>
                    </w:rPr>
                    <w:t>《</w:t>
                  </w:r>
                  <w:r>
                    <w:rPr>
                      <w:rFonts w:hint="default" w:ascii="Times New Roman" w:hAnsi="Times New Roman" w:cs="Times New Roman"/>
                      <w:color w:val="000000" w:themeColor="text1"/>
                      <w:kern w:val="21"/>
                      <w:sz w:val="21"/>
                      <w:szCs w:val="21"/>
                      <w:highlight w:val="none"/>
                      <w:lang w:val="en"/>
                      <w14:textFill>
                        <w14:solidFill>
                          <w14:schemeClr w14:val="tx1"/>
                        </w14:solidFill>
                      </w14:textFill>
                    </w:rPr>
                    <w:t>西安市人民政府关于印发</w:t>
                  </w:r>
                  <w:r>
                    <w:rPr>
                      <w:rFonts w:hint="eastAsia" w:ascii="Times New Roman" w:hAnsi="Times New Roman" w:cs="Times New Roman"/>
                      <w:color w:val="000000" w:themeColor="text1"/>
                      <w:kern w:val="21"/>
                      <w:sz w:val="21"/>
                      <w:szCs w:val="21"/>
                      <w:highlight w:val="none"/>
                      <w:lang w:val="en" w:eastAsia="zh-CN"/>
                      <w14:textFill>
                        <w14:solidFill>
                          <w14:schemeClr w14:val="tx1"/>
                        </w14:solidFill>
                      </w14:textFill>
                    </w:rPr>
                    <w:t>“</w:t>
                  </w:r>
                  <w:r>
                    <w:rPr>
                      <w:rFonts w:hint="default" w:ascii="Times New Roman" w:hAnsi="Times New Roman" w:cs="Times New Roman"/>
                      <w:color w:val="000000" w:themeColor="text1"/>
                      <w:kern w:val="21"/>
                      <w:sz w:val="21"/>
                      <w:szCs w:val="21"/>
                      <w:highlight w:val="none"/>
                      <w:lang w:val="en"/>
                      <w14:textFill>
                        <w14:solidFill>
                          <w14:schemeClr w14:val="tx1"/>
                        </w14:solidFill>
                      </w14:textFill>
                    </w:rPr>
                    <w:t>十四五</w:t>
                  </w:r>
                  <w:r>
                    <w:rPr>
                      <w:rFonts w:hint="eastAsia" w:ascii="Times New Roman" w:hAnsi="Times New Roman" w:cs="Times New Roman"/>
                      <w:color w:val="000000" w:themeColor="text1"/>
                      <w:kern w:val="21"/>
                      <w:sz w:val="21"/>
                      <w:szCs w:val="21"/>
                      <w:highlight w:val="none"/>
                      <w:lang w:val="en" w:eastAsia="zh-CN"/>
                      <w14:textFill>
                        <w14:solidFill>
                          <w14:schemeClr w14:val="tx1"/>
                        </w14:solidFill>
                      </w14:textFill>
                    </w:rPr>
                    <w:t>”</w:t>
                  </w:r>
                  <w:r>
                    <w:rPr>
                      <w:rFonts w:hint="default" w:ascii="Times New Roman" w:hAnsi="Times New Roman" w:cs="Times New Roman"/>
                      <w:color w:val="000000" w:themeColor="text1"/>
                      <w:kern w:val="21"/>
                      <w:sz w:val="21"/>
                      <w:szCs w:val="21"/>
                      <w:highlight w:val="none"/>
                      <w:lang w:val="en"/>
                      <w14:textFill>
                        <w14:solidFill>
                          <w14:schemeClr w14:val="tx1"/>
                        </w14:solidFill>
                      </w14:textFill>
                    </w:rPr>
                    <w:t>生态环境保护规划的通知</w:t>
                  </w:r>
                  <w:r>
                    <w:rPr>
                      <w:rFonts w:hint="default" w:ascii="Times New Roman" w:hAnsi="Times New Roman" w:cs="Times New Roman"/>
                      <w:color w:val="000000" w:themeColor="text1"/>
                      <w:kern w:val="21"/>
                      <w:sz w:val="21"/>
                      <w:szCs w:val="21"/>
                      <w:highlight w:val="none"/>
                      <w:lang w:val="en" w:eastAsia="zh-CN"/>
                      <w14:textFill>
                        <w14:solidFill>
                          <w14:schemeClr w14:val="tx1"/>
                        </w14:solidFill>
                      </w14:textFill>
                    </w:rPr>
                    <w:t>》</w:t>
                  </w:r>
                  <w:r>
                    <w:rPr>
                      <w:rFonts w:hint="default" w:ascii="Times New Roman" w:hAnsi="Times New Roman" w:cs="Times New Roman"/>
                      <w:color w:val="000000" w:themeColor="text1"/>
                      <w:kern w:val="21"/>
                      <w:sz w:val="21"/>
                      <w:szCs w:val="21"/>
                      <w:highlight w:val="none"/>
                      <w:lang w:val="en"/>
                      <w14:textFill>
                        <w14:solidFill>
                          <w14:schemeClr w14:val="tx1"/>
                        </w14:solidFill>
                      </w14:textFill>
                    </w:rPr>
                    <w:t>（市政发〔2021〕21号）</w:t>
                  </w:r>
                </w:p>
              </w:tc>
              <w:tc>
                <w:tcPr>
                  <w:tcW w:w="2224" w:type="pct"/>
                  <w:noWrap w:val="0"/>
                  <w:vAlign w:val="center"/>
                </w:tcPr>
                <w:p w14:paraId="2AF808B3">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坚持将生态环境保护融入发展全过程，落实</w:t>
                  </w: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三线一单</w:t>
                  </w: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制度，强化环评源头预防作用，健全排污许可制度。</w:t>
                  </w:r>
                </w:p>
              </w:tc>
              <w:tc>
                <w:tcPr>
                  <w:tcW w:w="1444" w:type="pct"/>
                  <w:noWrap w:val="0"/>
                  <w:vAlign w:val="center"/>
                </w:tcPr>
                <w:p w14:paraId="49A0D4B8">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21"/>
                      <w:sz w:val="21"/>
                      <w:szCs w:val="21"/>
                      <w:highlight w:val="none"/>
                      <w:lang w:val="en-GB" w:eastAsia="zh-CN"/>
                      <w14:textFill>
                        <w14:solidFill>
                          <w14:schemeClr w14:val="tx1"/>
                        </w14:solidFill>
                      </w14:textFill>
                    </w:rPr>
                    <w:t>项目</w:t>
                  </w:r>
                  <w:r>
                    <w:rPr>
                      <w:rFonts w:hint="default" w:ascii="Times New Roman" w:hAnsi="Times New Roman" w:eastAsia="宋体" w:cs="Times New Roman"/>
                      <w:color w:val="000000" w:themeColor="text1"/>
                      <w:kern w:val="21"/>
                      <w:sz w:val="21"/>
                      <w:szCs w:val="21"/>
                      <w:highlight w:val="none"/>
                      <w:lang w:val="en-US" w:eastAsia="zh-CN"/>
                      <w14:textFill>
                        <w14:solidFill>
                          <w14:schemeClr w14:val="tx1"/>
                        </w14:solidFill>
                      </w14:textFill>
                    </w:rPr>
                    <w:t>位于陕西省西咸新区泾河新城</w:t>
                  </w:r>
                  <w:r>
                    <w:rPr>
                      <w:rFonts w:ascii="Times New Roman" w:hAnsi="Times New Roman" w:eastAsia="宋体" w:cs="Times New Roman"/>
                      <w:color w:val="000000" w:themeColor="text1"/>
                      <w:szCs w:val="21"/>
                      <w:highlight w:val="none"/>
                      <w14:textFill>
                        <w14:solidFill>
                          <w14:schemeClr w14:val="tx1"/>
                        </w14:solidFill>
                      </w14:textFill>
                    </w:rPr>
                    <w:t>永乐工业园</w:t>
                  </w:r>
                  <w:r>
                    <w:rPr>
                      <w:rFonts w:hint="eastAsia" w:ascii="Times New Roman" w:hAnsi="Times New Roman" w:eastAsia="宋体" w:cs="Times New Roman"/>
                      <w:bCs/>
                      <w:color w:val="000000" w:themeColor="text1"/>
                      <w:kern w:val="0"/>
                      <w:sz w:val="21"/>
                      <w:szCs w:val="21"/>
                      <w:highlight w:val="none"/>
                      <w:lang w:val="en-GB" w:eastAsia="zh-CN"/>
                      <w14:textFill>
                        <w14:solidFill>
                          <w14:schemeClr w14:val="tx1"/>
                        </w14:solidFill>
                      </w14:textFill>
                    </w:rPr>
                    <w:t>陕西国坤时代科技有限公司</w:t>
                  </w:r>
                  <w:r>
                    <w:rPr>
                      <w:rFonts w:hint="default" w:ascii="Times New Roman" w:hAnsi="Times New Roman" w:eastAsia="宋体" w:cs="Times New Roman"/>
                      <w:color w:val="000000" w:themeColor="text1"/>
                      <w:sz w:val="21"/>
                      <w:szCs w:val="21"/>
                      <w:highlight w:val="none"/>
                      <w14:textFill>
                        <w14:solidFill>
                          <w14:schemeClr w14:val="tx1"/>
                        </w14:solidFill>
                      </w14:textFill>
                    </w:rPr>
                    <w:t>，属于重点管控单元，项目在采取</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有效的环保</w:t>
                  </w:r>
                  <w:r>
                    <w:rPr>
                      <w:rFonts w:hint="default" w:ascii="Times New Roman" w:hAnsi="Times New Roman" w:eastAsia="宋体" w:cs="Times New Roman"/>
                      <w:color w:val="000000" w:themeColor="text1"/>
                      <w:sz w:val="21"/>
                      <w:szCs w:val="21"/>
                      <w:highlight w:val="none"/>
                      <w14:textFill>
                        <w14:solidFill>
                          <w14:schemeClr w14:val="tx1"/>
                        </w14:solidFill>
                      </w14:textFill>
                    </w:rPr>
                    <w:t>措施后，污染物排放对环境影响较小，符合重点管控单元</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要求。</w:t>
                  </w:r>
                </w:p>
              </w:tc>
              <w:tc>
                <w:tcPr>
                  <w:tcW w:w="401" w:type="pct"/>
                  <w:noWrap w:val="0"/>
                  <w:vAlign w:val="center"/>
                </w:tcPr>
                <w:p w14:paraId="58645A17">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符合</w:t>
                  </w:r>
                </w:p>
              </w:tc>
            </w:tr>
            <w:tr w14:paraId="7459B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452A78F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西安市人民政府办公厅《关于印发推进实现</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十四五</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空气质量目标暨大气污染治理专项行动2025年工作方案的通知》（市政办函</w:t>
                  </w:r>
                  <w:r>
                    <w:rPr>
                      <w:rFonts w:hint="default" w:ascii="Times New Roman" w:hAnsi="Times New Roman" w:cs="Times New Roman"/>
                      <w:color w:val="000000" w:themeColor="text1"/>
                      <w:kern w:val="21"/>
                      <w:sz w:val="21"/>
                      <w:szCs w:val="21"/>
                      <w:highlight w:val="none"/>
                      <w:lang w:val="en"/>
                      <w14:textFill>
                        <w14:solidFill>
                          <w14:schemeClr w14:val="tx1"/>
                        </w14:solidFill>
                      </w14:textFill>
                    </w:rPr>
                    <w:t>〔202</w:t>
                  </w:r>
                  <w:r>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t>5</w:t>
                  </w:r>
                  <w:r>
                    <w:rPr>
                      <w:rFonts w:hint="default" w:ascii="Times New Roman" w:hAnsi="Times New Roman" w:cs="Times New Roman"/>
                      <w:color w:val="000000" w:themeColor="text1"/>
                      <w:kern w:val="21"/>
                      <w:sz w:val="21"/>
                      <w:szCs w:val="21"/>
                      <w:highlight w:val="none"/>
                      <w:lang w:val="e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12号）</w:t>
                  </w:r>
                </w:p>
              </w:tc>
              <w:tc>
                <w:tcPr>
                  <w:tcW w:w="2224" w:type="pct"/>
                  <w:noWrap w:val="0"/>
                  <w:vAlign w:val="center"/>
                </w:tcPr>
                <w:p w14:paraId="6AFF448F">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严格易产生扬尘运输车辆监管。</w:t>
                  </w:r>
                </w:p>
              </w:tc>
              <w:tc>
                <w:tcPr>
                  <w:tcW w:w="1444" w:type="pct"/>
                  <w:noWrap w:val="0"/>
                  <w:vAlign w:val="center"/>
                </w:tcPr>
                <w:p w14:paraId="4084913C">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项目在运输过程苫盖篷布</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c>
                <w:tcPr>
                  <w:tcW w:w="401" w:type="pct"/>
                  <w:noWrap w:val="0"/>
                  <w:vAlign w:val="center"/>
                </w:tcPr>
                <w:p w14:paraId="6CC5324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21"/>
                      <w:szCs w:val="21"/>
                      <w:highlight w:val="none"/>
                      <w:lang w:val="en-US" w:eastAsia="zh-CN"/>
                      <w14:textFill>
                        <w14:solidFill>
                          <w14:schemeClr w14:val="tx1"/>
                        </w14:solidFill>
                      </w14:textFill>
                    </w:rPr>
                    <w:t>符合</w:t>
                  </w:r>
                </w:p>
              </w:tc>
            </w:tr>
            <w:tr w14:paraId="1AB19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noWrap w:val="0"/>
                  <w:vAlign w:val="center"/>
                </w:tcPr>
                <w:p w14:paraId="2628390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《西安市大气污染防治条例》</w:t>
                  </w:r>
                </w:p>
              </w:tc>
              <w:tc>
                <w:tcPr>
                  <w:tcW w:w="2224" w:type="pct"/>
                  <w:noWrap w:val="0"/>
                  <w:vAlign w:val="center"/>
                </w:tcPr>
                <w:p w14:paraId="1DB24A1E">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排放工业废气或者含有毒有害物质的大气污染物的企业事业单位、集中供热设施的运营单位以及其他依法实行排污许可管理的单位，应当依法取得排污许可证。</w:t>
                  </w:r>
                </w:p>
              </w:tc>
              <w:tc>
                <w:tcPr>
                  <w:tcW w:w="1444" w:type="pct"/>
                  <w:noWrap w:val="0"/>
                  <w:vAlign w:val="center"/>
                </w:tcPr>
                <w:p w14:paraId="719BA6A5">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t>根据《固定污染源排污许可分类管理名录（2019年版）》</w:t>
                  </w:r>
                  <w:r>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t>，</w:t>
                  </w:r>
                  <w:r>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t>需</w:t>
                  </w:r>
                  <w:r>
                    <w:rPr>
                      <w:rFonts w:hint="eastAsia"/>
                      <w:color w:val="000000" w:themeColor="text1"/>
                      <w:highlight w:val="none"/>
                      <w:lang w:val="en-US" w:eastAsia="zh-CN"/>
                      <w14:textFill>
                        <w14:solidFill>
                          <w14:schemeClr w14:val="tx1"/>
                        </w14:solidFill>
                      </w14:textFill>
                    </w:rPr>
                    <w:t>办理排污许可证手续。</w:t>
                  </w:r>
                </w:p>
              </w:tc>
              <w:tc>
                <w:tcPr>
                  <w:tcW w:w="401" w:type="pct"/>
                  <w:noWrap w:val="0"/>
                  <w:vAlign w:val="center"/>
                </w:tcPr>
                <w:p w14:paraId="1A0F83FA">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21"/>
                      <w:szCs w:val="21"/>
                      <w:highlight w:val="none"/>
                      <w:lang w:val="en-US" w:eastAsia="zh-CN"/>
                      <w14:textFill>
                        <w14:solidFill>
                          <w14:schemeClr w14:val="tx1"/>
                        </w14:solidFill>
                      </w14:textFill>
                    </w:rPr>
                  </w:pPr>
                  <w:r>
                    <w:rPr>
                      <w:rFonts w:hint="eastAsia" w:cs="Times New Roman"/>
                      <w:color w:val="000000" w:themeColor="text1"/>
                      <w:kern w:val="21"/>
                      <w:szCs w:val="21"/>
                      <w:highlight w:val="none"/>
                      <w:lang w:val="en-US" w:eastAsia="zh-CN"/>
                      <w14:textFill>
                        <w14:solidFill>
                          <w14:schemeClr w14:val="tx1"/>
                        </w14:solidFill>
                      </w14:textFill>
                    </w:rPr>
                    <w:t>符合</w:t>
                  </w:r>
                </w:p>
              </w:tc>
            </w:tr>
            <w:tr w14:paraId="46DE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restart"/>
                  <w:noWrap w:val="0"/>
                  <w:vAlign w:val="center"/>
                </w:tcPr>
                <w:p w14:paraId="26487603">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eastAsia"/>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《西安市</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highlight w:val="none"/>
                      <w:lang w:val="en-US" w:eastAsia="zh-CN"/>
                      <w14:textFill>
                        <w14:solidFill>
                          <w14:schemeClr w14:val="tx1"/>
                        </w14:solidFill>
                      </w14:textFill>
                    </w:rPr>
                    <w:t>十四五</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highlight w:val="none"/>
                      <w:lang w:val="en-US" w:eastAsia="zh-CN"/>
                      <w14:textFill>
                        <w14:solidFill>
                          <w14:schemeClr w14:val="tx1"/>
                        </w14:solidFill>
                      </w14:textFill>
                    </w:rPr>
                    <w:t>时期</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highlight w:val="none"/>
                      <w:lang w:val="en-US" w:eastAsia="zh-CN"/>
                      <w14:textFill>
                        <w14:solidFill>
                          <w14:schemeClr w14:val="tx1"/>
                        </w14:solidFill>
                      </w14:textFill>
                    </w:rPr>
                    <w:t>无废城市</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highlight w:val="none"/>
                      <w:lang w:val="en-US" w:eastAsia="zh-CN"/>
                      <w14:textFill>
                        <w14:solidFill>
                          <w14:schemeClr w14:val="tx1"/>
                        </w14:solidFill>
                      </w14:textFill>
                    </w:rPr>
                    <w:t>建设实施方案》（市政发</w:t>
                  </w:r>
                  <w:r>
                    <w:rPr>
                      <w:rFonts w:hint="default" w:ascii="Times New Roman" w:hAnsi="Times New Roman" w:cs="Times New Roman"/>
                      <w:color w:val="000000" w:themeColor="text1"/>
                      <w:kern w:val="21"/>
                      <w:sz w:val="21"/>
                      <w:szCs w:val="21"/>
                      <w:highlight w:val="none"/>
                      <w:lang w:val="en"/>
                      <w14:textFill>
                        <w14:solidFill>
                          <w14:schemeClr w14:val="tx1"/>
                        </w14:solidFill>
                      </w14:textFill>
                    </w:rPr>
                    <w:t>〔202</w:t>
                  </w:r>
                  <w:r>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t>3</w:t>
                  </w:r>
                  <w:r>
                    <w:rPr>
                      <w:rFonts w:hint="default" w:ascii="Times New Roman" w:hAnsi="Times New Roman" w:cs="Times New Roman"/>
                      <w:color w:val="000000" w:themeColor="text1"/>
                      <w:kern w:val="21"/>
                      <w:sz w:val="21"/>
                      <w:szCs w:val="21"/>
                      <w:highlight w:val="none"/>
                      <w:lang w:val="en"/>
                      <w14:textFill>
                        <w14:solidFill>
                          <w14:schemeClr w14:val="tx1"/>
                        </w14:solidFill>
                      </w14:textFill>
                    </w:rPr>
                    <w:t>〕</w:t>
                  </w:r>
                  <w:r>
                    <w:rPr>
                      <w:rFonts w:hint="default" w:ascii="Times New Roman" w:hAnsi="Times New Roman" w:eastAsia="宋体" w:cs="Times New Roman"/>
                      <w:color w:val="000000" w:themeColor="text1"/>
                      <w:highlight w:val="none"/>
                      <w:lang w:val="en-US" w:eastAsia="zh-CN"/>
                      <w14:textFill>
                        <w14:solidFill>
                          <w14:schemeClr w14:val="tx1"/>
                        </w14:solidFill>
                      </w14:textFill>
                    </w:rPr>
                    <w:t>4号）</w:t>
                  </w:r>
                </w:p>
              </w:tc>
              <w:tc>
                <w:tcPr>
                  <w:tcW w:w="2224" w:type="pct"/>
                  <w:noWrap w:val="0"/>
                  <w:vAlign w:val="center"/>
                </w:tcPr>
                <w:p w14:paraId="7BFA8F17">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拓宽一般工业固废利用渠道。按照《国家工业资源综合利用先进适用工艺技术设备目录》，拓宽再生产品在绿色建材、筑炉材料、矿山修复、土壤治理等领域的应用实践。加快推进资源综合利用。</w:t>
                  </w:r>
                </w:p>
              </w:tc>
              <w:tc>
                <w:tcPr>
                  <w:tcW w:w="1444" w:type="pct"/>
                  <w:vMerge w:val="restart"/>
                  <w:noWrap w:val="0"/>
                  <w:vAlign w:val="center"/>
                </w:tcPr>
                <w:p w14:paraId="4AC78D46">
                  <w:pPr>
                    <w:pStyle w:val="4"/>
                    <w:rPr>
                      <w:rFonts w:hint="default" w:ascii="Times New Roman" w:hAnsi="Times New Roman" w:cs="Times New Roman"/>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本项目属于固体废物资源化利用项目</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将一般固废（工业固废、</w:t>
                  </w:r>
                  <w:r>
                    <w:rPr>
                      <w:rFonts w:hint="eastAsia"/>
                      <w:color w:val="000000" w:themeColor="text1"/>
                      <w:sz w:val="21"/>
                      <w:szCs w:val="21"/>
                      <w:highlight w:val="none"/>
                      <w:lang w:val="en-US" w:eastAsia="zh-CN"/>
                      <w14:textFill>
                        <w14:solidFill>
                          <w14:schemeClr w14:val="tx1"/>
                        </w14:solidFill>
                      </w14:textFill>
                    </w:rPr>
                    <w:t>生活垃圾（废纸、废塑料、废纺织物、报废家具、园林垃圾、废包装物）</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、建筑垃圾</w:t>
                  </w:r>
                  <w:r>
                    <w:rPr>
                      <w:rFonts w:hint="eastAsia" w:cs="Times New Roman"/>
                      <w:bCs/>
                      <w:color w:val="000000" w:themeColor="text1"/>
                      <w:kern w:val="0"/>
                      <w:sz w:val="21"/>
                      <w:szCs w:val="21"/>
                      <w:highlight w:val="none"/>
                      <w:lang w:val="en-US" w:eastAsia="zh-CN" w:bidi="ar-SA"/>
                      <w14:textFill>
                        <w14:solidFill>
                          <w14:schemeClr w14:val="tx1"/>
                        </w14:solidFill>
                      </w14:textFill>
                    </w:rPr>
                    <w:t>中的轻浮物（</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上游企业风选完的包装类塑料、装饰类塑料等</w:t>
                  </w:r>
                  <w:r>
                    <w:rPr>
                      <w:rFonts w:hint="eastAsia" w:cs="Times New Roman"/>
                      <w:bCs/>
                      <w:color w:val="000000" w:themeColor="text1"/>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、农业固体废物）</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采用最新RDF替代燃料技术</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加工成RDF燃料，外售下游水泥厂作燃料。</w:t>
                  </w:r>
                </w:p>
              </w:tc>
              <w:tc>
                <w:tcPr>
                  <w:tcW w:w="401" w:type="pct"/>
                  <w:vMerge w:val="restart"/>
                  <w:noWrap w:val="0"/>
                  <w:vAlign w:val="center"/>
                </w:tcPr>
                <w:p w14:paraId="7F01D0B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21"/>
                      <w:szCs w:val="21"/>
                      <w:highlight w:val="none"/>
                      <w:lang w:val="en-US" w:eastAsia="zh-CN"/>
                      <w14:textFill>
                        <w14:solidFill>
                          <w14:schemeClr w14:val="tx1"/>
                        </w14:solidFill>
                      </w14:textFill>
                    </w:rPr>
                  </w:pPr>
                  <w:r>
                    <w:rPr>
                      <w:rFonts w:hint="eastAsia" w:cs="Times New Roman"/>
                      <w:color w:val="000000" w:themeColor="text1"/>
                      <w:kern w:val="21"/>
                      <w:szCs w:val="21"/>
                      <w:highlight w:val="none"/>
                      <w:lang w:val="en-US" w:eastAsia="zh-CN"/>
                      <w14:textFill>
                        <w14:solidFill>
                          <w14:schemeClr w14:val="tx1"/>
                        </w14:solidFill>
                      </w14:textFill>
                    </w:rPr>
                    <w:t>符合</w:t>
                  </w:r>
                </w:p>
              </w:tc>
            </w:tr>
            <w:tr w14:paraId="3D66A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continue"/>
                  <w:noWrap w:val="0"/>
                  <w:vAlign w:val="center"/>
                </w:tcPr>
                <w:p w14:paraId="5166EF12">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2224" w:type="pct"/>
                  <w:noWrap w:val="0"/>
                  <w:vAlign w:val="center"/>
                </w:tcPr>
                <w:p w14:paraId="548B2E09">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建立农药包装废弃物回收与处理体系。鼓励和支持专业机构按照《农药包装废弃物回收处理管理办法》要求，对农药包装废弃物进行资源化利用。</w:t>
                  </w:r>
                </w:p>
              </w:tc>
              <w:tc>
                <w:tcPr>
                  <w:tcW w:w="1444" w:type="pct"/>
                  <w:vMerge w:val="continue"/>
                  <w:noWrap w:val="0"/>
                  <w:vAlign w:val="center"/>
                </w:tcPr>
                <w:p w14:paraId="2AC42D4A">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pPr>
                </w:p>
              </w:tc>
              <w:tc>
                <w:tcPr>
                  <w:tcW w:w="401" w:type="pct"/>
                  <w:vMerge w:val="continue"/>
                  <w:noWrap w:val="0"/>
                  <w:vAlign w:val="center"/>
                </w:tcPr>
                <w:p w14:paraId="2E51FBD2">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21"/>
                      <w:szCs w:val="21"/>
                      <w:highlight w:val="none"/>
                      <w:lang w:val="en-US" w:eastAsia="zh-CN"/>
                      <w14:textFill>
                        <w14:solidFill>
                          <w14:schemeClr w14:val="tx1"/>
                        </w14:solidFill>
                      </w14:textFill>
                    </w:rPr>
                  </w:pPr>
                </w:p>
              </w:tc>
            </w:tr>
            <w:tr w14:paraId="34596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continue"/>
                  <w:noWrap w:val="0"/>
                  <w:vAlign w:val="center"/>
                </w:tcPr>
                <w:p w14:paraId="1BCE5529">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2224" w:type="pct"/>
                  <w:noWrap w:val="0"/>
                  <w:vAlign w:val="center"/>
                </w:tcPr>
                <w:p w14:paraId="4F6F25B5">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提高生活垃圾及可回收物回收率，补足大件垃圾回收短板。鼓励环卫、物业保洁等工作人员对生活垃圾可回收物进行正确分拣后集中送至再生资源回收网点。</w:t>
                  </w:r>
                </w:p>
              </w:tc>
              <w:tc>
                <w:tcPr>
                  <w:tcW w:w="1444" w:type="pct"/>
                  <w:vMerge w:val="continue"/>
                  <w:noWrap w:val="0"/>
                  <w:vAlign w:val="center"/>
                </w:tcPr>
                <w:p w14:paraId="204A42DF">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pPr>
                </w:p>
              </w:tc>
              <w:tc>
                <w:tcPr>
                  <w:tcW w:w="401" w:type="pct"/>
                  <w:vMerge w:val="continue"/>
                  <w:noWrap w:val="0"/>
                  <w:vAlign w:val="center"/>
                </w:tcPr>
                <w:p w14:paraId="17F52F14">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21"/>
                      <w:szCs w:val="21"/>
                      <w:highlight w:val="none"/>
                      <w:lang w:val="en-US" w:eastAsia="zh-CN"/>
                      <w14:textFill>
                        <w14:solidFill>
                          <w14:schemeClr w14:val="tx1"/>
                        </w14:solidFill>
                      </w14:textFill>
                    </w:rPr>
                  </w:pPr>
                </w:p>
              </w:tc>
            </w:tr>
            <w:tr w14:paraId="225EB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continue"/>
                  <w:noWrap w:val="0"/>
                  <w:vAlign w:val="center"/>
                </w:tcPr>
                <w:p w14:paraId="4B955D1D">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2224" w:type="pct"/>
                  <w:noWrap w:val="0"/>
                  <w:vAlign w:val="center"/>
                </w:tcPr>
                <w:p w14:paraId="68511455">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加强资源循环利用基地建设，提升再生资源加工利用水平。推动废旧物资回收专业化发展，鼓励有条件地区采取特许经营等方式，授权专业化企业开展废旧物资回收业务，实现规模化、规范化运营。</w:t>
                  </w:r>
                </w:p>
              </w:tc>
              <w:tc>
                <w:tcPr>
                  <w:tcW w:w="1444" w:type="pct"/>
                  <w:vMerge w:val="continue"/>
                  <w:noWrap w:val="0"/>
                  <w:vAlign w:val="center"/>
                </w:tcPr>
                <w:p w14:paraId="6594569E">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pPr>
                </w:p>
              </w:tc>
              <w:tc>
                <w:tcPr>
                  <w:tcW w:w="401" w:type="pct"/>
                  <w:vMerge w:val="continue"/>
                  <w:noWrap w:val="0"/>
                  <w:vAlign w:val="center"/>
                </w:tcPr>
                <w:p w14:paraId="6E5AE91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21"/>
                      <w:szCs w:val="21"/>
                      <w:highlight w:val="none"/>
                      <w:lang w:val="en-US" w:eastAsia="zh-CN"/>
                      <w14:textFill>
                        <w14:solidFill>
                          <w14:schemeClr w14:val="tx1"/>
                        </w14:solidFill>
                      </w14:textFill>
                    </w:rPr>
                  </w:pPr>
                </w:p>
              </w:tc>
            </w:tr>
            <w:tr w14:paraId="4E160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continue"/>
                  <w:noWrap w:val="0"/>
                  <w:vAlign w:val="center"/>
                </w:tcPr>
                <w:p w14:paraId="7F8B0119">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2224" w:type="pct"/>
                  <w:noWrap w:val="0"/>
                  <w:vAlign w:val="center"/>
                </w:tcPr>
                <w:p w14:paraId="0BB26926">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提高建筑垃圾资源化利用率。大力支持规模以上建筑垃圾资源化利用企业建厂投产，不断提升全市建筑垃圾（拆除垃圾）资源化利用能力。</w:t>
                  </w:r>
                </w:p>
              </w:tc>
              <w:tc>
                <w:tcPr>
                  <w:tcW w:w="1444" w:type="pct"/>
                  <w:vMerge w:val="continue"/>
                  <w:noWrap w:val="0"/>
                  <w:vAlign w:val="center"/>
                </w:tcPr>
                <w:p w14:paraId="7AE504EA">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pPr>
                </w:p>
              </w:tc>
              <w:tc>
                <w:tcPr>
                  <w:tcW w:w="401" w:type="pct"/>
                  <w:vMerge w:val="continue"/>
                  <w:noWrap w:val="0"/>
                  <w:vAlign w:val="center"/>
                </w:tcPr>
                <w:p w14:paraId="793C48CF">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21"/>
                      <w:szCs w:val="21"/>
                      <w:highlight w:val="none"/>
                      <w:lang w:val="en-US" w:eastAsia="zh-CN"/>
                      <w14:textFill>
                        <w14:solidFill>
                          <w14:schemeClr w14:val="tx1"/>
                        </w14:solidFill>
                      </w14:textFill>
                    </w:rPr>
                  </w:pPr>
                </w:p>
              </w:tc>
            </w:tr>
            <w:tr w14:paraId="559A5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restart"/>
                  <w:noWrap w:val="0"/>
                  <w:vAlign w:val="center"/>
                </w:tcPr>
                <w:p w14:paraId="774526BF">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陕西省西咸新区开发建设管理委员会关于印发《西咸新区“十四五”生态环境保护规划》的通知（陕西咸发</w:t>
                  </w:r>
                  <w:r>
                    <w:rPr>
                      <w:rFonts w:hint="default" w:ascii="Times New Roman" w:hAnsi="Times New Roman" w:cs="Times New Roman"/>
                      <w:color w:val="000000" w:themeColor="text1"/>
                      <w:kern w:val="21"/>
                      <w:sz w:val="21"/>
                      <w:szCs w:val="21"/>
                      <w:highlight w:val="none"/>
                      <w:lang w:val="en"/>
                      <w14:textFill>
                        <w14:solidFill>
                          <w14:schemeClr w14:val="tx1"/>
                        </w14:solidFill>
                      </w14:textFill>
                    </w:rPr>
                    <w:t>〔2021〕</w:t>
                  </w:r>
                  <w:r>
                    <w:rPr>
                      <w:rFonts w:hint="eastAsia"/>
                      <w:color w:val="000000" w:themeColor="text1"/>
                      <w:highlight w:val="none"/>
                      <w:lang w:val="en-US" w:eastAsia="zh-CN"/>
                      <w14:textFill>
                        <w14:solidFill>
                          <w14:schemeClr w14:val="tx1"/>
                        </w14:solidFill>
                      </w14:textFill>
                    </w:rPr>
                    <w:t>4号）</w:t>
                  </w:r>
                </w:p>
              </w:tc>
              <w:tc>
                <w:tcPr>
                  <w:tcW w:w="2224" w:type="pct"/>
                  <w:noWrap w:val="0"/>
                  <w:vAlign w:val="center"/>
                </w:tcPr>
                <w:p w14:paraId="34A43AFB">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深入推进大宗固体废物污染防治。加强固体废物源头减量和资源化利用，推广固体废物资源化、无害化利用处置新技术，创新大宗固废协同利用机制。</w:t>
                  </w:r>
                </w:p>
              </w:tc>
              <w:tc>
                <w:tcPr>
                  <w:tcW w:w="1444" w:type="pct"/>
                  <w:vMerge w:val="restart"/>
                  <w:noWrap w:val="0"/>
                  <w:vAlign w:val="center"/>
                </w:tcPr>
                <w:p w14:paraId="2D17494E">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cs="Times New Roman"/>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本项目属于固体废物资源化利用项目，</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原料为</w:t>
                  </w:r>
                  <w:r>
                    <w:rPr>
                      <w:rFonts w:hint="eastAsia" w:cs="Times New Roman"/>
                      <w:bCs/>
                      <w:color w:val="000000" w:themeColor="text1"/>
                      <w:kern w:val="0"/>
                      <w:sz w:val="21"/>
                      <w:szCs w:val="21"/>
                      <w:highlight w:val="none"/>
                      <w:lang w:val="en-US" w:eastAsia="zh-CN" w:bidi="ar-SA"/>
                      <w14:textFill>
                        <w14:solidFill>
                          <w14:schemeClr w14:val="tx1"/>
                        </w14:solidFill>
                      </w14:textFill>
                    </w:rPr>
                    <w:t>有热值的</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一般固废（工业固废、</w:t>
                  </w:r>
                  <w:r>
                    <w:rPr>
                      <w:rFonts w:hint="eastAsia"/>
                      <w:color w:val="000000" w:themeColor="text1"/>
                      <w:sz w:val="21"/>
                      <w:szCs w:val="21"/>
                      <w:highlight w:val="none"/>
                      <w:lang w:val="en-US" w:eastAsia="zh-CN"/>
                      <w14:textFill>
                        <w14:solidFill>
                          <w14:schemeClr w14:val="tx1"/>
                        </w14:solidFill>
                      </w14:textFill>
                    </w:rPr>
                    <w:t>生活垃圾（废纸、废塑料、废纺织物、报废家具、园林垃圾、废包装物）</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、建筑垃圾</w:t>
                  </w:r>
                  <w:r>
                    <w:rPr>
                      <w:rFonts w:hint="eastAsia" w:cs="Times New Roman"/>
                      <w:bCs/>
                      <w:color w:val="000000" w:themeColor="text1"/>
                      <w:kern w:val="0"/>
                      <w:sz w:val="21"/>
                      <w:szCs w:val="21"/>
                      <w:highlight w:val="none"/>
                      <w:lang w:val="en-US" w:eastAsia="zh-CN" w:bidi="ar-SA"/>
                      <w14:textFill>
                        <w14:solidFill>
                          <w14:schemeClr w14:val="tx1"/>
                        </w14:solidFill>
                      </w14:textFill>
                    </w:rPr>
                    <w:t>中的轻浮物（</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上游企业风选完的包装类塑料、装饰类塑料等</w:t>
                  </w:r>
                  <w:r>
                    <w:rPr>
                      <w:rFonts w:hint="eastAsia" w:cs="Times New Roman"/>
                      <w:bCs/>
                      <w:color w:val="000000" w:themeColor="text1"/>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、农业固体废物），生产工艺</w:t>
                  </w:r>
                  <w:r>
                    <w:rPr>
                      <w:rFonts w:hint="default" w:ascii="Times New Roman" w:hAnsi="Times New Roman" w:eastAsia="宋体" w:cs="Times New Roman"/>
                      <w:bCs/>
                      <w:color w:val="000000" w:themeColor="text1"/>
                      <w:kern w:val="0"/>
                      <w:sz w:val="21"/>
                      <w:szCs w:val="21"/>
                      <w:highlight w:val="none"/>
                      <w:lang w:val="en-GB" w:eastAsia="zh-CN" w:bidi="ar-SA"/>
                      <w14:textFill>
                        <w14:solidFill>
                          <w14:schemeClr w14:val="tx1"/>
                        </w14:solidFill>
                      </w14:textFill>
                    </w:rPr>
                    <w:t>采用最新RDF替代燃料技术</w:t>
                  </w:r>
                  <w:r>
                    <w:rPr>
                      <w:rFonts w:hint="eastAsia"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t>。</w:t>
                  </w:r>
                </w:p>
              </w:tc>
              <w:tc>
                <w:tcPr>
                  <w:tcW w:w="401" w:type="pct"/>
                  <w:vMerge w:val="restart"/>
                  <w:noWrap w:val="0"/>
                  <w:vAlign w:val="center"/>
                </w:tcPr>
                <w:p w14:paraId="3A5AF63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21"/>
                      <w:szCs w:val="21"/>
                      <w:highlight w:val="none"/>
                      <w:lang w:val="en-US" w:eastAsia="zh-CN"/>
                      <w14:textFill>
                        <w14:solidFill>
                          <w14:schemeClr w14:val="tx1"/>
                        </w14:solidFill>
                      </w14:textFill>
                    </w:rPr>
                  </w:pPr>
                  <w:r>
                    <w:rPr>
                      <w:rFonts w:hint="eastAsia" w:cs="Times New Roman"/>
                      <w:color w:val="000000" w:themeColor="text1"/>
                      <w:kern w:val="21"/>
                      <w:szCs w:val="21"/>
                      <w:highlight w:val="none"/>
                      <w:lang w:val="en-US" w:eastAsia="zh-CN"/>
                      <w14:textFill>
                        <w14:solidFill>
                          <w14:schemeClr w14:val="tx1"/>
                        </w14:solidFill>
                      </w14:textFill>
                    </w:rPr>
                    <w:t>符合</w:t>
                  </w:r>
                </w:p>
              </w:tc>
            </w:tr>
            <w:tr w14:paraId="519B5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 w:hRule="atLeast"/>
                <w:jc w:val="center"/>
              </w:trPr>
              <w:tc>
                <w:tcPr>
                  <w:tcW w:w="929" w:type="pct"/>
                  <w:vMerge w:val="continue"/>
                  <w:noWrap w:val="0"/>
                  <w:vAlign w:val="center"/>
                </w:tcPr>
                <w:p w14:paraId="6A3578A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eastAsia"/>
                      <w:color w:val="000000" w:themeColor="text1"/>
                      <w:highlight w:val="none"/>
                      <w:lang w:val="en-US" w:eastAsia="zh-CN"/>
                      <w14:textFill>
                        <w14:solidFill>
                          <w14:schemeClr w14:val="tx1"/>
                        </w14:solidFill>
                      </w14:textFill>
                    </w:rPr>
                  </w:pPr>
                </w:p>
              </w:tc>
              <w:tc>
                <w:tcPr>
                  <w:tcW w:w="2224" w:type="pct"/>
                  <w:noWrap w:val="0"/>
                  <w:vAlign w:val="center"/>
                </w:tcPr>
                <w:p w14:paraId="7E3560FA">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科学处理生活垃圾。加快推进城市生活垃圾源头减量、分类及资源化利用，积极推行农村分类收集处置。统一垃圾分类标识</w:t>
                  </w:r>
                  <w:r>
                    <w:rPr>
                      <w:rFonts w:hint="eastAsia" w:cs="Times New Roman"/>
                      <w:color w:val="000000" w:themeColor="text1"/>
                      <w:highlight w:val="none"/>
                      <w:lang w:val="en-US" w:eastAsia="zh-CN"/>
                      <w14:textFill>
                        <w14:solidFill>
                          <w14:schemeClr w14:val="tx1"/>
                        </w14:solidFill>
                      </w14:textFill>
                    </w:rPr>
                    <w:t>。</w:t>
                  </w:r>
                </w:p>
              </w:tc>
              <w:tc>
                <w:tcPr>
                  <w:tcW w:w="1444" w:type="pct"/>
                  <w:vMerge w:val="continue"/>
                  <w:noWrap w:val="0"/>
                  <w:vAlign w:val="center"/>
                </w:tcPr>
                <w:p w14:paraId="608B9DD6">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bCs/>
                      <w:color w:val="000000" w:themeColor="text1"/>
                      <w:kern w:val="0"/>
                      <w:sz w:val="21"/>
                      <w:szCs w:val="21"/>
                      <w:highlight w:val="none"/>
                      <w:lang w:val="en" w:eastAsia="zh-CN" w:bidi="ar-SA"/>
                      <w14:textFill>
                        <w14:solidFill>
                          <w14:schemeClr w14:val="tx1"/>
                        </w14:solidFill>
                      </w14:textFill>
                    </w:rPr>
                  </w:pPr>
                </w:p>
              </w:tc>
              <w:tc>
                <w:tcPr>
                  <w:tcW w:w="401" w:type="pct"/>
                  <w:vMerge w:val="continue"/>
                  <w:noWrap w:val="0"/>
                  <w:vAlign w:val="center"/>
                </w:tcPr>
                <w:p w14:paraId="34E157B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21"/>
                      <w:szCs w:val="21"/>
                      <w:highlight w:val="none"/>
                      <w:lang w:val="en-US" w:eastAsia="zh-CN"/>
                      <w14:textFill>
                        <w14:solidFill>
                          <w14:schemeClr w14:val="tx1"/>
                        </w14:solidFill>
                      </w14:textFill>
                    </w:rPr>
                  </w:pPr>
                </w:p>
              </w:tc>
            </w:tr>
            <w:tr w14:paraId="65A93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7982016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1"/>
                      <w:szCs w:val="21"/>
                      <w:highlight w:val="none"/>
                      <w:lang w:val="en-US" w:eastAsia="zh-CN"/>
                      <w14:textFill>
                        <w14:solidFill>
                          <w14:schemeClr w14:val="tx1"/>
                        </w14:solidFill>
                      </w14:textFill>
                    </w:rPr>
                    <w:t>《西咸新区大气污染治理专项行动方案（2023-2027年）》</w:t>
                  </w:r>
                </w:p>
              </w:tc>
              <w:tc>
                <w:tcPr>
                  <w:tcW w:w="2224" w:type="pct"/>
                  <w:noWrap w:val="0"/>
                  <w:vAlign w:val="center"/>
                </w:tcPr>
                <w:p w14:paraId="7E9662C0">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1"/>
                      <w:sz w:val="21"/>
                      <w:szCs w:val="21"/>
                      <w:highlight w:val="none"/>
                      <w:lang w:val="en-US" w:eastAsia="zh-CN"/>
                      <w14:textFill>
                        <w14:solidFill>
                          <w14:schemeClr w14:val="tx1"/>
                        </w14:solidFill>
                      </w14:textFill>
                    </w:rPr>
                    <w:t>严格新、改、扩建涉气重点行业绩效评级限制条件。新区范围内新、改、扩建涉气重点行业企业应达到环保绩效A级、绩效引领性水平。</w:t>
                  </w:r>
                </w:p>
              </w:tc>
              <w:tc>
                <w:tcPr>
                  <w:tcW w:w="1444" w:type="pct"/>
                  <w:vMerge w:val="restart"/>
                  <w:noWrap w:val="0"/>
                  <w:vAlign w:val="center"/>
                </w:tcPr>
                <w:p w14:paraId="2D58B1CA">
                  <w:pPr>
                    <w:keepNext w:val="0"/>
                    <w:keepLines w:val="0"/>
                    <w:pageBreakBefore w:val="0"/>
                    <w:kinsoku/>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themeColor="text1"/>
                      <w:spacing w:val="-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1"/>
                      <w:szCs w:val="21"/>
                      <w:highlight w:val="none"/>
                      <w:lang w:val="en-US" w:eastAsia="zh-CN"/>
                      <w14:textFill>
                        <w14:solidFill>
                          <w14:schemeClr w14:val="tx1"/>
                        </w14:solidFill>
                      </w14:textFill>
                    </w:rPr>
                    <w:t>本项目不属于</w:t>
                  </w:r>
                  <w:r>
                    <w:rPr>
                      <w:rFonts w:hint="default" w:ascii="Times New Roman" w:hAnsi="Times New Roman" w:eastAsia="宋体" w:cs="Times New Roman"/>
                      <w:color w:val="000000" w:themeColor="text1"/>
                      <w:kern w:val="21"/>
                      <w:szCs w:val="21"/>
                      <w:highlight w:val="none"/>
                      <w:lang w:val="en-US" w:eastAsia="zh-CN"/>
                      <w14:textFill>
                        <w14:solidFill>
                          <w14:schemeClr w14:val="tx1"/>
                        </w14:solidFill>
                      </w14:textFill>
                    </w:rPr>
                    <w:t>《重污染天气重点行业应急减排措施制定技术指南（2020年修订版）》（环办大气函〔2020〕340号）中</w:t>
                  </w:r>
                  <w:r>
                    <w:rPr>
                      <w:rFonts w:hint="eastAsia" w:ascii="Times New Roman" w:hAnsi="Times New Roman" w:eastAsia="宋体" w:cs="Times New Roman"/>
                      <w:color w:val="000000" w:themeColor="text1"/>
                      <w:kern w:val="21"/>
                      <w:szCs w:val="21"/>
                      <w:highlight w:val="none"/>
                      <w:lang w:val="en-US" w:eastAsia="zh-CN"/>
                      <w14:textFill>
                        <w14:solidFill>
                          <w14:schemeClr w14:val="tx1"/>
                        </w14:solidFill>
                      </w14:textFill>
                    </w:rPr>
                    <w:t>的行业。</w:t>
                  </w:r>
                </w:p>
              </w:tc>
              <w:tc>
                <w:tcPr>
                  <w:tcW w:w="401" w:type="pct"/>
                  <w:vMerge w:val="restart"/>
                  <w:noWrap w:val="0"/>
                  <w:vAlign w:val="center"/>
                </w:tcPr>
                <w:p w14:paraId="2E3B3759">
                  <w:pPr>
                    <w:keepNext w:val="0"/>
                    <w:keepLines w:val="0"/>
                    <w:pageBreakBefore w:val="0"/>
                    <w:widowControl/>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符合</w:t>
                  </w:r>
                </w:p>
              </w:tc>
            </w:tr>
            <w:tr w14:paraId="3972D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929" w:type="pct"/>
                  <w:noWrap w:val="0"/>
                  <w:vAlign w:val="center"/>
                </w:tcPr>
                <w:p w14:paraId="085EA32C">
                  <w:pPr>
                    <w:keepNext w:val="0"/>
                    <w:keepLines w:val="0"/>
                    <w:pageBreakBefore w:val="0"/>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eastAsia="宋体" w:cs="Times New Roman"/>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1"/>
                      <w:sz w:val="21"/>
                      <w:szCs w:val="21"/>
                      <w:highlight w:val="none"/>
                      <w:lang w:val="en-US" w:eastAsia="zh-CN"/>
                      <w14:textFill>
                        <w14:solidFill>
                          <w14:schemeClr w14:val="tx1"/>
                        </w14:solidFill>
                      </w14:textFill>
                    </w:rPr>
                    <w:t>《泾河新城大气污染治理专项行动方案（2023—2027年）》</w:t>
                  </w:r>
                </w:p>
              </w:tc>
              <w:tc>
                <w:tcPr>
                  <w:tcW w:w="2224" w:type="pct"/>
                  <w:noWrap w:val="0"/>
                  <w:vAlign w:val="center"/>
                </w:tcPr>
                <w:p w14:paraId="71A036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eastAsia="宋体" w:cs="Times New Roman"/>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1"/>
                      <w:sz w:val="21"/>
                      <w:szCs w:val="21"/>
                      <w:highlight w:val="none"/>
                      <w:lang w:val="en-US" w:eastAsia="zh-CN"/>
                      <w14:textFill>
                        <w14:solidFill>
                          <w14:schemeClr w14:val="tx1"/>
                        </w14:solidFill>
                      </w14:textFill>
                    </w:rPr>
                    <w:t>严格新、改、扩建涉气重点行业绩效评级限制条件。新城范围内新、改、扩建涉气重点行业企业应达到环保绩效A级、绩效引领性水平。</w:t>
                  </w:r>
                </w:p>
              </w:tc>
              <w:tc>
                <w:tcPr>
                  <w:tcW w:w="1444" w:type="pct"/>
                  <w:vMerge w:val="continue"/>
                  <w:noWrap w:val="0"/>
                  <w:vAlign w:val="center"/>
                </w:tcPr>
                <w:p w14:paraId="770C6954">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eastAsia="宋体" w:cs="Times New Roman"/>
                      <w:color w:val="000000" w:themeColor="text1"/>
                      <w:spacing w:val="-1"/>
                      <w:kern w:val="2"/>
                      <w:sz w:val="21"/>
                      <w:szCs w:val="21"/>
                      <w:highlight w:val="none"/>
                      <w:lang w:val="en-US" w:eastAsia="zh-CN" w:bidi="ar-SA"/>
                      <w14:textFill>
                        <w14:solidFill>
                          <w14:schemeClr w14:val="tx1"/>
                        </w14:solidFill>
                      </w14:textFill>
                    </w:rPr>
                  </w:pPr>
                </w:p>
              </w:tc>
              <w:tc>
                <w:tcPr>
                  <w:tcW w:w="401" w:type="pct"/>
                  <w:vMerge w:val="continue"/>
                  <w:noWrap w:val="0"/>
                  <w:vAlign w:val="center"/>
                </w:tcPr>
                <w:p w14:paraId="391A53BB">
                  <w:pPr>
                    <w:keepNext w:val="0"/>
                    <w:keepLines w:val="0"/>
                    <w:pageBreakBefore w:val="0"/>
                    <w:widowControl/>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p>
              </w:tc>
            </w:tr>
          </w:tbl>
          <w:p w14:paraId="6E2022C0">
            <w:pPr>
              <w:numPr>
                <w:ilvl w:val="0"/>
                <w:numId w:val="0"/>
              </w:numPr>
              <w:spacing w:line="360" w:lineRule="auto"/>
              <w:ind w:left="0" w:leftChars="0" w:firstLine="0" w:firstLineChars="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4、</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选址合理性分析</w:t>
            </w:r>
          </w:p>
          <w:p w14:paraId="2794867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本项目租赁</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陕西国坤时代科技有限公司</w:t>
            </w:r>
            <w:r>
              <w:rPr>
                <w:rFonts w:hint="eastAsia" w:cs="Times New Roman"/>
                <w:b w:val="0"/>
                <w:bCs/>
                <w:color w:val="000000" w:themeColor="text1"/>
                <w:kern w:val="2"/>
                <w:sz w:val="24"/>
                <w:szCs w:val="24"/>
                <w:highlight w:val="none"/>
                <w:lang w:val="en-US" w:eastAsia="zh-CN" w:bidi="ar-SA"/>
                <w14:textFill>
                  <w14:solidFill>
                    <w14:schemeClr w14:val="tx1"/>
                  </w14:solidFill>
                </w14:textFill>
              </w:rPr>
              <w:t>2号</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厂房，</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陕西国坤时代科技有限公司经营</w:t>
            </w:r>
            <w:r>
              <w:rPr>
                <w:rFonts w:hint="eastAsia" w:cs="Times New Roman"/>
                <w:b w:val="0"/>
                <w:bCs/>
                <w:color w:val="000000" w:themeColor="text1"/>
                <w:kern w:val="2"/>
                <w:sz w:val="24"/>
                <w:szCs w:val="24"/>
                <w:highlight w:val="none"/>
                <w:lang w:val="en-US" w:eastAsia="zh-CN" w:bidi="ar-SA"/>
                <w14:textFill>
                  <w14:solidFill>
                    <w14:schemeClr w14:val="tx1"/>
                  </w14:solidFill>
                </w14:textFill>
              </w:rPr>
              <w:t>厂房</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租赁等</w:t>
            </w:r>
            <w:r>
              <w:rPr>
                <w:rFonts w:hint="eastAsia" w:cs="Times New Roman"/>
                <w:b w:val="0"/>
                <w:bCs/>
                <w:color w:val="000000" w:themeColor="text1"/>
                <w:kern w:val="2"/>
                <w:sz w:val="24"/>
                <w:szCs w:val="24"/>
                <w:highlight w:val="none"/>
                <w:lang w:val="en-US" w:eastAsia="zh-CN" w:bidi="ar-SA"/>
                <w14:textFill>
                  <w14:solidFill>
                    <w14:schemeClr w14:val="tx1"/>
                  </w14:solidFill>
                </w14:textFill>
              </w:rPr>
              <w:t>项目，</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用地性质为工业用地，</w:t>
            </w:r>
            <w:r>
              <w:rPr>
                <w:rFonts w:hint="default" w:ascii="Times New Roman" w:hAnsi="Times New Roman" w:eastAsia="宋体" w:cs="Times New Roman"/>
                <w:snapToGrid w:val="0"/>
                <w:color w:val="000000" w:themeColor="text1"/>
                <w:kern w:val="0"/>
                <w:sz w:val="24"/>
                <w:szCs w:val="24"/>
                <w:highlight w:val="none"/>
                <w:lang w:val="en-US" w:eastAsia="zh-CN"/>
                <w14:textFill>
                  <w14:solidFill>
                    <w14:schemeClr w14:val="tx1"/>
                  </w14:solidFill>
                </w14:textFill>
              </w:rPr>
              <w:t>符合用地要求</w:t>
            </w:r>
            <w:r>
              <w:rPr>
                <w:rFonts w:hint="eastAsia" w:cs="Times New Roman"/>
                <w:snapToGrid w:val="0"/>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厂房租赁合同见附件</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4</w:t>
            </w:r>
            <w:r>
              <w:rPr>
                <w:rFonts w:hint="eastAsia" w:cs="Times New Roman"/>
                <w:b w:val="0"/>
                <w:bCs w:val="0"/>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u w:val="none"/>
                <w:lang w:val="en-US" w:eastAsia="zh-CN"/>
                <w14:textFill>
                  <w14:solidFill>
                    <w14:schemeClr w14:val="tx1"/>
                  </w14:solidFill>
                </w14:textFill>
              </w:rPr>
              <w:t>土地证</w:t>
            </w:r>
            <w:r>
              <w:rPr>
                <w:rFonts w:hint="eastAsia" w:cs="Times New Roman"/>
                <w:color w:val="000000" w:themeColor="text1"/>
                <w:sz w:val="24"/>
                <w:szCs w:val="24"/>
                <w:highlight w:val="none"/>
                <w:u w:val="none"/>
                <w:lang w:val="en-US" w:eastAsia="zh-CN"/>
                <w14:textFill>
                  <w14:solidFill>
                    <w14:schemeClr w14:val="tx1"/>
                  </w14:solidFill>
                </w14:textFill>
              </w:rPr>
              <w:t>见附件5</w:t>
            </w:r>
            <w:r>
              <w:rPr>
                <w:rFonts w:hint="eastAsia"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根据西咸新区泾河新城控制性详细规划</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土地利用规划，项目所在地为工业用地，可用于本项目建设。本项目与西咸新区泾河新城控制性详细规划</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土地利用图位置关系</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见附图</w:t>
            </w:r>
            <w:r>
              <w:rPr>
                <w:rFonts w:hint="eastAsia" w:eastAsia="宋体" w:cs="Times New Roman"/>
                <w:b w:val="0"/>
                <w:bCs w:val="0"/>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p>
          <w:p w14:paraId="18CCACD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根据现场踏勘，本</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项目</w:t>
            </w:r>
            <w:r>
              <w:rPr>
                <w:rFonts w:hint="eastAsia" w:cs="Times New Roman"/>
                <w:b w:val="0"/>
                <w:bCs w:val="0"/>
                <w:color w:val="000000" w:themeColor="text1"/>
                <w:sz w:val="24"/>
                <w:szCs w:val="24"/>
                <w:highlight w:val="none"/>
                <w:lang w:val="en-US" w:eastAsia="zh-CN"/>
                <w14:textFill>
                  <w14:solidFill>
                    <w14:schemeClr w14:val="tx1"/>
                  </w14:solidFill>
                </w14:textFill>
              </w:rPr>
              <w:t>东侧为空厂房</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eastAsia" w:cs="Times New Roman"/>
                <w:b w:val="0"/>
                <w:bCs w:val="0"/>
                <w:color w:val="000000" w:themeColor="text1"/>
                <w:sz w:val="24"/>
                <w:szCs w:val="24"/>
                <w:highlight w:val="none"/>
                <w:lang w:val="en-US" w:eastAsia="zh-CN"/>
                <w14:textFill>
                  <w14:solidFill>
                    <w14:schemeClr w14:val="tx1"/>
                  </w14:solidFill>
                </w14:textFill>
              </w:rPr>
              <w:t>南侧隔墙为陕西广大电炉有限公司，西侧隔厂区道路为陕西炎恒高科工贸有限公司</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北侧为</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陕西九迈集团有限公司</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，项目四邻关系图见附图2。</w:t>
            </w:r>
          </w:p>
          <w:p w14:paraId="58B48463">
            <w:pPr>
              <w:spacing w:line="360" w:lineRule="auto"/>
              <w:ind w:firstLine="480" w:firstLineChars="200"/>
              <w:rPr>
                <w:rFonts w:hint="default" w:ascii="Times New Roman" w:hAnsi="Times New Roman" w:eastAsia="宋体" w:cs="Times New Roman"/>
                <w:snapToGrid w:val="0"/>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highlight w:val="none"/>
                <w:lang w:val="en-US" w:eastAsia="zh-CN"/>
                <w14:textFill>
                  <w14:solidFill>
                    <w14:schemeClr w14:val="tx1"/>
                  </w14:solidFill>
                </w14:textFill>
              </w:rPr>
              <w:t>项目周边交通便捷；供水、电力等基础设施均来自市政，具有良好的建设条件。同时，项目所在地地势平坦、开阔，有利于项目运营期污染物的扩散。距离项目最近的敏感点为</w:t>
            </w:r>
            <w:r>
              <w:rPr>
                <w:rFonts w:hint="eastAsia" w:cs="Times New Roman"/>
                <w:color w:val="000000" w:themeColor="text1"/>
                <w:sz w:val="24"/>
                <w:szCs w:val="24"/>
                <w:highlight w:val="none"/>
                <w:lang w:val="en-US" w:eastAsia="zh-CN"/>
                <w14:textFill>
                  <w14:solidFill>
                    <w14:schemeClr w14:val="tx1"/>
                  </w14:solidFill>
                </w14:textFill>
              </w:rPr>
              <w:t>北侧420</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m的</w:t>
            </w:r>
            <w:r>
              <w:rPr>
                <w:rFonts w:hint="eastAsia" w:cs="Times New Roman"/>
                <w:color w:val="000000" w:themeColor="text1"/>
                <w:sz w:val="24"/>
                <w:szCs w:val="24"/>
                <w:highlight w:val="none"/>
                <w:lang w:val="en-US" w:eastAsia="zh-CN"/>
                <w14:textFill>
                  <w14:solidFill>
                    <w14:schemeClr w14:val="tx1"/>
                  </w14:solidFill>
                </w14:textFill>
              </w:rPr>
              <w:t>新</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村</w:t>
            </w:r>
            <w:r>
              <w:rPr>
                <w:rFonts w:hint="default" w:ascii="Times New Roman" w:hAnsi="Times New Roman" w:eastAsia="宋体" w:cs="Times New Roman"/>
                <w:snapToGrid w:val="0"/>
                <w:color w:val="000000" w:themeColor="text1"/>
                <w:kern w:val="0"/>
                <w:sz w:val="24"/>
                <w:szCs w:val="24"/>
                <w:highlight w:val="none"/>
                <w:lang w:val="en-US" w:eastAsia="zh-CN"/>
                <w14:textFill>
                  <w14:solidFill>
                    <w14:schemeClr w14:val="tx1"/>
                  </w14:solidFill>
                </w14:textFill>
              </w:rPr>
              <w:t>。在采取环评中提出的各项污染防治措施后，项目废气、废水、噪声以及固体废物均可得到妥善处置或达标排放。</w:t>
            </w:r>
          </w:p>
          <w:p w14:paraId="64FB4D31">
            <w:pPr>
              <w:numPr>
                <w:ilvl w:val="0"/>
                <w:numId w:val="0"/>
              </w:numPr>
              <w:spacing w:line="360" w:lineRule="auto"/>
              <w:ind w:leftChars="0" w:firstLine="480" w:firstLineChars="200"/>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综上，从环境影响的角度分析，项目选址合理。</w:t>
            </w:r>
          </w:p>
          <w:p w14:paraId="0B28585F">
            <w:pPr>
              <w:numPr>
                <w:ilvl w:val="0"/>
                <w:numId w:val="0"/>
              </w:numPr>
              <w:spacing w:line="360" w:lineRule="auto"/>
              <w:ind w:left="0" w:leftChars="0" w:firstLine="0" w:firstLineChars="0"/>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政策符合性分析</w:t>
            </w:r>
          </w:p>
          <w:p w14:paraId="26A36587">
            <w:pPr>
              <w:pStyle w:val="61"/>
              <w:keepNext w:val="0"/>
              <w:keepLines w:val="0"/>
              <w:pageBreakBefore w:val="0"/>
              <w:widowControl w:val="0"/>
              <w:kinsoku/>
              <w:wordWrap/>
              <w:overflowPunct/>
              <w:topLinePunct w:val="0"/>
              <w:autoSpaceDE/>
              <w:autoSpaceDN/>
              <w:bidi w:val="0"/>
              <w:adjustRightInd/>
              <w:snapToGrid/>
              <w:spacing w:line="360" w:lineRule="auto"/>
              <w:ind w:left="0" w:firstLine="476" w:firstLineChars="200"/>
              <w:textAlignment w:val="auto"/>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项目与固体废物再生利用政策的符合性分析见下表。</w:t>
            </w:r>
          </w:p>
          <w:p w14:paraId="59C30A39">
            <w:pPr>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表 1-</w:t>
            </w: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 xml:space="preserve">5 </w:t>
            </w: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项目与固体废物再生利用政策的符合性分析</w:t>
            </w:r>
          </w:p>
          <w:tbl>
            <w:tblPr>
              <w:tblStyle w:val="25"/>
              <w:tblW w:w="8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330"/>
              <w:gridCol w:w="3371"/>
              <w:gridCol w:w="2554"/>
              <w:gridCol w:w="846"/>
            </w:tblGrid>
            <w:tr w14:paraId="2FAE2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noWrap w:val="0"/>
                  <w:vAlign w:val="center"/>
                </w:tcPr>
                <w:p w14:paraId="3A81EF48">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t>文件</w:t>
                  </w:r>
                </w:p>
              </w:tc>
              <w:tc>
                <w:tcPr>
                  <w:tcW w:w="2080" w:type="pct"/>
                  <w:noWrap w:val="0"/>
                  <w:vAlign w:val="center"/>
                </w:tcPr>
                <w:p w14:paraId="51910801">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t>政策要求</w:t>
                  </w:r>
                </w:p>
              </w:tc>
              <w:tc>
                <w:tcPr>
                  <w:tcW w:w="1576" w:type="pct"/>
                  <w:noWrap w:val="0"/>
                  <w:vAlign w:val="center"/>
                </w:tcPr>
                <w:p w14:paraId="66FE4CD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t>本项目情况</w:t>
                  </w:r>
                </w:p>
              </w:tc>
              <w:tc>
                <w:tcPr>
                  <w:tcW w:w="522" w:type="pct"/>
                  <w:noWrap w:val="0"/>
                  <w:vAlign w:val="center"/>
                </w:tcPr>
                <w:p w14:paraId="2626122D">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21"/>
                      <w:sz w:val="21"/>
                      <w:szCs w:val="21"/>
                      <w:highlight w:val="none"/>
                      <w14:textFill>
                        <w14:solidFill>
                          <w14:schemeClr w14:val="tx1"/>
                        </w14:solidFill>
                      </w14:textFill>
                    </w:rPr>
                    <w:t>相符性</w:t>
                  </w:r>
                </w:p>
              </w:tc>
            </w:tr>
            <w:tr w14:paraId="40050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restart"/>
                  <w:noWrap w:val="0"/>
                  <w:vAlign w:val="center"/>
                </w:tcPr>
                <w:p w14:paraId="36A7700D">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《固体废物再生利用污染防治技术导则》（HJ1091-2020）</w:t>
                  </w:r>
                </w:p>
              </w:tc>
              <w:tc>
                <w:tcPr>
                  <w:tcW w:w="2080" w:type="pct"/>
                  <w:noWrap w:val="0"/>
                  <w:vAlign w:val="center"/>
                </w:tcPr>
                <w:p w14:paraId="4A57272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000000" w:themeColor="text1"/>
                      <w:spacing w:val="0"/>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固体废物再生利用建设项目的选址应符合区域性环境保护规划和当地的城乡总体规划</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12875DCC">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3"/>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项目用地，属于工业用地，符合区域性环境保护规划和当地的城乡总体规划</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522" w:type="pct"/>
                  <w:noWrap w:val="0"/>
                  <w:vAlign w:val="center"/>
                </w:tcPr>
                <w:p w14:paraId="2508A26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70767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12A2E0E">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p>
              </w:tc>
              <w:tc>
                <w:tcPr>
                  <w:tcW w:w="2080" w:type="pct"/>
                  <w:noWrap w:val="0"/>
                  <w:vAlign w:val="center"/>
                </w:tcPr>
                <w:p w14:paraId="21F30967">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固体废物再生利用建设项目的设计、施工、验收和运行应遵守国家现行的相关法规的规定，同时建立完善的环境管理制度，包括环境影响评价等</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40D5CA78">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本项目将严格执行三同时制度，后续生产经营应继续完善相关环境管理制度</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522" w:type="pct"/>
                  <w:noWrap w:val="0"/>
                  <w:vAlign w:val="center"/>
                </w:tcPr>
                <w:p w14:paraId="22DE58D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64010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45EB9B5">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p>
              </w:tc>
              <w:tc>
                <w:tcPr>
                  <w:tcW w:w="2080" w:type="pct"/>
                  <w:noWrap w:val="0"/>
                  <w:vAlign w:val="center"/>
                </w:tcPr>
                <w:p w14:paraId="43D5B966">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应对固体废物再生利用各技术环节的环境污染因子进行识别，采取有效污染控制措施，配备污染物检测设备设施，避免污染物的无组织排放，防止发生二次污染，妥善处置产生的废物</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690FCC4F">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项目</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上料和打包工序粉尘经2个集气罩收集</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破碎</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工序</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粉尘经管道收集后，最终汇入一根主管路进入布袋除尘器。经布袋除尘器处理后通过</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根</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18</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m</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高排气筒排放。</w:t>
                  </w:r>
                </w:p>
              </w:tc>
              <w:tc>
                <w:tcPr>
                  <w:tcW w:w="522" w:type="pct"/>
                  <w:noWrap w:val="0"/>
                  <w:vAlign w:val="center"/>
                </w:tcPr>
                <w:p w14:paraId="479BB7B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53F7D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4AC09358">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p>
              </w:tc>
              <w:tc>
                <w:tcPr>
                  <w:tcW w:w="2080" w:type="pct"/>
                  <w:noWrap w:val="0"/>
                  <w:vAlign w:val="center"/>
                </w:tcPr>
                <w:p w14:paraId="0CB5CC9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固体废物再生利用过程产生的各种污染物的排放应满足国家和地方的污染物排放（控制）标准与排污许可要求</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0AD3236E">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项目运营期落实各项污染防治措施后污染物可达标排放</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522" w:type="pct"/>
                  <w:noWrap w:val="0"/>
                  <w:vAlign w:val="center"/>
                </w:tcPr>
                <w:p w14:paraId="5F7550A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6248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157A5149">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p>
              </w:tc>
              <w:tc>
                <w:tcPr>
                  <w:tcW w:w="2080" w:type="pct"/>
                  <w:noWrap w:val="0"/>
                  <w:vAlign w:val="center"/>
                </w:tcPr>
                <w:p w14:paraId="782AB47C">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固体废物再生利用产物作为产品的，应符合GB 34330中要求的国家、地方制定或行业通行的产品质量标准</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0F441A8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项目产品为</w:t>
                  </w:r>
                  <w:r>
                    <w:rPr>
                      <w:rFonts w:hint="eastAsia" w:ascii="Times New Roman" w:hAnsi="Times New Roman" w:eastAsia="宋体" w:cs="Times New Roman"/>
                      <w:color w:val="000000" w:themeColor="text1"/>
                      <w:spacing w:val="0"/>
                      <w:kern w:val="0"/>
                      <w:sz w:val="21"/>
                      <w:szCs w:val="21"/>
                      <w:highlight w:val="none"/>
                      <w:lang w:val="zh-CN" w:eastAsia="zh-CN" w:bidi="ar-SA"/>
                      <w14:textFill>
                        <w14:solidFill>
                          <w14:schemeClr w14:val="tx1"/>
                        </w14:solidFill>
                      </w14:textFill>
                    </w:rPr>
                    <w:t>RDF固体废物衍生燃料</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产品标准</w:t>
                  </w:r>
                  <w:r>
                    <w:rPr>
                      <w:rFonts w:hint="eastAsia" w:ascii="Times New Roman" w:hAnsi="Times New Roman" w:cs="Times New Roman"/>
                      <w:color w:val="000000" w:themeColor="text1"/>
                      <w:spacing w:val="0"/>
                      <w:kern w:val="0"/>
                      <w:sz w:val="21"/>
                      <w:szCs w:val="21"/>
                      <w:highlight w:val="none"/>
                      <w:lang w:val="en-US" w:eastAsia="zh-CN" w:bidi="ar-SA"/>
                      <w14:textFill>
                        <w14:solidFill>
                          <w14:schemeClr w14:val="tx1"/>
                        </w14:solidFill>
                      </w14:textFill>
                    </w:rPr>
                    <w:t>参考</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《水泥窑用固体替代燃料》（T/CIC049-2021）中表1窑头用SRF主要理化指标限值。</w:t>
                  </w:r>
                </w:p>
              </w:tc>
              <w:tc>
                <w:tcPr>
                  <w:tcW w:w="522" w:type="pct"/>
                  <w:noWrap w:val="0"/>
                  <w:vAlign w:val="center"/>
                </w:tcPr>
                <w:p w14:paraId="17F5CA7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66848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C8C3C05">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p>
              </w:tc>
              <w:tc>
                <w:tcPr>
                  <w:tcW w:w="2080" w:type="pct"/>
                  <w:noWrap w:val="0"/>
                  <w:vAlign w:val="center"/>
                </w:tcPr>
                <w:p w14:paraId="0CC123E9">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明确固体废物的理化特性，采取相应的安全防护措施</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7B620934">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项目原材料主要为</w:t>
                  </w:r>
                  <w:r>
                    <w:rPr>
                      <w:rFonts w:hint="eastAsia" w:ascii="Times New Roman" w:hAnsi="Times New Roman" w:cs="Times New Roman"/>
                      <w:color w:val="000000" w:themeColor="text1"/>
                      <w:spacing w:val="0"/>
                      <w:kern w:val="0"/>
                      <w:sz w:val="21"/>
                      <w:szCs w:val="21"/>
                      <w:highlight w:val="none"/>
                      <w:lang w:val="en-US" w:eastAsia="zh-CN" w:bidi="ar-SA"/>
                      <w14:textFill>
                        <w14:solidFill>
                          <w14:schemeClr w14:val="tx1"/>
                        </w14:solidFill>
                      </w14:textFill>
                    </w:rPr>
                    <w:t>有热值的</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一般固废（工业固废、生活垃圾（废纸、废塑料、废纺织物、报废家具、园林垃圾、废包装物）、建筑垃圾中的轻浮物</w:t>
                  </w:r>
                  <w:r>
                    <w:rPr>
                      <w:rFonts w:hint="eastAsia" w:ascii="Times New Roman" w:hAnsi="Times New Roman" w:cs="Times New Roman"/>
                      <w:color w:val="000000" w:themeColor="text1"/>
                      <w:spacing w:val="0"/>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上游企业风选完的包装类塑料、装饰类塑料等</w:t>
                  </w:r>
                  <w:r>
                    <w:rPr>
                      <w:rFonts w:hint="eastAsia" w:ascii="Times New Roman" w:hAnsi="Times New Roman" w:cs="Times New Roman"/>
                      <w:color w:val="000000" w:themeColor="text1"/>
                      <w:spacing w:val="0"/>
                      <w:kern w:val="0"/>
                      <w:sz w:val="21"/>
                      <w:szCs w:val="21"/>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、农业固体废物）。项目的原料区环境干燥、通风，并进行了硬化。</w:t>
                  </w:r>
                </w:p>
              </w:tc>
              <w:tc>
                <w:tcPr>
                  <w:tcW w:w="522" w:type="pct"/>
                  <w:noWrap w:val="0"/>
                  <w:vAlign w:val="center"/>
                </w:tcPr>
                <w:p w14:paraId="7229957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7827E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1809D62D">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p>
              </w:tc>
              <w:tc>
                <w:tcPr>
                  <w:tcW w:w="2080" w:type="pct"/>
                  <w:noWrap w:val="0"/>
                  <w:vAlign w:val="center"/>
                </w:tcPr>
                <w:p w14:paraId="3DFE5697">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具有物理化学危险性的固体废物，应首先进行稳定化处理</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1B1370EF">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项目原材料主要为</w:t>
                  </w:r>
                  <w:r>
                    <w:rPr>
                      <w:rFonts w:hint="eastAsia" w:ascii="Times New Roman" w:hAnsi="Times New Roman" w:cs="Times New Roman"/>
                      <w:color w:val="000000" w:themeColor="text1"/>
                      <w:spacing w:val="0"/>
                      <w:kern w:val="0"/>
                      <w:sz w:val="21"/>
                      <w:szCs w:val="21"/>
                      <w:highlight w:val="none"/>
                      <w:lang w:val="en-US" w:eastAsia="zh-CN" w:bidi="ar-SA"/>
                      <w14:textFill>
                        <w14:solidFill>
                          <w14:schemeClr w14:val="tx1"/>
                        </w14:solidFill>
                      </w14:textFill>
                    </w:rPr>
                    <w:t>有热值的</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一般固废（工业固废、生活垃圾（废纸、废塑料、废纺织物、报废家具、园林垃圾、废包装物）、建筑垃圾中的轻浮物</w:t>
                  </w:r>
                  <w:r>
                    <w:rPr>
                      <w:rFonts w:hint="eastAsia" w:ascii="Times New Roman" w:hAnsi="Times New Roman" w:cs="Times New Roman"/>
                      <w:color w:val="000000" w:themeColor="text1"/>
                      <w:spacing w:val="0"/>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上游企业风选完的包装类塑料、装饰类塑料等</w:t>
                  </w:r>
                  <w:r>
                    <w:rPr>
                      <w:rFonts w:hint="eastAsia" w:ascii="Times New Roman" w:hAnsi="Times New Roman" w:cs="Times New Roman"/>
                      <w:color w:val="000000" w:themeColor="text1"/>
                      <w:spacing w:val="0"/>
                      <w:kern w:val="0"/>
                      <w:sz w:val="21"/>
                      <w:szCs w:val="21"/>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、农业固体废物），原料进厂前已分拣打包完毕</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522" w:type="pct"/>
                  <w:noWrap w:val="0"/>
                  <w:vAlign w:val="center"/>
                </w:tcPr>
                <w:p w14:paraId="6D9906D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52C50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03ADA89C">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p>
              </w:tc>
              <w:tc>
                <w:tcPr>
                  <w:tcW w:w="2080" w:type="pct"/>
                  <w:noWrap w:val="0"/>
                  <w:vAlign w:val="center"/>
                </w:tcPr>
                <w:p w14:paraId="60346033">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应根据固体废物的特性设置必要的防扬撒、防渗漏、防腐蚀设施，配备废气处理、废水处理、噪声控制等污染防治设施，按要求对主要环境影响指标进行在线监测</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70AB259D">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本项目原料和产品均为低水分物质，非粉末或细颗粒状，性质稳定，无工业废水产生，且生产车间和物料堆场的地面均进行了硬底化；配备相应的除尘和降噪措施，并制定了相关环境监测计划</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522" w:type="pct"/>
                  <w:noWrap w:val="0"/>
                  <w:vAlign w:val="center"/>
                </w:tcPr>
                <w:p w14:paraId="7B0932C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6F6CF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4A54744">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p>
              </w:tc>
              <w:tc>
                <w:tcPr>
                  <w:tcW w:w="2080" w:type="pct"/>
                  <w:noWrap w:val="0"/>
                  <w:vAlign w:val="center"/>
                </w:tcPr>
                <w:p w14:paraId="2BEEA077">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产生粉尘的作业区应采取除尘措施</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01A844E0">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w:t>
                  </w:r>
                  <w:r>
                    <w:rPr>
                      <w:rFonts w:hint="eastAsia" w:ascii="Times New Roman" w:hAnsi="Times New Roman" w:cs="Times New Roman"/>
                      <w:color w:val="000000" w:themeColor="text1"/>
                      <w:spacing w:val="0"/>
                      <w:kern w:val="0"/>
                      <w:sz w:val="21"/>
                      <w:szCs w:val="21"/>
                      <w:highlight w:val="none"/>
                      <w:lang w:val="en-US" w:eastAsia="zh-CN" w:bidi="ar-SA"/>
                      <w14:textFill>
                        <w14:solidFill>
                          <w14:schemeClr w14:val="tx1"/>
                        </w14:solidFill>
                      </w14:textFill>
                    </w:rPr>
                    <w:t>上料和打包</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工序粉尘</w:t>
                  </w:r>
                  <w:r>
                    <w:rPr>
                      <w:rFonts w:hint="eastAsia" w:ascii="Times New Roman" w:hAnsi="Times New Roman" w:cs="Times New Roman"/>
                      <w:color w:val="000000" w:themeColor="text1"/>
                      <w:spacing w:val="0"/>
                      <w:kern w:val="0"/>
                      <w:sz w:val="21"/>
                      <w:szCs w:val="21"/>
                      <w:highlight w:val="none"/>
                      <w:lang w:val="en-US" w:eastAsia="zh-CN" w:bidi="ar-SA"/>
                      <w14:textFill>
                        <w14:solidFill>
                          <w14:schemeClr w14:val="tx1"/>
                        </w14:solidFill>
                      </w14:textFill>
                    </w:rPr>
                    <w:t>经2个集气罩收集，破碎工序粉尘经管道收集后，最终汇入一根主管道，</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经高效布袋除尘器处理后通过1</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8</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m高排气筒排放。</w:t>
                  </w:r>
                </w:p>
              </w:tc>
              <w:tc>
                <w:tcPr>
                  <w:tcW w:w="522" w:type="pct"/>
                  <w:noWrap w:val="0"/>
                  <w:vAlign w:val="center"/>
                </w:tcPr>
                <w:p w14:paraId="38A8DE5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09339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5A0AA61">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p>
              </w:tc>
              <w:tc>
                <w:tcPr>
                  <w:tcW w:w="2080" w:type="pct"/>
                  <w:noWrap w:val="0"/>
                  <w:vAlign w:val="center"/>
                </w:tcPr>
                <w:p w14:paraId="555F4F82">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应采取大气污染控制措施，大气污染物排放应满足特定行业排放（控制）标准的要求</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4BF7AECB">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项目生产过程中颗粒物排放浓度及速率满足《大气污染物综合排放标准》（GB16297-1996）表2二级排放标准</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522" w:type="pct"/>
                  <w:noWrap w:val="0"/>
                  <w:vAlign w:val="center"/>
                </w:tcPr>
                <w:p w14:paraId="1E6472F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15E4C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19B09564">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p>
              </w:tc>
              <w:tc>
                <w:tcPr>
                  <w:tcW w:w="2080" w:type="pct"/>
                  <w:noWrap w:val="0"/>
                  <w:vAlign w:val="center"/>
                </w:tcPr>
                <w:p w14:paraId="6FCF38D6">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7"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固体废物再生利用企业应在固体废物再生利用过程中，按照相关要求，定期对场所和设施周边的大气、土壤、地表水和地下水等进行采样监测，以判断固体废物再生利用过程是否对大气、土壤、地表水和地下水造成二次污染</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075201DC">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1"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本环评提出了相关环境监测计划，对废气等污染物排放进行定期监测，切实控制污染物达标排放。本项目无生产废水</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排放</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，项目全部进行硬底处理，基本不会通过地面漫流和垂直下渗途径影响土壤和地下水环境</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522" w:type="pct"/>
                  <w:noWrap w:val="0"/>
                  <w:vAlign w:val="center"/>
                </w:tcPr>
                <w:p w14:paraId="3AE2D4D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7FCC2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restart"/>
                  <w:noWrap w:val="0"/>
                  <w:vAlign w:val="center"/>
                </w:tcPr>
                <w:p w14:paraId="15FD978A">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《一般工业固体废物贮存和填埋污染控制标准》</w:t>
                  </w:r>
                </w:p>
                <w:p w14:paraId="1414E0FD">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firstLine="14"/>
                    <w:jc w:val="center"/>
                    <w:textAlignment w:val="auto"/>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（GB18599-2020</w:t>
                  </w:r>
                  <w:r>
                    <w:rPr>
                      <w:rFonts w:hint="eastAsia"/>
                      <w:lang w:eastAsia="zh-CN"/>
                    </w:rPr>
                    <w:t>）</w:t>
                  </w:r>
                </w:p>
                <w:p w14:paraId="1E73ABA8">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 w:eastAsia="zh-CN" w:bidi="ar-SA"/>
                      <w14:textFill>
                        <w14:solidFill>
                          <w14:schemeClr w14:val="tx1"/>
                        </w14:solidFill>
                      </w14:textFill>
                    </w:rPr>
                  </w:pPr>
                </w:p>
                <w:p w14:paraId="049D889D">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000000" w:themeColor="text1"/>
                      <w:spacing w:val="0"/>
                      <w:kern w:val="0"/>
                      <w:sz w:val="21"/>
                      <w:szCs w:val="21"/>
                      <w:highlight w:val="none"/>
                      <w:lang w:val="en" w:eastAsia="zh-CN" w:bidi="ar-SA"/>
                      <w14:textFill>
                        <w14:solidFill>
                          <w14:schemeClr w14:val="tx1"/>
                        </w14:solidFill>
                      </w14:textFill>
                    </w:rPr>
                  </w:pPr>
                </w:p>
                <w:p w14:paraId="6FF26713">
                  <w:pPr>
                    <w:pStyle w:val="61"/>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000000" w:themeColor="text1"/>
                      <w:spacing w:val="0"/>
                      <w:kern w:val="0"/>
                      <w:sz w:val="21"/>
                      <w:szCs w:val="21"/>
                      <w:highlight w:val="none"/>
                      <w:lang w:val="en" w:eastAsia="zh-CN" w:bidi="ar-SA"/>
                      <w14:textFill>
                        <w14:solidFill>
                          <w14:schemeClr w14:val="tx1"/>
                        </w14:solidFill>
                      </w14:textFill>
                    </w:rPr>
                  </w:pPr>
                </w:p>
              </w:tc>
              <w:tc>
                <w:tcPr>
                  <w:tcW w:w="2080" w:type="pct"/>
                  <w:noWrap w:val="0"/>
                  <w:vAlign w:val="center"/>
                </w:tcPr>
                <w:p w14:paraId="48FABF9B">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2" w:firstLineChars="0"/>
                    <w:jc w:val="both"/>
                    <w:textAlignment w:val="auto"/>
                    <w:rPr>
                      <w:rFonts w:hint="default" w:ascii="Times New Roman" w:hAnsi="Times New Roman" w:eastAsia="宋体" w:cs="Times New Roman"/>
                      <w:color w:val="000000" w:themeColor="text1"/>
                      <w:spacing w:val="0"/>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一般工业固体废物贮存场、填埋场的选址应符合环境保护法律法规及相关法定规划要求</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6345F750">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3"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项目用地为工业用地，选址符合环境保护法律法规及相关法定规划要求</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522" w:type="pct"/>
                  <w:noWrap w:val="0"/>
                  <w:vAlign w:val="center"/>
                </w:tcPr>
                <w:p w14:paraId="579D433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75332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A154344">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themeColor="text1"/>
                      <w:spacing w:val="0"/>
                      <w:kern w:val="0"/>
                      <w:sz w:val="21"/>
                      <w:szCs w:val="21"/>
                      <w:highlight w:val="none"/>
                      <w:lang w:val="en" w:eastAsia="zh-CN" w:bidi="ar-SA"/>
                      <w14:textFill>
                        <w14:solidFill>
                          <w14:schemeClr w14:val="tx1"/>
                        </w14:solidFill>
                      </w14:textFill>
                    </w:rPr>
                  </w:pPr>
                </w:p>
              </w:tc>
              <w:tc>
                <w:tcPr>
                  <w:tcW w:w="2080" w:type="pct"/>
                  <w:noWrap w:val="0"/>
                  <w:vAlign w:val="center"/>
                </w:tcPr>
                <w:p w14:paraId="656D1210">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themeColor="text1"/>
                      <w:spacing w:val="0"/>
                      <w:kern w:val="0"/>
                      <w:sz w:val="21"/>
                      <w:szCs w:val="21"/>
                      <w:highlight w:val="none"/>
                      <w:lang w:val="en-GB"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贮存场、填埋场的位置与周围居民区的距离应依据环境影响评价文件及审批意见确定</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09034597">
                  <w:pPr>
                    <w:pStyle w:val="6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项目运行期间产生的废气在采用相应的污染防治措施后，均能做到达标排放</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522" w:type="pct"/>
                  <w:noWrap w:val="0"/>
                  <w:vAlign w:val="center"/>
                </w:tcPr>
                <w:p w14:paraId="1380882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5D7F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2A5BFDD0">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themeColor="text1"/>
                      <w:spacing w:val="0"/>
                      <w:kern w:val="0"/>
                      <w:sz w:val="21"/>
                      <w:szCs w:val="21"/>
                      <w:highlight w:val="none"/>
                      <w:lang w:val="en" w:eastAsia="zh-CN" w:bidi="ar-SA"/>
                      <w14:textFill>
                        <w14:solidFill>
                          <w14:schemeClr w14:val="tx1"/>
                        </w14:solidFill>
                      </w14:textFill>
                    </w:rPr>
                  </w:pPr>
                </w:p>
              </w:tc>
              <w:tc>
                <w:tcPr>
                  <w:tcW w:w="2080" w:type="pct"/>
                  <w:noWrap w:val="0"/>
                  <w:vAlign w:val="center"/>
                </w:tcPr>
                <w:p w14:paraId="6374D389">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贮存场及填埋场渗滤液收集池的防渗要求应不低于对应贮存场、填埋场的防渗要求</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4E3A16A2">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项目收运的一般固废为干燥固废，不产生渗滤液，且已要求生产区、成品</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区</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、原料区采取一般防渗</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522" w:type="pct"/>
                  <w:noWrap w:val="0"/>
                  <w:vAlign w:val="center"/>
                </w:tcPr>
                <w:p w14:paraId="76A2181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0A65C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52917EE9">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themeColor="text1"/>
                      <w:spacing w:val="0"/>
                      <w:kern w:val="0"/>
                      <w:sz w:val="21"/>
                      <w:szCs w:val="21"/>
                      <w:highlight w:val="none"/>
                      <w:lang w:val="en" w:eastAsia="zh-CN" w:bidi="ar-SA"/>
                      <w14:textFill>
                        <w14:solidFill>
                          <w14:schemeClr w14:val="tx1"/>
                        </w14:solidFill>
                      </w14:textFill>
                    </w:rPr>
                  </w:pPr>
                </w:p>
              </w:tc>
              <w:tc>
                <w:tcPr>
                  <w:tcW w:w="2080" w:type="pct"/>
                  <w:noWrap w:val="0"/>
                  <w:vAlign w:val="center"/>
                </w:tcPr>
                <w:p w14:paraId="47DDA6DE">
                  <w:pPr>
                    <w:pStyle w:val="61"/>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不相容的一般工业固体废物应设置不同的分区进行贮存和填埋作业</w:t>
                  </w:r>
                </w:p>
              </w:tc>
              <w:tc>
                <w:tcPr>
                  <w:tcW w:w="1576" w:type="pct"/>
                  <w:noWrap w:val="0"/>
                  <w:vAlign w:val="center"/>
                </w:tcPr>
                <w:p w14:paraId="6EE36551">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项目收集的一般固体废物，按照分区存放要求严格执行</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522" w:type="pct"/>
                  <w:noWrap w:val="0"/>
                  <w:vAlign w:val="center"/>
                </w:tcPr>
                <w:p w14:paraId="68109AA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209C1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820" w:type="pct"/>
                  <w:vMerge w:val="continue"/>
                  <w:noWrap w:val="0"/>
                  <w:vAlign w:val="center"/>
                </w:tcPr>
                <w:p w14:paraId="6D9405C1">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themeColor="text1"/>
                      <w:spacing w:val="0"/>
                      <w:kern w:val="0"/>
                      <w:sz w:val="21"/>
                      <w:szCs w:val="21"/>
                      <w:highlight w:val="none"/>
                      <w:lang w:val="en" w:eastAsia="zh-CN" w:bidi="ar-SA"/>
                      <w14:textFill>
                        <w14:solidFill>
                          <w14:schemeClr w14:val="tx1"/>
                        </w14:solidFill>
                      </w14:textFill>
                    </w:rPr>
                  </w:pPr>
                </w:p>
              </w:tc>
              <w:tc>
                <w:tcPr>
                  <w:tcW w:w="2080" w:type="pct"/>
                  <w:noWrap w:val="0"/>
                  <w:vAlign w:val="center"/>
                </w:tcPr>
                <w:p w14:paraId="50FC119F">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危险废物和生活垃圾不得进入一般工业固体废物贮存场及填埋场。国家及地方有关法律法规、标准另有规定的除外</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11C94F5B">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项目设备保养产生的危废</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暂存于危废贮存库内。</w:t>
                  </w:r>
                </w:p>
              </w:tc>
              <w:tc>
                <w:tcPr>
                  <w:tcW w:w="522" w:type="pct"/>
                  <w:noWrap w:val="0"/>
                  <w:vAlign w:val="center"/>
                </w:tcPr>
                <w:p w14:paraId="68AE6AA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2EC9C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820" w:type="pct"/>
                  <w:vMerge w:val="continue"/>
                  <w:noWrap w:val="0"/>
                  <w:vAlign w:val="center"/>
                </w:tcPr>
                <w:p w14:paraId="71271973">
                  <w:pPr>
                    <w:pStyle w:val="61"/>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eastAsia="宋体" w:cs="Times New Roman"/>
                      <w:color w:val="000000" w:themeColor="text1"/>
                      <w:spacing w:val="0"/>
                      <w:kern w:val="0"/>
                      <w:sz w:val="21"/>
                      <w:szCs w:val="21"/>
                      <w:highlight w:val="none"/>
                      <w:lang w:val="en" w:eastAsia="zh-CN" w:bidi="ar-SA"/>
                      <w14:textFill>
                        <w14:solidFill>
                          <w14:schemeClr w14:val="tx1"/>
                        </w14:solidFill>
                      </w14:textFill>
                    </w:rPr>
                  </w:pPr>
                </w:p>
              </w:tc>
              <w:tc>
                <w:tcPr>
                  <w:tcW w:w="2080" w:type="pct"/>
                  <w:noWrap w:val="0"/>
                  <w:vAlign w:val="center"/>
                </w:tcPr>
                <w:p w14:paraId="52C0105A">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贮存场、填埋场投入运行之前，企业应制定突发环境事件应急预案或在突发事件应急预案中制定环境应急预案专章，说明各种可能发生的突发环境事件情景及应急处置措施</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w:t>
                  </w:r>
                </w:p>
              </w:tc>
              <w:tc>
                <w:tcPr>
                  <w:tcW w:w="1576" w:type="pct"/>
                  <w:noWrap w:val="0"/>
                  <w:vAlign w:val="center"/>
                </w:tcPr>
                <w:p w14:paraId="6B68DB94">
                  <w:pPr>
                    <w:pStyle w:val="61"/>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22" w:firstLineChars="0"/>
                    <w:jc w:val="both"/>
                    <w:textAlignment w:val="auto"/>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环评要求</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在</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项目</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建成后编制</w:t>
                  </w:r>
                  <w:r>
                    <w:rPr>
                      <w:rFonts w:hint="default"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突发环境事件应急预案并</w:t>
                  </w:r>
                  <w:r>
                    <w:rPr>
                      <w:rFonts w:hint="eastAsia" w:ascii="Times New Roman" w:hAnsi="Times New Roman" w:eastAsia="宋体" w:cs="Times New Roman"/>
                      <w:color w:val="000000" w:themeColor="text1"/>
                      <w:spacing w:val="0"/>
                      <w:kern w:val="0"/>
                      <w:sz w:val="21"/>
                      <w:szCs w:val="21"/>
                      <w:highlight w:val="none"/>
                      <w:lang w:val="en-US" w:eastAsia="zh-CN" w:bidi="ar-SA"/>
                      <w14:textFill>
                        <w14:solidFill>
                          <w14:schemeClr w14:val="tx1"/>
                        </w14:solidFill>
                      </w14:textFill>
                    </w:rPr>
                    <w:t>备案。</w:t>
                  </w:r>
                </w:p>
              </w:tc>
              <w:tc>
                <w:tcPr>
                  <w:tcW w:w="522" w:type="pct"/>
                  <w:noWrap w:val="0"/>
                  <w:vAlign w:val="center"/>
                </w:tcPr>
                <w:p w14:paraId="496F21E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bl>
          <w:p w14:paraId="30ECE96F">
            <w:pPr>
              <w:rPr>
                <w:rFonts w:hint="default"/>
                <w:color w:val="000000" w:themeColor="text1"/>
                <w:highlight w:val="none"/>
                <w:lang w:val="en-US" w:eastAsia="zh-CN"/>
                <w14:textFill>
                  <w14:solidFill>
                    <w14:schemeClr w14:val="tx1"/>
                  </w14:solidFill>
                </w14:textFill>
              </w:rPr>
            </w:pPr>
          </w:p>
          <w:p w14:paraId="6EE922FD">
            <w:pPr>
              <w:rPr>
                <w:rFonts w:hint="default"/>
                <w:color w:val="000000" w:themeColor="text1"/>
                <w:highlight w:val="none"/>
                <w:lang w:val="en-US" w:eastAsia="zh-CN"/>
                <w14:textFill>
                  <w14:solidFill>
                    <w14:schemeClr w14:val="tx1"/>
                  </w14:solidFill>
                </w14:textFill>
              </w:rPr>
            </w:pPr>
          </w:p>
          <w:p w14:paraId="16A8FF16">
            <w:pPr>
              <w:rPr>
                <w:rFonts w:hint="default"/>
                <w:color w:val="000000" w:themeColor="text1"/>
                <w:highlight w:val="none"/>
                <w:lang w:val="en-US" w:eastAsia="zh-CN"/>
                <w14:textFill>
                  <w14:solidFill>
                    <w14:schemeClr w14:val="tx1"/>
                  </w14:solidFill>
                </w14:textFill>
              </w:rPr>
            </w:pPr>
          </w:p>
          <w:p w14:paraId="7C8918A2">
            <w:pPr>
              <w:rPr>
                <w:rFonts w:hint="default"/>
                <w:color w:val="000000" w:themeColor="text1"/>
                <w:highlight w:val="none"/>
                <w:lang w:val="en-US" w:eastAsia="zh-CN"/>
                <w14:textFill>
                  <w14:solidFill>
                    <w14:schemeClr w14:val="tx1"/>
                  </w14:solidFill>
                </w14:textFill>
              </w:rPr>
            </w:pPr>
          </w:p>
          <w:p w14:paraId="4C787322">
            <w:pPr>
              <w:rPr>
                <w:rFonts w:hint="default"/>
                <w:color w:val="000000" w:themeColor="text1"/>
                <w:highlight w:val="none"/>
                <w:lang w:val="en-US" w:eastAsia="zh-CN"/>
                <w14:textFill>
                  <w14:solidFill>
                    <w14:schemeClr w14:val="tx1"/>
                  </w14:solidFill>
                </w14:textFill>
              </w:rPr>
            </w:pPr>
          </w:p>
          <w:p w14:paraId="7923F307">
            <w:pPr>
              <w:rPr>
                <w:rFonts w:hint="default"/>
                <w:color w:val="000000" w:themeColor="text1"/>
                <w:highlight w:val="none"/>
                <w:lang w:val="en-US" w:eastAsia="zh-CN"/>
                <w14:textFill>
                  <w14:solidFill>
                    <w14:schemeClr w14:val="tx1"/>
                  </w14:solidFill>
                </w14:textFill>
              </w:rPr>
            </w:pPr>
          </w:p>
          <w:p w14:paraId="126DDB1C">
            <w:pPr>
              <w:rPr>
                <w:rFonts w:hint="default"/>
                <w:color w:val="000000" w:themeColor="text1"/>
                <w:highlight w:val="none"/>
                <w:lang w:val="en-US" w:eastAsia="zh-CN"/>
                <w14:textFill>
                  <w14:solidFill>
                    <w14:schemeClr w14:val="tx1"/>
                  </w14:solidFill>
                </w14:textFill>
              </w:rPr>
            </w:pPr>
          </w:p>
          <w:p w14:paraId="32976D8A">
            <w:pPr>
              <w:rPr>
                <w:rFonts w:hint="default"/>
                <w:color w:val="000000" w:themeColor="text1"/>
                <w:highlight w:val="none"/>
                <w:lang w:val="en-US" w:eastAsia="zh-CN"/>
                <w14:textFill>
                  <w14:solidFill>
                    <w14:schemeClr w14:val="tx1"/>
                  </w14:solidFill>
                </w14:textFill>
              </w:rPr>
            </w:pPr>
          </w:p>
          <w:p w14:paraId="74633BE0">
            <w:pPr>
              <w:rPr>
                <w:rFonts w:hint="default"/>
                <w:color w:val="000000" w:themeColor="text1"/>
                <w:highlight w:val="none"/>
                <w:lang w:val="en-US" w:eastAsia="zh-CN"/>
                <w14:textFill>
                  <w14:solidFill>
                    <w14:schemeClr w14:val="tx1"/>
                  </w14:solidFill>
                </w14:textFill>
              </w:rPr>
            </w:pPr>
          </w:p>
          <w:p w14:paraId="383B9FC2">
            <w:pPr>
              <w:rPr>
                <w:rFonts w:hint="default"/>
                <w:color w:val="000000" w:themeColor="text1"/>
                <w:highlight w:val="none"/>
                <w:lang w:val="en-US" w:eastAsia="zh-CN"/>
                <w14:textFill>
                  <w14:solidFill>
                    <w14:schemeClr w14:val="tx1"/>
                  </w14:solidFill>
                </w14:textFill>
              </w:rPr>
            </w:pPr>
          </w:p>
          <w:p w14:paraId="49FA0FA2">
            <w:pPr>
              <w:rPr>
                <w:rFonts w:hint="default"/>
                <w:color w:val="000000" w:themeColor="text1"/>
                <w:highlight w:val="none"/>
                <w:lang w:val="en-US" w:eastAsia="zh-CN"/>
                <w14:textFill>
                  <w14:solidFill>
                    <w14:schemeClr w14:val="tx1"/>
                  </w14:solidFill>
                </w14:textFill>
              </w:rPr>
            </w:pPr>
          </w:p>
          <w:p w14:paraId="07DDA930">
            <w:pPr>
              <w:rPr>
                <w:rFonts w:hint="default"/>
                <w:color w:val="000000" w:themeColor="text1"/>
                <w:highlight w:val="none"/>
                <w:lang w:val="en-US" w:eastAsia="zh-CN"/>
                <w14:textFill>
                  <w14:solidFill>
                    <w14:schemeClr w14:val="tx1"/>
                  </w14:solidFill>
                </w14:textFill>
              </w:rPr>
            </w:pPr>
          </w:p>
          <w:p w14:paraId="1B74DA89">
            <w:pPr>
              <w:rPr>
                <w:rFonts w:hint="default"/>
                <w:color w:val="000000" w:themeColor="text1"/>
                <w:highlight w:val="none"/>
                <w:lang w:val="en-US" w:eastAsia="zh-CN"/>
                <w14:textFill>
                  <w14:solidFill>
                    <w14:schemeClr w14:val="tx1"/>
                  </w14:solidFill>
                </w14:textFill>
              </w:rPr>
            </w:pPr>
          </w:p>
        </w:tc>
      </w:tr>
    </w:tbl>
    <w:p w14:paraId="670969EE">
      <w:pPr>
        <w:spacing w:line="360" w:lineRule="auto"/>
        <w:outlineLvl w:val="0"/>
        <w:rPr>
          <w:rFonts w:hint="default" w:ascii="Times New Roman" w:hAnsi="Times New Roman" w:eastAsia="黑体" w:cs="Times New Roman"/>
          <w:color w:val="000000" w:themeColor="text1"/>
          <w:sz w:val="30"/>
          <w:highlight w:val="none"/>
          <w14:textFill>
            <w14:solidFill>
              <w14:schemeClr w14:val="tx1"/>
            </w14:solidFill>
          </w14:textFill>
        </w:rPr>
        <w:sectPr>
          <w:pgSz w:w="11906" w:h="16838"/>
          <w:pgMar w:top="1701" w:right="1531" w:bottom="1701" w:left="1531" w:header="851" w:footer="1077" w:gutter="0"/>
          <w:pgNumType w:fmt="decimal"/>
          <w:cols w:space="720" w:num="1"/>
          <w:docGrid w:linePitch="312" w:charSpace="0"/>
        </w:sectPr>
      </w:pPr>
    </w:p>
    <w:p w14:paraId="0AD4F54F">
      <w:pPr>
        <w:pStyle w:val="21"/>
        <w:jc w:val="center"/>
        <w:outlineLvl w:val="0"/>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pPr>
      <w:bookmarkStart w:id="6" w:name="_Toc9183"/>
      <w:r>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t>二、建设项目工程分析</w:t>
      </w:r>
      <w:bookmarkEnd w:id="6"/>
    </w:p>
    <w:p w14:paraId="14CD7517">
      <w:pPr>
        <w:pStyle w:val="21"/>
        <w:adjustRightInd w:val="0"/>
        <w:snapToGrid w:val="0"/>
        <w:spacing w:before="0" w:beforeAutospacing="0" w:after="0" w:afterAutospacing="0"/>
        <w:jc w:val="center"/>
        <w:rPr>
          <w:rFonts w:hint="default" w:ascii="Times New Roman" w:hAnsi="Times New Roman" w:cs="Times New Roman"/>
          <w:b w:val="0"/>
          <w:bCs w:val="0"/>
          <w:color w:val="000000" w:themeColor="text1"/>
          <w:sz w:val="24"/>
          <w:szCs w:val="24"/>
          <w:highlight w:val="none"/>
          <w14:textFill>
            <w14:solidFill>
              <w14:schemeClr w14:val="tx1"/>
            </w14:solidFill>
          </w14:textFill>
        </w:rPr>
        <w:sectPr>
          <w:footerReference r:id="rId7" w:type="default"/>
          <w:pgSz w:w="11906" w:h="16838"/>
          <w:pgMar w:top="1701" w:right="1531" w:bottom="1701" w:left="1531" w:header="851" w:footer="851" w:gutter="0"/>
          <w:pgNumType w:fmt="decimal"/>
          <w:cols w:space="720" w:num="1"/>
          <w:docGrid w:linePitch="312" w:charSpace="0"/>
        </w:sectPr>
      </w:pP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46"/>
        <w:gridCol w:w="8538"/>
      </w:tblGrid>
      <w:tr w14:paraId="2D527C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46" w:type="dxa"/>
            <w:noWrap w:val="0"/>
            <w:vAlign w:val="center"/>
          </w:tcPr>
          <w:p w14:paraId="79E841C4">
            <w:pPr>
              <w:pStyle w:val="21"/>
              <w:adjustRightInd w:val="0"/>
              <w:snapToGrid w:val="0"/>
              <w:spacing w:before="0" w:beforeAutospacing="0" w:after="0" w:afterAutospacing="0"/>
              <w:jc w:val="center"/>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val="0"/>
                <w:bCs w:val="0"/>
                <w:color w:val="000000" w:themeColor="text1"/>
                <w:sz w:val="24"/>
                <w:szCs w:val="24"/>
                <w:highlight w:val="none"/>
                <w14:textFill>
                  <w14:solidFill>
                    <w14:schemeClr w14:val="tx1"/>
                  </w14:solidFill>
                </w14:textFill>
              </w:rPr>
              <w:t>建设内容</w:t>
            </w:r>
          </w:p>
        </w:tc>
        <w:tc>
          <w:tcPr>
            <w:tcW w:w="8538" w:type="dxa"/>
            <w:noWrap w:val="0"/>
            <w:vAlign w:val="top"/>
          </w:tcPr>
          <w:p w14:paraId="14660332">
            <w:pPr>
              <w:numPr>
                <w:ilvl w:val="0"/>
                <w:numId w:val="0"/>
              </w:numPr>
              <w:adjustRightInd w:val="0"/>
              <w:snapToGrid w:val="0"/>
              <w:spacing w:line="360" w:lineRule="auto"/>
              <w:jc w:val="both"/>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1、</w:t>
            </w:r>
            <w: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t>项目由来</w:t>
            </w:r>
          </w:p>
          <w:p w14:paraId="027EEB6B">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陕西省西咸新区泾河新城范围内有隆基乐叶光伏科技（西咸新区）有限公司、西安聚能超导磁体科技有限公司、陕西圣奥动物药业有限公司、质子汽车科技有限公司等14.5万家企业，且</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生产规模</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逐年</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扩大</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，企业生产运营过程中产生大量一般固废需处置。陕西无废大秦环保科技有限公司建设一条</w:t>
            </w:r>
            <w:r>
              <w:rPr>
                <w:rFonts w:hint="eastAsia"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RDF固体废物衍生燃料</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生产线，收集泾河新城及周边地区企业产生的</w:t>
            </w:r>
            <w:r>
              <w:rPr>
                <w:rFonts w:hint="eastAsia" w:cs="Times New Roman"/>
                <w:b w:val="0"/>
                <w:bCs/>
                <w:color w:val="000000" w:themeColor="text1"/>
                <w:sz w:val="24"/>
                <w:szCs w:val="24"/>
                <w:highlight w:val="none"/>
                <w:lang w:val="en-US" w:eastAsia="zh-CN"/>
                <w14:textFill>
                  <w14:solidFill>
                    <w14:schemeClr w14:val="tx1"/>
                  </w14:solidFill>
                </w14:textFill>
              </w:rPr>
              <w:t>有热值的</w:t>
            </w:r>
            <w:r>
              <w:rPr>
                <w:rFonts w:hint="default" w:ascii="Times New Roman" w:hAnsi="Times New Roman" w:eastAsia="宋体" w:cs="Times New Roman"/>
                <w:b w:val="0"/>
                <w:bCs/>
                <w:color w:val="000000" w:themeColor="text1"/>
                <w:sz w:val="24"/>
                <w:szCs w:val="24"/>
                <w:highlight w:val="none"/>
                <w:lang w:val="en-GB" w:eastAsia="zh-CN"/>
                <w14:textFill>
                  <w14:solidFill>
                    <w14:schemeClr w14:val="tx1"/>
                  </w14:solidFill>
                </w14:textFill>
              </w:rPr>
              <w:t>一般固废（工业固废、生活垃圾（废纸、废塑料、废纺织物、报废家具、园林垃圾、废包装物）、建筑垃圾中的轻浮物</w:t>
            </w:r>
            <w:r>
              <w:rPr>
                <w:rFonts w:hint="eastAsia" w:ascii="Times New Roman" w:hAnsi="Times New Roman" w:eastAsia="宋体" w:cs="Times New Roman"/>
                <w:b w:val="0"/>
                <w:bCs/>
                <w:color w:val="000000" w:themeColor="text1"/>
                <w:sz w:val="24"/>
                <w:szCs w:val="24"/>
                <w:highlight w:val="none"/>
                <w:lang w:val="en-GB"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上游企业风选完的包装类塑料、装饰类塑料等</w:t>
            </w:r>
            <w:r>
              <w:rPr>
                <w:rFonts w:hint="eastAsia" w:ascii="Times New Roman" w:hAnsi="Times New Roman" w:eastAsia="宋体" w:cs="Times New Roman"/>
                <w:b w:val="0"/>
                <w:bCs/>
                <w:color w:val="000000" w:themeColor="text1"/>
                <w:sz w:val="24"/>
                <w:szCs w:val="24"/>
                <w:highlight w:val="none"/>
                <w:lang w:val="en-GB"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GB" w:eastAsia="zh-CN"/>
                <w14:textFill>
                  <w14:solidFill>
                    <w14:schemeClr w14:val="tx1"/>
                  </w14:solidFill>
                </w14:textFill>
              </w:rPr>
              <w:t>、农业固体废物）</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GB" w:eastAsia="zh-CN"/>
                <w14:textFill>
                  <w14:solidFill>
                    <w14:schemeClr w14:val="tx1"/>
                  </w14:solidFill>
                </w14:textFill>
              </w:rPr>
              <w:t>采用最新RDF替代燃料技术，</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加工成</w:t>
            </w:r>
            <w:r>
              <w:rPr>
                <w:rFonts w:hint="default" w:ascii="Times New Roman" w:hAnsi="Times New Roman" w:eastAsia="宋体" w:cs="Times New Roman"/>
                <w:b w:val="0"/>
                <w:bCs/>
                <w:color w:val="000000" w:themeColor="text1"/>
                <w:sz w:val="24"/>
                <w:szCs w:val="24"/>
                <w:highlight w:val="none"/>
                <w:lang w:val="en-GB" w:eastAsia="zh-CN"/>
                <w14:textFill>
                  <w14:solidFill>
                    <w14:schemeClr w14:val="tx1"/>
                  </w14:solidFill>
                </w14:textFill>
              </w:rPr>
              <w:t>RDF替代燃料</w:t>
            </w:r>
            <w:r>
              <w:rPr>
                <w:rFonts w:hint="eastAsia" w:ascii="Times New Roman" w:hAnsi="Times New Roman" w:eastAsia="宋体" w:cs="Times New Roman"/>
                <w:b w:val="0"/>
                <w:bCs/>
                <w:color w:val="000000" w:themeColor="text1"/>
                <w:sz w:val="24"/>
                <w:szCs w:val="24"/>
                <w:highlight w:val="none"/>
                <w:lang w:val="en-GB"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本项目为泾河新城及周边地区产废企业的配套项目。</w:t>
            </w:r>
          </w:p>
          <w:p w14:paraId="12782AC7">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本项目属于N7723固体废物治理。根据《建设项目环境影响评价分类管理名录》（2021年版）“</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四十七、生态保护和环境治理业</w:t>
            </w:r>
            <w:r>
              <w:rPr>
                <w:rFonts w:hint="eastAsia" w:cs="Times New Roman"/>
                <w:b w:val="0"/>
                <w:bCs/>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103</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一般工业固体废物</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含污水处理污泥</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、建筑施工废弃物处置及综合利用</w:t>
            </w:r>
            <w:r>
              <w:rPr>
                <w:rFonts w:hint="eastAsia"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其他</w:t>
            </w:r>
            <w:r>
              <w:rPr>
                <w:rFonts w:hint="eastAsia" w:cs="Times New Roman"/>
                <w:b w:val="0"/>
                <w:bCs/>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四十八、公共设施管理业</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；106、生活垃圾（含餐厨废弃物）集中处置（生活垃圾发电除外）；其他处置方式日处置能力50吨以下10吨及以上</w:t>
            </w:r>
            <w:r>
              <w:rPr>
                <w:rFonts w:hint="eastAsia" w:cs="Times New Roman"/>
                <w:b w:val="0"/>
                <w:bCs/>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二十二、石油、煤炭及其他燃料加工业</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；43、生物质燃料加工；生物质致密成型燃料加工”</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，应编制环境影响报告表。</w:t>
            </w:r>
          </w:p>
          <w:p w14:paraId="3F74B55A">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4"/>
                <w:szCs w:val="24"/>
                <w:highlight w:val="none"/>
                <w:lang w:val="en-US" w:eastAsia="zh-CN"/>
                <w14:textFill>
                  <w14:solidFill>
                    <w14:schemeClr w14:val="tx1"/>
                  </w14:solidFill>
                </w14:textFill>
              </w:rPr>
              <w:t>为此，建设单位委托我公司承担该项目环境影响评价工作，委托书见附件1。接受委托后，我公司立即组织专业技术人员进行现场踏勘，并收集有关资料，在完成工程分析和环境影响因素识别的基础上，按照有关法律法规、环保技术规范及环境影响报告表编制技术指南等要求，编制完成了本项目环境影响报告表。</w:t>
            </w:r>
          </w:p>
          <w:p w14:paraId="1EA2674B">
            <w:pPr>
              <w:numPr>
                <w:ilvl w:val="0"/>
                <w:numId w:val="0"/>
              </w:numPr>
              <w:adjustRightInd w:val="0"/>
              <w:snapToGrid w:val="0"/>
              <w:spacing w:line="360" w:lineRule="auto"/>
              <w:jc w:val="both"/>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t>项目组成及建设内容</w:t>
            </w:r>
          </w:p>
          <w:p w14:paraId="36B638EA">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项目名称：</w:t>
            </w:r>
            <w:r>
              <w:rPr>
                <w:rFonts w:hint="eastAsia" w:cs="Times New Roman"/>
                <w:b w:val="0"/>
                <w:bCs/>
                <w:color w:val="000000" w:themeColor="text1"/>
                <w:sz w:val="24"/>
                <w:szCs w:val="24"/>
                <w:highlight w:val="none"/>
                <w:lang w:val="en-US" w:eastAsia="zh-CN"/>
                <w14:textFill>
                  <w14:solidFill>
                    <w14:schemeClr w14:val="tx1"/>
                  </w14:solidFill>
                </w14:textFill>
              </w:rPr>
              <w:t>一般固体废物资源化利用项目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38C5C169">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建设单位：</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陕西无废大秦环保科技有限公司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2EBF6FC1">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地理位置：本项目位于</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陕西省西咸新区泾河新城永乐工业园区南北大道陕西国坤时代科技有限公司2号厂房，该厂房中心位置坐标东经</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108°</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56</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53.934</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，北纬：</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34°</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32</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4.424</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项目地理位置图见附图1</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w:t>
            </w:r>
          </w:p>
          <w:p w14:paraId="38153F22">
            <w:pPr>
              <w:numPr>
                <w:ilvl w:val="0"/>
                <w:numId w:val="0"/>
              </w:numPr>
              <w:adjustRightInd w:val="0"/>
              <w:snapToGrid w:val="0"/>
              <w:spacing w:line="360" w:lineRule="auto"/>
              <w:ind w:firstLine="480" w:firstLineChars="200"/>
              <w:jc w:val="both"/>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四邻关系</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：项目</w:t>
            </w:r>
            <w:r>
              <w:rPr>
                <w:rFonts w:hint="eastAsia" w:cs="Times New Roman"/>
                <w:b w:val="0"/>
                <w:bCs w:val="0"/>
                <w:color w:val="000000" w:themeColor="text1"/>
                <w:sz w:val="24"/>
                <w:szCs w:val="24"/>
                <w:highlight w:val="none"/>
                <w:lang w:val="en-US" w:eastAsia="zh-CN"/>
                <w14:textFill>
                  <w14:solidFill>
                    <w14:schemeClr w14:val="tx1"/>
                  </w14:solidFill>
                </w14:textFill>
              </w:rPr>
              <w:t>东侧为空厂房</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eastAsia" w:cs="Times New Roman"/>
                <w:b w:val="0"/>
                <w:bCs w:val="0"/>
                <w:color w:val="000000" w:themeColor="text1"/>
                <w:sz w:val="24"/>
                <w:szCs w:val="24"/>
                <w:highlight w:val="none"/>
                <w:lang w:val="en-US" w:eastAsia="zh-CN"/>
                <w14:textFill>
                  <w14:solidFill>
                    <w14:schemeClr w14:val="tx1"/>
                  </w14:solidFill>
                </w14:textFill>
              </w:rPr>
              <w:t>南侧隔墙为陕西广大电炉有限公司，西侧隔厂区道路为陕西炎恒高科工贸有限公司</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北侧为</w:t>
            </w:r>
            <w:r>
              <w:rPr>
                <w:rFonts w:hint="eastAsia"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陕西九迈集团有限公司。</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四邻关系图见附图2。</w:t>
            </w:r>
          </w:p>
          <w:p w14:paraId="58203752">
            <w:pPr>
              <w:numPr>
                <w:ilvl w:val="0"/>
                <w:numId w:val="0"/>
              </w:numPr>
              <w:adjustRightInd w:val="0"/>
              <w:snapToGrid w:val="0"/>
              <w:spacing w:line="360" w:lineRule="auto"/>
              <w:ind w:firstLine="480" w:firstLineChars="200"/>
              <w:jc w:val="both"/>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建设内容及规模：</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本项目占地面积</w:t>
            </w:r>
            <w:r>
              <w:rPr>
                <w:rFonts w:hint="eastAsia" w:cs="Times New Roman"/>
                <w:b w:val="0"/>
                <w:bCs w:val="0"/>
                <w:color w:val="000000" w:themeColor="text1"/>
                <w:sz w:val="24"/>
                <w:szCs w:val="24"/>
                <w:highlight w:val="none"/>
                <w:lang w:val="en-US" w:eastAsia="zh-CN"/>
                <w14:textFill>
                  <w14:solidFill>
                    <w14:schemeClr w14:val="tx1"/>
                  </w14:solidFill>
                </w14:textFill>
              </w:rPr>
              <w:t>3504</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m</w:t>
            </w:r>
            <w:r>
              <w:rPr>
                <w:rFonts w:hint="default" w:ascii="Times New Roman" w:hAnsi="Times New Roman" w:cs="Times New Roman"/>
                <w:b w:val="0"/>
                <w:bCs w:val="0"/>
                <w:color w:val="000000" w:themeColor="text1"/>
                <w:sz w:val="24"/>
                <w:szCs w:val="24"/>
                <w:highlight w:val="none"/>
                <w:vertAlign w:val="superscript"/>
                <w:lang w:val="en-US" w:eastAsia="zh-CN"/>
                <w14:textFill>
                  <w14:solidFill>
                    <w14:schemeClr w14:val="tx1"/>
                  </w14:solidFill>
                </w14:textFill>
              </w:rPr>
              <w:t>2</w:t>
            </w:r>
            <w:r>
              <w:rPr>
                <w:rFonts w:hint="default" w:ascii="Times New Roman" w:hAnsi="Times New Roman" w:cs="Times New Roman"/>
                <w:b w:val="0"/>
                <w:bCs w:val="0"/>
                <w:color w:val="000000" w:themeColor="text1"/>
                <w:sz w:val="24"/>
                <w:szCs w:val="24"/>
                <w:highlight w:val="none"/>
                <w:vertAlign w:val="baseline"/>
                <w:lang w:val="en-US" w:eastAsia="zh-CN"/>
                <w14:textFill>
                  <w14:solidFill>
                    <w14:schemeClr w14:val="tx1"/>
                  </w14:solidFill>
                </w14:textFill>
              </w:rPr>
              <w:t>，主要</w:t>
            </w:r>
            <w:r>
              <w:rPr>
                <w:rFonts w:hint="eastAsia" w:ascii="Times New Roman" w:hAnsi="Times New Roman" w:cs="Times New Roman"/>
                <w:b w:val="0"/>
                <w:bCs w:val="0"/>
                <w:color w:val="000000" w:themeColor="text1"/>
                <w:sz w:val="24"/>
                <w:szCs w:val="24"/>
                <w:highlight w:val="none"/>
                <w:vertAlign w:val="baseline"/>
                <w:lang w:val="en-US" w:eastAsia="zh-CN"/>
                <w14:textFill>
                  <w14:solidFill>
                    <w14:schemeClr w14:val="tx1"/>
                  </w14:solidFill>
                </w14:textFill>
              </w:rPr>
              <w:t>建设1条以可燃物为原料的</w:t>
            </w:r>
            <w:r>
              <w:rPr>
                <w:rFonts w:hint="eastAsia" w:ascii="Times New Roman" w:hAnsi="Times New Roman" w:eastAsia="宋体" w:cs="Times New Roman"/>
                <w:b w:val="0"/>
                <w:bCs w:val="0"/>
                <w:color w:val="000000" w:themeColor="text1"/>
                <w:sz w:val="24"/>
                <w:szCs w:val="24"/>
                <w:highlight w:val="none"/>
                <w:lang w:val="zh-CN" w:eastAsia="zh-CN"/>
                <w14:textFill>
                  <w14:solidFill>
                    <w14:schemeClr w14:val="tx1"/>
                  </w14:solidFill>
                </w14:textFill>
              </w:rPr>
              <w:t>RDF固体废物衍生燃料</w:t>
            </w:r>
            <w:r>
              <w:rPr>
                <w:rFonts w:hint="eastAsia" w:ascii="Times New Roman" w:hAnsi="Times New Roman" w:cs="Times New Roman"/>
                <w:b w:val="0"/>
                <w:bCs/>
                <w:color w:val="000000" w:themeColor="text1"/>
                <w:sz w:val="24"/>
                <w:szCs w:val="24"/>
                <w:highlight w:val="none"/>
                <w:lang w:val="en-US" w:eastAsia="zh-CN"/>
                <w14:textFill>
                  <w14:solidFill>
                    <w14:schemeClr w14:val="tx1"/>
                  </w14:solidFill>
                </w14:textFill>
              </w:rPr>
              <w:t>生产线</w:t>
            </w:r>
            <w:r>
              <w:rPr>
                <w:rFonts w:hint="default" w:ascii="Times New Roman" w:hAnsi="Times New Roman" w:cs="Times New Roman"/>
                <w:b w:val="0"/>
                <w:bCs w:val="0"/>
                <w:color w:val="000000" w:themeColor="text1"/>
                <w:sz w:val="24"/>
                <w:szCs w:val="24"/>
                <w:highlight w:val="none"/>
                <w:vertAlign w:val="baseline"/>
                <w:lang w:val="en-US" w:eastAsia="zh-CN"/>
                <w14:textFill>
                  <w14:solidFill>
                    <w14:schemeClr w14:val="tx1"/>
                  </w14:solidFill>
                </w14:textFill>
              </w:rPr>
              <w:t>及相关配套设施，</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主要建设内容见下表。</w:t>
            </w:r>
          </w:p>
          <w:p w14:paraId="38DC4B14">
            <w:pPr>
              <w:numPr>
                <w:ilvl w:val="0"/>
                <w:numId w:val="0"/>
              </w:numPr>
              <w:adjustRightInd w:val="0"/>
              <w:snapToGrid w:val="0"/>
              <w:spacing w:line="240" w:lineRule="auto"/>
              <w:ind w:left="0" w:leftChars="0" w:firstLine="0" w:firstLineChars="0"/>
              <w:jc w:val="cente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表2-1 项目建设内容一览表</w:t>
            </w:r>
          </w:p>
          <w:tbl>
            <w:tblPr>
              <w:tblStyle w:val="25"/>
              <w:tblW w:w="8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453"/>
              <w:gridCol w:w="860"/>
              <w:gridCol w:w="5280"/>
              <w:gridCol w:w="1087"/>
            </w:tblGrid>
            <w:tr w14:paraId="5481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tcBorders>
                    <w:tl2br w:val="nil"/>
                    <w:tr2bl w:val="nil"/>
                  </w:tcBorders>
                  <w:noWrap w:val="0"/>
                  <w:vAlign w:val="center"/>
                </w:tcPr>
                <w:p w14:paraId="4264396B">
                  <w:pPr>
                    <w:tabs>
                      <w:tab w:val="left" w:pos="1260"/>
                    </w:tabs>
                    <w:adjustRightInd w:val="0"/>
                    <w:snapToGrid w:val="0"/>
                    <w:jc w:val="cente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类别</w:t>
                  </w:r>
                </w:p>
              </w:tc>
              <w:tc>
                <w:tcPr>
                  <w:tcW w:w="1313" w:type="dxa"/>
                  <w:gridSpan w:val="2"/>
                  <w:tcBorders>
                    <w:tl2br w:val="nil"/>
                    <w:tr2bl w:val="nil"/>
                  </w:tcBorders>
                  <w:noWrap w:val="0"/>
                  <w:vAlign w:val="center"/>
                </w:tcPr>
                <w:p w14:paraId="0C690179">
                  <w:pPr>
                    <w:tabs>
                      <w:tab w:val="left" w:pos="1260"/>
                    </w:tabs>
                    <w:adjustRightInd w:val="0"/>
                    <w:snapToGrid w:val="0"/>
                    <w:jc w:val="cente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项目</w:t>
                  </w: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组成</w:t>
                  </w:r>
                </w:p>
              </w:tc>
              <w:tc>
                <w:tcPr>
                  <w:tcW w:w="5280" w:type="dxa"/>
                  <w:tcBorders>
                    <w:tl2br w:val="nil"/>
                    <w:tr2bl w:val="nil"/>
                  </w:tcBorders>
                  <w:noWrap w:val="0"/>
                  <w:vAlign w:val="center"/>
                </w:tcPr>
                <w:p w14:paraId="6E0B084B">
                  <w:pPr>
                    <w:tabs>
                      <w:tab w:val="left" w:pos="1260"/>
                    </w:tabs>
                    <w:adjustRightInd w:val="0"/>
                    <w:snapToGrid w:val="0"/>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建设</w:t>
                  </w:r>
                  <w:r>
                    <w:rPr>
                      <w:rFonts w:hint="default" w:ascii="Times New Roman" w:hAnsi="Times New Roman" w:cs="Times New Roman"/>
                      <w:b/>
                      <w:bCs/>
                      <w:color w:val="000000" w:themeColor="text1"/>
                      <w:sz w:val="21"/>
                      <w:szCs w:val="21"/>
                      <w:highlight w:val="none"/>
                      <w14:textFill>
                        <w14:solidFill>
                          <w14:schemeClr w14:val="tx1"/>
                        </w14:solidFill>
                      </w14:textFill>
                    </w:rPr>
                    <w:t>内容</w:t>
                  </w: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及规模</w:t>
                  </w:r>
                </w:p>
              </w:tc>
              <w:tc>
                <w:tcPr>
                  <w:tcW w:w="1087" w:type="dxa"/>
                  <w:tcBorders>
                    <w:tl2br w:val="nil"/>
                    <w:tr2bl w:val="nil"/>
                  </w:tcBorders>
                  <w:noWrap w:val="0"/>
                  <w:vAlign w:val="center"/>
                </w:tcPr>
                <w:p w14:paraId="69A82B4E">
                  <w:pPr>
                    <w:tabs>
                      <w:tab w:val="left" w:pos="1260"/>
                    </w:tabs>
                    <w:adjustRightInd w:val="0"/>
                    <w:snapToGrid w:val="0"/>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备注</w:t>
                  </w:r>
                </w:p>
              </w:tc>
            </w:tr>
            <w:tr w14:paraId="7E784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tcBorders>
                    <w:tl2br w:val="nil"/>
                    <w:tr2bl w:val="nil"/>
                  </w:tcBorders>
                  <w:noWrap w:val="0"/>
                  <w:vAlign w:val="center"/>
                </w:tcPr>
                <w:p w14:paraId="5CFDDB24">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主体工程</w:t>
                  </w:r>
                </w:p>
              </w:tc>
              <w:tc>
                <w:tcPr>
                  <w:tcW w:w="1313" w:type="dxa"/>
                  <w:gridSpan w:val="2"/>
                  <w:tcBorders>
                    <w:tl2br w:val="nil"/>
                    <w:tr2bl w:val="nil"/>
                  </w:tcBorders>
                  <w:noWrap w:val="0"/>
                  <w:vAlign w:val="center"/>
                </w:tcPr>
                <w:p w14:paraId="00A3CDAD">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zh-CN" w:eastAsia="zh-CN"/>
                      <w14:textFill>
                        <w14:solidFill>
                          <w14:schemeClr w14:val="tx1"/>
                        </w14:solidFill>
                      </w14:textFill>
                    </w:rPr>
                    <w:t>RDF固体废物衍生燃料</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生产线</w:t>
                  </w:r>
                </w:p>
              </w:tc>
              <w:tc>
                <w:tcPr>
                  <w:tcW w:w="5280" w:type="dxa"/>
                  <w:tcBorders>
                    <w:tl2br w:val="nil"/>
                    <w:tr2bl w:val="nil"/>
                  </w:tcBorders>
                  <w:noWrap w:val="0"/>
                  <w:vAlign w:val="center"/>
                </w:tcPr>
                <w:p w14:paraId="7F46DCE8">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占地面积约</w:t>
                  </w:r>
                  <w:r>
                    <w:rPr>
                      <w:rFonts w:hint="eastAsia" w:cs="Times New Roman"/>
                      <w:bCs/>
                      <w:color w:val="000000" w:themeColor="text1"/>
                      <w:kern w:val="2"/>
                      <w:sz w:val="21"/>
                      <w:szCs w:val="21"/>
                      <w:highlight w:val="none"/>
                      <w:lang w:val="en-US" w:eastAsia="zh-CN" w:bidi="ar-SA"/>
                      <w14:textFill>
                        <w14:solidFill>
                          <w14:schemeClr w14:val="tx1"/>
                        </w14:solidFill>
                      </w14:textFill>
                    </w:rPr>
                    <w:t>841.8</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m</w:t>
                  </w:r>
                  <w:r>
                    <w:rPr>
                      <w:rFonts w:hint="eastAsia" w:ascii="Times New Roman" w:hAnsi="Times New Roman" w:eastAsia="宋体" w:cs="Times New Roman"/>
                      <w:bCs/>
                      <w:color w:val="000000" w:themeColor="text1"/>
                      <w:kern w:val="2"/>
                      <w:sz w:val="21"/>
                      <w:szCs w:val="21"/>
                      <w:highlight w:val="none"/>
                      <w:vertAlign w:val="superscript"/>
                      <w:lang w:val="en-US" w:eastAsia="zh-CN" w:bidi="ar-SA"/>
                      <w14:textFill>
                        <w14:solidFill>
                          <w14:schemeClr w14:val="tx1"/>
                        </w14:solidFill>
                      </w14:textFill>
                    </w:rPr>
                    <w:t>2</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，1F，高12.5m。</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位于生产车间</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东北侧</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，主要建设</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1条</w:t>
                  </w:r>
                  <w:r>
                    <w:rPr>
                      <w:rFonts w:hint="eastAsia" w:ascii="Times New Roman" w:hAnsi="Times New Roman" w:eastAsia="宋体" w:cs="Times New Roman"/>
                      <w:bCs/>
                      <w:color w:val="000000" w:themeColor="text1"/>
                      <w:kern w:val="2"/>
                      <w:sz w:val="21"/>
                      <w:szCs w:val="21"/>
                      <w:highlight w:val="none"/>
                      <w:lang w:val="zh-CN" w:eastAsia="zh-CN" w:bidi="ar-SA"/>
                      <w14:textFill>
                        <w14:solidFill>
                          <w14:schemeClr w14:val="tx1"/>
                        </w14:solidFill>
                      </w14:textFill>
                    </w:rPr>
                    <w:t>RDF固体废物衍生燃料</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生产线</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，配置</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三台撕碎机和</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打包机等设备</w:t>
                  </w:r>
                  <w:r>
                    <w:rPr>
                      <w:rFonts w:hint="eastAsia" w:cs="Times New Roman"/>
                      <w:bCs/>
                      <w:color w:val="000000" w:themeColor="text1"/>
                      <w:kern w:val="2"/>
                      <w:sz w:val="21"/>
                      <w:szCs w:val="21"/>
                      <w:highlight w:val="none"/>
                      <w:lang w:val="en-US" w:eastAsia="zh-CN" w:bidi="ar-SA"/>
                      <w14:textFill>
                        <w14:solidFill>
                          <w14:schemeClr w14:val="tx1"/>
                        </w14:solidFill>
                      </w14:textFill>
                    </w:rPr>
                    <w:t>。</w:t>
                  </w:r>
                </w:p>
              </w:tc>
              <w:tc>
                <w:tcPr>
                  <w:tcW w:w="1087" w:type="dxa"/>
                  <w:tcBorders>
                    <w:tl2br w:val="nil"/>
                    <w:tr2bl w:val="nil"/>
                  </w:tcBorders>
                  <w:noWrap w:val="0"/>
                  <w:vAlign w:val="center"/>
                </w:tcPr>
                <w:p w14:paraId="49B39582">
                  <w:pPr>
                    <w:tabs>
                      <w:tab w:val="left" w:pos="1260"/>
                    </w:tabs>
                    <w:adjustRightInd w:val="0"/>
                    <w:snapToGrid w:val="0"/>
                    <w:jc w:val="center"/>
                    <w:rPr>
                      <w:rFonts w:hint="eastAsia"/>
                      <w:color w:val="000000" w:themeColor="text1"/>
                      <w:highlight w:val="none"/>
                      <w:lang w:eastAsia="zh-CN"/>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依托现有厂房</w:t>
                  </w:r>
                  <w:r>
                    <w:rPr>
                      <w:rFonts w:hint="eastAsia"/>
                      <w:color w:val="000000" w:themeColor="text1"/>
                      <w:highlight w:val="none"/>
                      <w:lang w:eastAsia="zh-CN"/>
                      <w14:textFill>
                        <w14:solidFill>
                          <w14:schemeClr w14:val="tx1"/>
                        </w14:solidFill>
                      </w14:textFill>
                    </w:rPr>
                    <w:t>，</w:t>
                  </w:r>
                </w:p>
                <w:p w14:paraId="0B4C1CC9">
                  <w:pPr>
                    <w:tabs>
                      <w:tab w:val="left" w:pos="1260"/>
                    </w:tabs>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新建设备</w:t>
                  </w:r>
                </w:p>
              </w:tc>
            </w:tr>
            <w:tr w14:paraId="2907A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restart"/>
                  <w:tcBorders>
                    <w:tl2br w:val="nil"/>
                    <w:tr2bl w:val="nil"/>
                  </w:tcBorders>
                  <w:noWrap w:val="0"/>
                  <w:vAlign w:val="center"/>
                </w:tcPr>
                <w:p w14:paraId="6B5E6FC8">
                  <w:pPr>
                    <w:tabs>
                      <w:tab w:val="left" w:pos="1260"/>
                    </w:tabs>
                    <w:adjustRightInd w:val="0"/>
                    <w:snapToGrid w:val="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储运工程</w:t>
                  </w:r>
                </w:p>
              </w:tc>
              <w:tc>
                <w:tcPr>
                  <w:tcW w:w="1313" w:type="dxa"/>
                  <w:gridSpan w:val="2"/>
                  <w:tcBorders>
                    <w:tl2br w:val="nil"/>
                    <w:tr2bl w:val="nil"/>
                  </w:tcBorders>
                  <w:noWrap w:val="0"/>
                  <w:vAlign w:val="center"/>
                </w:tcPr>
                <w:p w14:paraId="1F53707F">
                  <w:pPr>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原料区</w:t>
                  </w:r>
                </w:p>
              </w:tc>
              <w:tc>
                <w:tcPr>
                  <w:tcW w:w="5280" w:type="dxa"/>
                  <w:tcBorders>
                    <w:tl2br w:val="nil"/>
                    <w:tr2bl w:val="nil"/>
                  </w:tcBorders>
                  <w:noWrap w:val="0"/>
                  <w:vAlign w:val="center"/>
                </w:tcPr>
                <w:p w14:paraId="3396B3D5">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占地面积约</w:t>
                  </w:r>
                  <w:r>
                    <w:rPr>
                      <w:rFonts w:hint="eastAsia" w:cs="Times New Roman"/>
                      <w:bCs/>
                      <w:color w:val="000000" w:themeColor="text1"/>
                      <w:kern w:val="2"/>
                      <w:sz w:val="21"/>
                      <w:szCs w:val="21"/>
                      <w:highlight w:val="none"/>
                      <w:lang w:val="en-US" w:eastAsia="zh-CN" w:bidi="ar-SA"/>
                      <w14:textFill>
                        <w14:solidFill>
                          <w14:schemeClr w14:val="tx1"/>
                        </w14:solidFill>
                      </w14:textFill>
                    </w:rPr>
                    <w:t>584.04</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m</w:t>
                  </w:r>
                  <w:r>
                    <w:rPr>
                      <w:rFonts w:hint="eastAsia" w:ascii="Times New Roman" w:hAnsi="Times New Roman" w:eastAsia="宋体" w:cs="Times New Roman"/>
                      <w:bCs/>
                      <w:color w:val="000000" w:themeColor="text1"/>
                      <w:kern w:val="2"/>
                      <w:sz w:val="21"/>
                      <w:szCs w:val="21"/>
                      <w:highlight w:val="none"/>
                      <w:vertAlign w:val="superscript"/>
                      <w:lang w:val="en-US" w:eastAsia="zh-CN" w:bidi="ar-SA"/>
                      <w14:textFill>
                        <w14:solidFill>
                          <w14:schemeClr w14:val="tx1"/>
                        </w14:solidFill>
                      </w14:textFill>
                    </w:rPr>
                    <w:t>2</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，1F，高12.5m。</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位于生产车间</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西南</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侧，用于存储原料</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p>
              </w:tc>
              <w:tc>
                <w:tcPr>
                  <w:tcW w:w="1087" w:type="dxa"/>
                  <w:tcBorders>
                    <w:tl2br w:val="nil"/>
                    <w:tr2bl w:val="nil"/>
                  </w:tcBorders>
                  <w:noWrap w:val="0"/>
                  <w:vAlign w:val="center"/>
                </w:tcPr>
                <w:p w14:paraId="68308663">
                  <w:pPr>
                    <w:adjustRightInd w:val="0"/>
                    <w:snapToGrid w:val="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新建</w:t>
                  </w:r>
                </w:p>
              </w:tc>
            </w:tr>
            <w:tr w14:paraId="034E6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0BDD73E4">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313" w:type="dxa"/>
                  <w:gridSpan w:val="2"/>
                  <w:tcBorders>
                    <w:tl2br w:val="nil"/>
                    <w:tr2bl w:val="nil"/>
                  </w:tcBorders>
                  <w:noWrap w:val="0"/>
                  <w:vAlign w:val="center"/>
                </w:tcPr>
                <w:p w14:paraId="300E086B">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成品区</w:t>
                  </w:r>
                </w:p>
              </w:tc>
              <w:tc>
                <w:tcPr>
                  <w:tcW w:w="5280" w:type="dxa"/>
                  <w:tcBorders>
                    <w:tl2br w:val="nil"/>
                    <w:tr2bl w:val="nil"/>
                  </w:tcBorders>
                  <w:noWrap w:val="0"/>
                  <w:vAlign w:val="center"/>
                </w:tcPr>
                <w:p w14:paraId="7CF51ED6">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占地面积约565.44m</w:t>
                  </w:r>
                  <w:r>
                    <w:rPr>
                      <w:rFonts w:hint="eastAsia" w:ascii="Times New Roman" w:hAnsi="Times New Roman" w:eastAsia="宋体" w:cs="Times New Roman"/>
                      <w:bCs/>
                      <w:color w:val="000000" w:themeColor="text1"/>
                      <w:kern w:val="2"/>
                      <w:sz w:val="21"/>
                      <w:szCs w:val="21"/>
                      <w:highlight w:val="none"/>
                      <w:vertAlign w:val="superscript"/>
                      <w:lang w:val="en-US" w:eastAsia="zh-CN" w:bidi="ar-SA"/>
                      <w14:textFill>
                        <w14:solidFill>
                          <w14:schemeClr w14:val="tx1"/>
                        </w14:solidFill>
                      </w14:textFill>
                    </w:rPr>
                    <w:t>2</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，1F，高12.5m。</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位于生产车间</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东南</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侧，用于存储成品</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p>
              </w:tc>
              <w:tc>
                <w:tcPr>
                  <w:tcW w:w="1087" w:type="dxa"/>
                  <w:tcBorders>
                    <w:tl2br w:val="nil"/>
                    <w:tr2bl w:val="nil"/>
                  </w:tcBorders>
                  <w:noWrap w:val="0"/>
                  <w:vAlign w:val="center"/>
                </w:tcPr>
                <w:p w14:paraId="6F8B780B">
                  <w:pPr>
                    <w:adjustRightInd w:val="0"/>
                    <w:snapToGrid w:val="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新建</w:t>
                  </w:r>
                </w:p>
              </w:tc>
            </w:tr>
            <w:tr w14:paraId="13A9E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tcBorders>
                    <w:tl2br w:val="nil"/>
                    <w:tr2bl w:val="nil"/>
                  </w:tcBorders>
                  <w:noWrap w:val="0"/>
                  <w:vAlign w:val="center"/>
                </w:tcPr>
                <w:p w14:paraId="09B2AEAB">
                  <w:pPr>
                    <w:tabs>
                      <w:tab w:val="left" w:pos="1260"/>
                    </w:tabs>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辅助工程</w:t>
                  </w:r>
                </w:p>
              </w:tc>
              <w:tc>
                <w:tcPr>
                  <w:tcW w:w="1313" w:type="dxa"/>
                  <w:gridSpan w:val="2"/>
                  <w:tcBorders>
                    <w:tl2br w:val="nil"/>
                    <w:tr2bl w:val="nil"/>
                  </w:tcBorders>
                  <w:noWrap w:val="0"/>
                  <w:vAlign w:val="center"/>
                </w:tcPr>
                <w:p w14:paraId="2FE03E6B">
                  <w:pPr>
                    <w:tabs>
                      <w:tab w:val="left" w:pos="1260"/>
                    </w:tabs>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办公区</w:t>
                  </w:r>
                </w:p>
              </w:tc>
              <w:tc>
                <w:tcPr>
                  <w:tcW w:w="5280" w:type="dxa"/>
                  <w:tcBorders>
                    <w:tl2br w:val="nil"/>
                    <w:tr2bl w:val="nil"/>
                  </w:tcBorders>
                  <w:noWrap w:val="0"/>
                  <w:vAlign w:val="center"/>
                </w:tcPr>
                <w:p w14:paraId="3FBAF211">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租赁园区办公室</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，主要用于办公</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，占地面积约60m</w:t>
                  </w:r>
                  <w:r>
                    <w:rPr>
                      <w:rFonts w:hint="eastAsia" w:ascii="Times New Roman" w:hAnsi="Times New Roman" w:eastAsia="宋体" w:cs="Times New Roman"/>
                      <w:bCs/>
                      <w:color w:val="000000" w:themeColor="text1"/>
                      <w:kern w:val="2"/>
                      <w:sz w:val="21"/>
                      <w:szCs w:val="21"/>
                      <w:highlight w:val="none"/>
                      <w:vertAlign w:val="superscript"/>
                      <w:lang w:val="en-US" w:eastAsia="zh-CN" w:bidi="ar-SA"/>
                      <w14:textFill>
                        <w14:solidFill>
                          <w14:schemeClr w14:val="tx1"/>
                        </w14:solidFill>
                      </w14:textFill>
                    </w:rPr>
                    <w:t>2</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p>
              </w:tc>
              <w:tc>
                <w:tcPr>
                  <w:tcW w:w="1087" w:type="dxa"/>
                  <w:tcBorders>
                    <w:tl2br w:val="nil"/>
                    <w:tr2bl w:val="nil"/>
                  </w:tcBorders>
                  <w:noWrap w:val="0"/>
                  <w:vAlign w:val="center"/>
                </w:tcPr>
                <w:p w14:paraId="0DE62EEE">
                  <w:pPr>
                    <w:adjustRightInd w:val="0"/>
                    <w:snapToGrid w:val="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依托现有办公楼</w:t>
                  </w:r>
                </w:p>
              </w:tc>
            </w:tr>
            <w:tr w14:paraId="12E8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restart"/>
                  <w:tcBorders>
                    <w:tl2br w:val="nil"/>
                    <w:tr2bl w:val="nil"/>
                  </w:tcBorders>
                  <w:noWrap w:val="0"/>
                  <w:vAlign w:val="center"/>
                </w:tcPr>
                <w:p w14:paraId="4E2A2389">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公用工程</w:t>
                  </w:r>
                </w:p>
              </w:tc>
              <w:tc>
                <w:tcPr>
                  <w:tcW w:w="1313" w:type="dxa"/>
                  <w:gridSpan w:val="2"/>
                  <w:tcBorders>
                    <w:tl2br w:val="nil"/>
                    <w:tr2bl w:val="nil"/>
                  </w:tcBorders>
                  <w:noWrap w:val="0"/>
                  <w:vAlign w:val="center"/>
                </w:tcPr>
                <w:p w14:paraId="20D6D1C6">
                  <w:pPr>
                    <w:tabs>
                      <w:tab w:val="left" w:pos="1260"/>
                    </w:tabs>
                    <w:adjustRightInd w:val="0"/>
                    <w:snapToGrid w:val="0"/>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供水</w:t>
                  </w:r>
                </w:p>
              </w:tc>
              <w:tc>
                <w:tcPr>
                  <w:tcW w:w="5280" w:type="dxa"/>
                  <w:tcBorders>
                    <w:tl2br w:val="nil"/>
                    <w:tr2bl w:val="nil"/>
                  </w:tcBorders>
                  <w:noWrap w:val="0"/>
                  <w:vAlign w:val="center"/>
                </w:tcPr>
                <w:p w14:paraId="4E478AB2">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由市政供水管网供给。</w:t>
                  </w:r>
                </w:p>
              </w:tc>
              <w:tc>
                <w:tcPr>
                  <w:tcW w:w="1087" w:type="dxa"/>
                  <w:tcBorders>
                    <w:tl2br w:val="nil"/>
                    <w:tr2bl w:val="nil"/>
                  </w:tcBorders>
                  <w:noWrap w:val="0"/>
                  <w:vAlign w:val="center"/>
                </w:tcPr>
                <w:p w14:paraId="31351739">
                  <w:pPr>
                    <w:tabs>
                      <w:tab w:val="left" w:pos="1260"/>
                    </w:tabs>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依托</w:t>
                  </w:r>
                </w:p>
              </w:tc>
            </w:tr>
            <w:tr w14:paraId="603A8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Merge w:val="continue"/>
                  <w:tcBorders>
                    <w:tl2br w:val="nil"/>
                    <w:tr2bl w:val="nil"/>
                  </w:tcBorders>
                  <w:noWrap w:val="0"/>
                  <w:vAlign w:val="center"/>
                </w:tcPr>
                <w:p w14:paraId="688F698B">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313" w:type="dxa"/>
                  <w:gridSpan w:val="2"/>
                  <w:tcBorders>
                    <w:tl2br w:val="nil"/>
                    <w:tr2bl w:val="nil"/>
                  </w:tcBorders>
                  <w:noWrap w:val="0"/>
                  <w:vAlign w:val="center"/>
                </w:tcPr>
                <w:p w14:paraId="5B3248C6">
                  <w:pPr>
                    <w:tabs>
                      <w:tab w:val="left" w:pos="1260"/>
                    </w:tabs>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排水</w:t>
                  </w:r>
                </w:p>
              </w:tc>
              <w:tc>
                <w:tcPr>
                  <w:tcW w:w="5280" w:type="dxa"/>
                  <w:tcBorders>
                    <w:tl2br w:val="nil"/>
                    <w:tr2bl w:val="nil"/>
                  </w:tcBorders>
                  <w:noWrap w:val="0"/>
                  <w:vAlign w:val="center"/>
                </w:tcPr>
                <w:p w14:paraId="4D93D562">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雨污分流。雨水进入市政雨水管网；</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本项目无生产废水</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排放</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，生活污水经</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陕西国坤时代科技有限公司化粪池处理后</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排入市政污水管网，最终进入泾河新城第二污水处理厂</w:t>
                  </w:r>
                  <w:r>
                    <w:rPr>
                      <w:rFonts w:hint="eastAsia"/>
                      <w:color w:val="000000" w:themeColor="text1"/>
                      <w:highlight w:val="none"/>
                      <w:lang w:val="en-US" w:eastAsia="zh-CN"/>
                      <w14:textFill>
                        <w14:solidFill>
                          <w14:schemeClr w14:val="tx1"/>
                        </w14:solidFill>
                      </w14:textFill>
                    </w:rPr>
                    <w:t>进一步</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处理</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化粪池容积约38m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p>
              </w:tc>
              <w:tc>
                <w:tcPr>
                  <w:tcW w:w="1087" w:type="dxa"/>
                  <w:tcBorders>
                    <w:tl2br w:val="nil"/>
                    <w:tr2bl w:val="nil"/>
                  </w:tcBorders>
                  <w:noWrap w:val="0"/>
                  <w:vAlign w:val="center"/>
                </w:tcPr>
                <w:p w14:paraId="682887E9">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依托</w:t>
                  </w:r>
                </w:p>
              </w:tc>
            </w:tr>
            <w:tr w14:paraId="260FC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C5EEA03">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313" w:type="dxa"/>
                  <w:gridSpan w:val="2"/>
                  <w:tcBorders>
                    <w:tl2br w:val="nil"/>
                    <w:tr2bl w:val="nil"/>
                  </w:tcBorders>
                  <w:noWrap w:val="0"/>
                  <w:vAlign w:val="center"/>
                </w:tcPr>
                <w:p w14:paraId="29EC2C21">
                  <w:pPr>
                    <w:tabs>
                      <w:tab w:val="left" w:pos="1260"/>
                    </w:tabs>
                    <w:adjustRightInd w:val="0"/>
                    <w:snapToGrid w:val="0"/>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供电</w:t>
                  </w:r>
                </w:p>
              </w:tc>
              <w:tc>
                <w:tcPr>
                  <w:tcW w:w="5280" w:type="dxa"/>
                  <w:tcBorders>
                    <w:tl2br w:val="nil"/>
                    <w:tr2bl w:val="nil"/>
                  </w:tcBorders>
                  <w:noWrap w:val="0"/>
                  <w:vAlign w:val="center"/>
                </w:tcPr>
                <w:p w14:paraId="7EA82A46">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由市政供电管网供给。</w:t>
                  </w:r>
                </w:p>
              </w:tc>
              <w:tc>
                <w:tcPr>
                  <w:tcW w:w="1087" w:type="dxa"/>
                  <w:tcBorders>
                    <w:tl2br w:val="nil"/>
                    <w:tr2bl w:val="nil"/>
                  </w:tcBorders>
                  <w:noWrap w:val="0"/>
                  <w:vAlign w:val="center"/>
                </w:tcPr>
                <w:p w14:paraId="15E1742F">
                  <w:pPr>
                    <w:tabs>
                      <w:tab w:val="left" w:pos="1260"/>
                    </w:tabs>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依托</w:t>
                  </w:r>
                </w:p>
              </w:tc>
            </w:tr>
            <w:tr w14:paraId="6A325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836EB1F">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313" w:type="dxa"/>
                  <w:gridSpan w:val="2"/>
                  <w:tcBorders>
                    <w:tl2br w:val="nil"/>
                    <w:tr2bl w:val="nil"/>
                  </w:tcBorders>
                  <w:noWrap w:val="0"/>
                  <w:vAlign w:val="center"/>
                </w:tcPr>
                <w:p w14:paraId="2747C72C">
                  <w:pPr>
                    <w:pStyle w:val="15"/>
                    <w:adjustRightIn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Cs/>
                      <w:color w:val="000000" w:themeColor="text1"/>
                      <w:sz w:val="21"/>
                      <w:szCs w:val="21"/>
                      <w:highlight w:val="none"/>
                      <w:lang w:val="en-US" w:eastAsia="zh-CN"/>
                      <w14:textFill>
                        <w14:solidFill>
                          <w14:schemeClr w14:val="tx1"/>
                        </w14:solidFill>
                      </w14:textFill>
                    </w:rPr>
                    <w:t>采暖与</w:t>
                  </w:r>
                  <w:r>
                    <w:rPr>
                      <w:rFonts w:hint="default" w:ascii="Times New Roman" w:hAnsi="Times New Roman" w:cs="Times New Roman"/>
                      <w:bCs/>
                      <w:color w:val="000000" w:themeColor="text1"/>
                      <w:sz w:val="21"/>
                      <w:szCs w:val="21"/>
                      <w:highlight w:val="none"/>
                      <w14:textFill>
                        <w14:solidFill>
                          <w14:schemeClr w14:val="tx1"/>
                        </w14:solidFill>
                      </w14:textFill>
                    </w:rPr>
                    <w:t>制冷</w:t>
                  </w:r>
                </w:p>
              </w:tc>
              <w:tc>
                <w:tcPr>
                  <w:tcW w:w="5280" w:type="dxa"/>
                  <w:tcBorders>
                    <w:tl2br w:val="nil"/>
                    <w:tr2bl w:val="nil"/>
                  </w:tcBorders>
                  <w:noWrap w:val="0"/>
                  <w:vAlign w:val="center"/>
                </w:tcPr>
                <w:p w14:paraId="5276B355">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本项目生产车间不采暖，办公</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室</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供热制冷均采用分体空调。</w:t>
                  </w:r>
                </w:p>
              </w:tc>
              <w:tc>
                <w:tcPr>
                  <w:tcW w:w="1087" w:type="dxa"/>
                  <w:tcBorders>
                    <w:tl2br w:val="nil"/>
                    <w:tr2bl w:val="nil"/>
                  </w:tcBorders>
                  <w:noWrap w:val="0"/>
                  <w:vAlign w:val="center"/>
                </w:tcPr>
                <w:p w14:paraId="600EA2D6">
                  <w:pPr>
                    <w:adjustRightInd w:val="0"/>
                    <w:snapToGrid w:val="0"/>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bCs/>
                      <w:color w:val="000000" w:themeColor="text1"/>
                      <w:szCs w:val="21"/>
                      <w:highlight w:val="none"/>
                      <w:lang w:val="en-US" w:eastAsia="zh-CN"/>
                      <w14:textFill>
                        <w14:solidFill>
                          <w14:schemeClr w14:val="tx1"/>
                        </w14:solidFill>
                      </w14:textFill>
                    </w:rPr>
                    <w:t>新建</w:t>
                  </w:r>
                </w:p>
              </w:tc>
            </w:tr>
            <w:tr w14:paraId="1841D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restart"/>
                  <w:tcBorders>
                    <w:tl2br w:val="nil"/>
                    <w:tr2bl w:val="nil"/>
                  </w:tcBorders>
                  <w:noWrap w:val="0"/>
                  <w:vAlign w:val="center"/>
                </w:tcPr>
                <w:p w14:paraId="67189757">
                  <w:pPr>
                    <w:tabs>
                      <w:tab w:val="left" w:pos="1260"/>
                    </w:tabs>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环保工程</w:t>
                  </w:r>
                </w:p>
              </w:tc>
              <w:tc>
                <w:tcPr>
                  <w:tcW w:w="453" w:type="dxa"/>
                  <w:vMerge w:val="restart"/>
                  <w:tcBorders>
                    <w:tl2br w:val="nil"/>
                    <w:tr2bl w:val="nil"/>
                  </w:tcBorders>
                  <w:noWrap w:val="0"/>
                  <w:vAlign w:val="center"/>
                </w:tcPr>
                <w:p w14:paraId="52DF62FB">
                  <w:pPr>
                    <w:tabs>
                      <w:tab w:val="left" w:pos="1260"/>
                    </w:tabs>
                    <w:adjustRightInd w:val="0"/>
                    <w:snapToGrid w:val="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废气</w:t>
                  </w:r>
                </w:p>
              </w:tc>
              <w:tc>
                <w:tcPr>
                  <w:tcW w:w="860" w:type="dxa"/>
                  <w:tcBorders>
                    <w:tl2br w:val="nil"/>
                    <w:tr2bl w:val="nil"/>
                  </w:tcBorders>
                  <w:noWrap w:val="0"/>
                  <w:vAlign w:val="center"/>
                </w:tcPr>
                <w:p w14:paraId="04BEBB89">
                  <w:pPr>
                    <w:tabs>
                      <w:tab w:val="left" w:pos="1260"/>
                    </w:tabs>
                    <w:adjustRightInd w:val="0"/>
                    <w:snapToGrid w:val="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有组织</w:t>
                  </w:r>
                </w:p>
              </w:tc>
              <w:tc>
                <w:tcPr>
                  <w:tcW w:w="5280" w:type="dxa"/>
                  <w:tcBorders>
                    <w:tl2br w:val="nil"/>
                    <w:tr2bl w:val="nil"/>
                  </w:tcBorders>
                  <w:noWrap w:val="0"/>
                  <w:vAlign w:val="center"/>
                </w:tcPr>
                <w:p w14:paraId="351397B6">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上料和打包工序粉尘经2个集气罩收集</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破碎</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工序</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粉尘经管道收集</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后</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，最终汇入一根主管道，经布袋除尘器处理后通过</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根</w:t>
                  </w: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18</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m</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高排气筒排放。</w:t>
                  </w:r>
                </w:p>
              </w:tc>
              <w:tc>
                <w:tcPr>
                  <w:tcW w:w="1087" w:type="dxa"/>
                  <w:tcBorders>
                    <w:tl2br w:val="nil"/>
                    <w:tr2bl w:val="nil"/>
                  </w:tcBorders>
                  <w:noWrap w:val="0"/>
                  <w:vAlign w:val="center"/>
                </w:tcPr>
                <w:p w14:paraId="34996148">
                  <w:pPr>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新建</w:t>
                  </w:r>
                </w:p>
              </w:tc>
            </w:tr>
            <w:tr w14:paraId="5C7B4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432D211C">
                  <w:pPr>
                    <w:tabs>
                      <w:tab w:val="left" w:pos="1260"/>
                    </w:tabs>
                    <w:adjustRightInd w:val="0"/>
                    <w:snapToGrid w:val="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p>
              </w:tc>
              <w:tc>
                <w:tcPr>
                  <w:tcW w:w="453" w:type="dxa"/>
                  <w:vMerge w:val="continue"/>
                  <w:tcBorders>
                    <w:tl2br w:val="nil"/>
                    <w:tr2bl w:val="nil"/>
                  </w:tcBorders>
                  <w:noWrap w:val="0"/>
                  <w:vAlign w:val="center"/>
                </w:tcPr>
                <w:p w14:paraId="08491F18">
                  <w:pPr>
                    <w:tabs>
                      <w:tab w:val="left" w:pos="1260"/>
                    </w:tabs>
                    <w:adjustRightInd w:val="0"/>
                    <w:snapToGrid w:val="0"/>
                    <w:jc w:val="center"/>
                    <w:rPr>
                      <w:rFonts w:hint="default" w:ascii="Times New Roman" w:hAnsi="Times New Roman" w:cs="Times New Roman"/>
                      <w:color w:val="000000" w:themeColor="text1"/>
                      <w:sz w:val="21"/>
                      <w:szCs w:val="21"/>
                      <w:highlight w:val="none"/>
                      <w:lang w:eastAsia="zh-CN"/>
                      <w14:textFill>
                        <w14:solidFill>
                          <w14:schemeClr w14:val="tx1"/>
                        </w14:solidFill>
                      </w14:textFill>
                    </w:rPr>
                  </w:pPr>
                </w:p>
              </w:tc>
              <w:tc>
                <w:tcPr>
                  <w:tcW w:w="860" w:type="dxa"/>
                  <w:tcBorders>
                    <w:tl2br w:val="nil"/>
                    <w:tr2bl w:val="nil"/>
                  </w:tcBorders>
                  <w:noWrap w:val="0"/>
                  <w:vAlign w:val="center"/>
                </w:tcPr>
                <w:p w14:paraId="63AAB32D">
                  <w:pPr>
                    <w:tabs>
                      <w:tab w:val="left" w:pos="1260"/>
                    </w:tabs>
                    <w:adjustRightInd w:val="0"/>
                    <w:snapToGrid w:val="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无组织</w:t>
                  </w:r>
                </w:p>
              </w:tc>
              <w:tc>
                <w:tcPr>
                  <w:tcW w:w="5280" w:type="dxa"/>
                  <w:tcBorders>
                    <w:tl2br w:val="nil"/>
                    <w:tr2bl w:val="nil"/>
                  </w:tcBorders>
                  <w:noWrap w:val="0"/>
                  <w:vAlign w:val="center"/>
                </w:tcPr>
                <w:p w14:paraId="324CB201">
                  <w:pPr>
                    <w:pStyle w:val="61"/>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原料</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、生产设施位于封闭车间，</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原料</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输送系统封闭</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p>
              </w:tc>
              <w:tc>
                <w:tcPr>
                  <w:tcW w:w="1087" w:type="dxa"/>
                  <w:tcBorders>
                    <w:tl2br w:val="nil"/>
                    <w:tr2bl w:val="nil"/>
                  </w:tcBorders>
                  <w:noWrap w:val="0"/>
                  <w:vAlign w:val="center"/>
                </w:tcPr>
                <w:p w14:paraId="498EEA63">
                  <w:pPr>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新建</w:t>
                  </w:r>
                </w:p>
              </w:tc>
            </w:tr>
            <w:tr w14:paraId="24CB7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2CF4F535">
                  <w:pPr>
                    <w:tabs>
                      <w:tab w:val="left" w:pos="1260"/>
                    </w:tabs>
                    <w:adjustRightInd w:val="0"/>
                    <w:snapToGrid w:val="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p>
              </w:tc>
              <w:tc>
                <w:tcPr>
                  <w:tcW w:w="1313" w:type="dxa"/>
                  <w:gridSpan w:val="2"/>
                  <w:tcBorders>
                    <w:tl2br w:val="nil"/>
                    <w:tr2bl w:val="nil"/>
                  </w:tcBorders>
                  <w:noWrap w:val="0"/>
                  <w:vAlign w:val="center"/>
                </w:tcPr>
                <w:p w14:paraId="2058333A">
                  <w:pPr>
                    <w:tabs>
                      <w:tab w:val="left" w:pos="1260"/>
                    </w:tabs>
                    <w:adjustRightInd w:val="0"/>
                    <w:snapToGrid w:val="0"/>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废水</w:t>
                  </w:r>
                </w:p>
              </w:tc>
              <w:tc>
                <w:tcPr>
                  <w:tcW w:w="5280" w:type="dxa"/>
                  <w:tcBorders>
                    <w:tl2br w:val="nil"/>
                    <w:tr2bl w:val="nil"/>
                  </w:tcBorders>
                  <w:noWrap w:val="0"/>
                  <w:vAlign w:val="center"/>
                </w:tcPr>
                <w:p w14:paraId="6A1196D3">
                  <w:pPr>
                    <w:keepNext w:val="0"/>
                    <w:keepLines w:val="0"/>
                    <w:pageBreakBefore w:val="0"/>
                    <w:widowControl w:val="0"/>
                    <w:tabs>
                      <w:tab w:val="left" w:pos="1260"/>
                    </w:tabs>
                    <w:kinsoku/>
                    <w:wordWrap/>
                    <w:overflowPunct/>
                    <w:topLinePunct w:val="0"/>
                    <w:autoSpaceDE/>
                    <w:autoSpaceDN/>
                    <w:bidi w:val="0"/>
                    <w:adjustRightInd w:val="0"/>
                    <w:snapToGrid w:val="0"/>
                    <w:jc w:val="left"/>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本项目无生产废水</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生活污水经</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陕西国坤时代科技有限公司化粪池处理后</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排入市政污水管网，最终进入泾河新城第二污水处理厂</w:t>
                  </w:r>
                  <w:r>
                    <w:rPr>
                      <w:rFonts w:hint="eastAsia"/>
                      <w:color w:val="000000" w:themeColor="text1"/>
                      <w:highlight w:val="none"/>
                      <w:lang w:val="en-US" w:eastAsia="zh-CN"/>
                      <w14:textFill>
                        <w14:solidFill>
                          <w14:schemeClr w14:val="tx1"/>
                        </w14:solidFill>
                      </w14:textFill>
                    </w:rPr>
                    <w:t>进一步</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处理。</w:t>
                  </w:r>
                </w:p>
              </w:tc>
              <w:tc>
                <w:tcPr>
                  <w:tcW w:w="1087" w:type="dxa"/>
                  <w:tcBorders>
                    <w:tl2br w:val="nil"/>
                    <w:tr2bl w:val="nil"/>
                  </w:tcBorders>
                  <w:noWrap w:val="0"/>
                  <w:vAlign w:val="center"/>
                </w:tcPr>
                <w:p w14:paraId="1922E0DB">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依托</w:t>
                  </w:r>
                </w:p>
              </w:tc>
            </w:tr>
            <w:tr w14:paraId="7FEB9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448C444">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313" w:type="dxa"/>
                  <w:gridSpan w:val="2"/>
                  <w:tcBorders>
                    <w:tl2br w:val="nil"/>
                    <w:tr2bl w:val="nil"/>
                  </w:tcBorders>
                  <w:noWrap w:val="0"/>
                  <w:vAlign w:val="center"/>
                </w:tcPr>
                <w:p w14:paraId="3C5AFFCD">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噪声</w:t>
                  </w:r>
                </w:p>
              </w:tc>
              <w:tc>
                <w:tcPr>
                  <w:tcW w:w="5280" w:type="dxa"/>
                  <w:tcBorders>
                    <w:tl2br w:val="nil"/>
                    <w:tr2bl w:val="nil"/>
                  </w:tcBorders>
                  <w:noWrap w:val="0"/>
                  <w:vAlign w:val="center"/>
                </w:tcPr>
                <w:p w14:paraId="454649FD">
                  <w:pPr>
                    <w:keepNext w:val="0"/>
                    <w:keepLines w:val="0"/>
                    <w:pageBreakBefore w:val="0"/>
                    <w:widowControl w:val="0"/>
                    <w:tabs>
                      <w:tab w:val="left" w:pos="1260"/>
                    </w:tabs>
                    <w:kinsoku/>
                    <w:wordWrap/>
                    <w:overflowPunct/>
                    <w:topLinePunct w:val="0"/>
                    <w:autoSpaceDE/>
                    <w:autoSpaceDN/>
                    <w:bidi w:val="0"/>
                    <w:adjustRightInd w:val="0"/>
                    <w:snapToGrid w:val="0"/>
                    <w:jc w:val="both"/>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选用低噪声设备、基础减振、厂房隔声、</w:t>
                  </w:r>
                  <w:r>
                    <w:rPr>
                      <w:rFonts w:hint="eastAsia" w:cs="Times New Roman"/>
                      <w:bCs/>
                      <w:color w:val="000000" w:themeColor="text1"/>
                      <w:kern w:val="2"/>
                      <w:sz w:val="21"/>
                      <w:szCs w:val="21"/>
                      <w:highlight w:val="none"/>
                      <w:lang w:val="en-US" w:eastAsia="zh-CN" w:bidi="ar-SA"/>
                      <w14:textFill>
                        <w14:solidFill>
                          <w14:schemeClr w14:val="tx1"/>
                        </w14:solidFill>
                      </w14:textFill>
                    </w:rPr>
                    <w:t>距离衰减</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等措施</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p>
              </w:tc>
              <w:tc>
                <w:tcPr>
                  <w:tcW w:w="1087" w:type="dxa"/>
                  <w:tcBorders>
                    <w:tl2br w:val="nil"/>
                    <w:tr2bl w:val="nil"/>
                  </w:tcBorders>
                  <w:noWrap w:val="0"/>
                  <w:vAlign w:val="center"/>
                </w:tcPr>
                <w:p w14:paraId="1B2165C2">
                  <w:pPr>
                    <w:tabs>
                      <w:tab w:val="left" w:pos="1260"/>
                    </w:tabs>
                    <w:adjustRightInd w:val="0"/>
                    <w:snapToGrid w:val="0"/>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bCs/>
                      <w:color w:val="000000" w:themeColor="text1"/>
                      <w:szCs w:val="21"/>
                      <w:highlight w:val="none"/>
                      <w:lang w:val="en-US" w:eastAsia="zh-CN"/>
                      <w14:textFill>
                        <w14:solidFill>
                          <w14:schemeClr w14:val="tx1"/>
                        </w14:solidFill>
                      </w14:textFill>
                    </w:rPr>
                    <w:t>新建</w:t>
                  </w:r>
                </w:p>
              </w:tc>
            </w:tr>
            <w:tr w14:paraId="1447F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02" w:type="dxa"/>
                  <w:vMerge w:val="continue"/>
                  <w:tcBorders>
                    <w:tl2br w:val="nil"/>
                    <w:tr2bl w:val="nil"/>
                  </w:tcBorders>
                  <w:noWrap w:val="0"/>
                  <w:vAlign w:val="center"/>
                </w:tcPr>
                <w:p w14:paraId="0FFC8FAC">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453" w:type="dxa"/>
                  <w:vMerge w:val="restart"/>
                  <w:tcBorders>
                    <w:tl2br w:val="nil"/>
                    <w:tr2bl w:val="nil"/>
                  </w:tcBorders>
                  <w:noWrap w:val="0"/>
                  <w:vAlign w:val="center"/>
                </w:tcPr>
                <w:p w14:paraId="605A46C1">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固废</w:t>
                  </w:r>
                </w:p>
              </w:tc>
              <w:tc>
                <w:tcPr>
                  <w:tcW w:w="860" w:type="dxa"/>
                  <w:tcBorders>
                    <w:tl2br w:val="nil"/>
                    <w:tr2bl w:val="nil"/>
                  </w:tcBorders>
                  <w:noWrap w:val="0"/>
                  <w:vAlign w:val="center"/>
                </w:tcPr>
                <w:p w14:paraId="21117C69">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生活</w:t>
                  </w:r>
                </w:p>
                <w:p w14:paraId="2531A41A">
                  <w:pPr>
                    <w:tabs>
                      <w:tab w:val="left" w:pos="1260"/>
                    </w:tabs>
                    <w:adjustRightInd w:val="0"/>
                    <w:snapToGrid w:val="0"/>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垃圾</w:t>
                  </w:r>
                </w:p>
              </w:tc>
              <w:tc>
                <w:tcPr>
                  <w:tcW w:w="5280" w:type="dxa"/>
                  <w:tcBorders>
                    <w:tl2br w:val="nil"/>
                    <w:tr2bl w:val="nil"/>
                  </w:tcBorders>
                  <w:noWrap w:val="0"/>
                  <w:vAlign w:val="center"/>
                </w:tcPr>
                <w:p w14:paraId="1692F4F1">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生活垃圾统一收集，由环卫部门统一清运</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p>
              </w:tc>
              <w:tc>
                <w:tcPr>
                  <w:tcW w:w="1087" w:type="dxa"/>
                  <w:tcBorders>
                    <w:tl2br w:val="nil"/>
                    <w:tr2bl w:val="nil"/>
                  </w:tcBorders>
                  <w:noWrap w:val="0"/>
                  <w:vAlign w:val="center"/>
                </w:tcPr>
                <w:p w14:paraId="5E2ADC20">
                  <w:pPr>
                    <w:adjustRightInd w:val="0"/>
                    <w:snapToGrid w:val="0"/>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bCs/>
                      <w:color w:val="000000" w:themeColor="text1"/>
                      <w:szCs w:val="21"/>
                      <w:highlight w:val="none"/>
                      <w:lang w:val="en-US" w:eastAsia="zh-CN"/>
                      <w14:textFill>
                        <w14:solidFill>
                          <w14:schemeClr w14:val="tx1"/>
                        </w14:solidFill>
                      </w14:textFill>
                    </w:rPr>
                    <w:t>新建</w:t>
                  </w:r>
                </w:p>
              </w:tc>
            </w:tr>
            <w:tr w14:paraId="2CFBE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1F0CA1FA">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453" w:type="dxa"/>
                  <w:vMerge w:val="continue"/>
                  <w:tcBorders>
                    <w:tl2br w:val="nil"/>
                    <w:tr2bl w:val="nil"/>
                  </w:tcBorders>
                  <w:noWrap w:val="0"/>
                  <w:vAlign w:val="center"/>
                </w:tcPr>
                <w:p w14:paraId="0EC9A446">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860" w:type="dxa"/>
                  <w:tcBorders>
                    <w:tl2br w:val="nil"/>
                    <w:tr2bl w:val="nil"/>
                  </w:tcBorders>
                  <w:noWrap w:val="0"/>
                  <w:vAlign w:val="center"/>
                </w:tcPr>
                <w:p w14:paraId="41DAC873">
                  <w:pPr>
                    <w:tabs>
                      <w:tab w:val="left" w:pos="1260"/>
                    </w:tabs>
                    <w:adjustRightInd w:val="0"/>
                    <w:snapToGrid w:val="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一般</w:t>
                  </w:r>
                </w:p>
                <w:p w14:paraId="39347FB7">
                  <w:pPr>
                    <w:tabs>
                      <w:tab w:val="left" w:pos="1260"/>
                    </w:tabs>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固废</w:t>
                  </w:r>
                </w:p>
              </w:tc>
              <w:tc>
                <w:tcPr>
                  <w:tcW w:w="5280" w:type="dxa"/>
                  <w:tcBorders>
                    <w:tl2br w:val="nil"/>
                    <w:tr2bl w:val="nil"/>
                  </w:tcBorders>
                  <w:noWrap w:val="0"/>
                  <w:vAlign w:val="center"/>
                </w:tcPr>
                <w:p w14:paraId="1B4EB31C">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一般固废暂存间</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：位于</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车间西南侧</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占地</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面积</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约</w:t>
                  </w:r>
                  <w:r>
                    <w:rPr>
                      <w:rFonts w:hint="eastAsia" w:ascii="Times New Roman" w:hAnsi="Times New Roman" w:cs="Times New Roman"/>
                      <w:bCs/>
                      <w:color w:val="000000" w:themeColor="text1"/>
                      <w:kern w:val="2"/>
                      <w:sz w:val="21"/>
                      <w:szCs w:val="21"/>
                      <w:highlight w:val="none"/>
                      <w:lang w:val="en-US" w:eastAsia="zh-CN" w:bidi="ar-SA"/>
                      <w14:textFill>
                        <w14:solidFill>
                          <w14:schemeClr w14:val="tx1"/>
                        </w14:solidFill>
                      </w14:textFill>
                    </w:rPr>
                    <w:t>27</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m</w:t>
                  </w:r>
                  <w:r>
                    <w:rPr>
                      <w:rFonts w:hint="default" w:ascii="Times New Roman" w:hAnsi="Times New Roman" w:eastAsia="宋体" w:cs="Times New Roman"/>
                      <w:bCs/>
                      <w:color w:val="000000" w:themeColor="text1"/>
                      <w:kern w:val="2"/>
                      <w:sz w:val="21"/>
                      <w:szCs w:val="21"/>
                      <w:highlight w:val="none"/>
                      <w:vertAlign w:val="superscript"/>
                      <w:lang w:val="en-US" w:eastAsia="zh-CN" w:bidi="ar-SA"/>
                      <w14:textFill>
                        <w14:solidFill>
                          <w14:schemeClr w14:val="tx1"/>
                        </w14:solidFill>
                      </w14:textFill>
                    </w:rPr>
                    <w:t>2</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。磁选工序</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产生的废铁</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等</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金属</w:t>
                  </w:r>
                  <w:r>
                    <w:rPr>
                      <w:rFonts w:hint="eastAsia" w:ascii="Times New Roman" w:hAnsi="Times New Roman" w:cs="Times New Roman"/>
                      <w:bCs/>
                      <w:color w:val="000000" w:themeColor="text1"/>
                      <w:kern w:val="2"/>
                      <w:sz w:val="21"/>
                      <w:szCs w:val="21"/>
                      <w:highlight w:val="none"/>
                      <w:lang w:val="en-US" w:eastAsia="zh-CN" w:bidi="ar-SA"/>
                      <w14:textFill>
                        <w14:solidFill>
                          <w14:schemeClr w14:val="tx1"/>
                        </w14:solidFill>
                      </w14:textFill>
                    </w:rPr>
                    <w:t>和上料工序产生的不可燃物</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统一</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收集后外售物资回收公司；除尘器收集粉尘</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和</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车间</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沉降</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粉尘</w:t>
                  </w:r>
                  <w:r>
                    <w:rPr>
                      <w:rFonts w:hint="eastAsia" w:ascii="Times New Roman" w:hAnsi="Times New Roman" w:cs="Times New Roman"/>
                      <w:bCs/>
                      <w:color w:val="000000" w:themeColor="text1"/>
                      <w:kern w:val="2"/>
                      <w:sz w:val="21"/>
                      <w:szCs w:val="21"/>
                      <w:highlight w:val="none"/>
                      <w:lang w:val="en-US" w:eastAsia="zh-CN" w:bidi="ar-SA"/>
                      <w14:textFill>
                        <w14:solidFill>
                          <w14:schemeClr w14:val="tx1"/>
                        </w14:solidFill>
                      </w14:textFill>
                    </w:rPr>
                    <w:t>集中收集外售水泥厂作原料</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；废旧布袋回用于生产。</w:t>
                  </w:r>
                </w:p>
              </w:tc>
              <w:tc>
                <w:tcPr>
                  <w:tcW w:w="1087" w:type="dxa"/>
                  <w:tcBorders>
                    <w:tl2br w:val="nil"/>
                    <w:tr2bl w:val="nil"/>
                  </w:tcBorders>
                  <w:noWrap w:val="0"/>
                  <w:vAlign w:val="center"/>
                </w:tcPr>
                <w:p w14:paraId="2FF24D40">
                  <w:pPr>
                    <w:adjustRightInd w:val="0"/>
                    <w:snapToGrid w:val="0"/>
                    <w:jc w:val="center"/>
                    <w:rPr>
                      <w:rFonts w:hint="default" w:ascii="Times New Roman" w:hAnsi="Times New Roman"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bCs/>
                      <w:color w:val="000000" w:themeColor="text1"/>
                      <w:szCs w:val="21"/>
                      <w:highlight w:val="none"/>
                      <w:lang w:val="en-US" w:eastAsia="zh-CN"/>
                      <w14:textFill>
                        <w14:solidFill>
                          <w14:schemeClr w14:val="tx1"/>
                        </w14:solidFill>
                      </w14:textFill>
                    </w:rPr>
                    <w:t>新建</w:t>
                  </w:r>
                </w:p>
              </w:tc>
            </w:tr>
            <w:tr w14:paraId="27DB1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dxa"/>
                  <w:vMerge w:val="continue"/>
                  <w:tcBorders>
                    <w:tl2br w:val="nil"/>
                    <w:tr2bl w:val="nil"/>
                  </w:tcBorders>
                  <w:noWrap w:val="0"/>
                  <w:vAlign w:val="center"/>
                </w:tcPr>
                <w:p w14:paraId="651824B2">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453" w:type="dxa"/>
                  <w:vMerge w:val="continue"/>
                  <w:tcBorders>
                    <w:tl2br w:val="nil"/>
                    <w:tr2bl w:val="nil"/>
                  </w:tcBorders>
                  <w:noWrap w:val="0"/>
                  <w:vAlign w:val="center"/>
                </w:tcPr>
                <w:p w14:paraId="5DCEEE7D">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860" w:type="dxa"/>
                  <w:tcBorders>
                    <w:tl2br w:val="nil"/>
                    <w:tr2bl w:val="nil"/>
                  </w:tcBorders>
                  <w:noWrap w:val="0"/>
                  <w:vAlign w:val="center"/>
                </w:tcPr>
                <w:p w14:paraId="48830309">
                  <w:pPr>
                    <w:tabs>
                      <w:tab w:val="left" w:pos="1260"/>
                    </w:tabs>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危险</w:t>
                  </w:r>
                </w:p>
                <w:p w14:paraId="204F8950">
                  <w:pPr>
                    <w:tabs>
                      <w:tab w:val="left" w:pos="1260"/>
                    </w:tabs>
                    <w:adjustRightInd w:val="0"/>
                    <w:snapToGrid w:val="0"/>
                    <w:jc w:val="cente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废</w:t>
                  </w:r>
                  <w:r>
                    <w:rPr>
                      <w:rFonts w:hint="default" w:ascii="Times New Roman" w:hAnsi="Times New Roman" w:cs="Times New Roman"/>
                      <w:color w:val="000000" w:themeColor="text1"/>
                      <w:sz w:val="21"/>
                      <w:szCs w:val="21"/>
                      <w:highlight w:val="none"/>
                      <w:lang w:eastAsia="zh-CN"/>
                      <w14:textFill>
                        <w14:solidFill>
                          <w14:schemeClr w14:val="tx1"/>
                        </w14:solidFill>
                      </w14:textFill>
                    </w:rPr>
                    <w:t>物</w:t>
                  </w:r>
                </w:p>
              </w:tc>
              <w:tc>
                <w:tcPr>
                  <w:tcW w:w="5280" w:type="dxa"/>
                  <w:tcBorders>
                    <w:tl2br w:val="nil"/>
                    <w:tr2bl w:val="nil"/>
                  </w:tcBorders>
                  <w:noWrap w:val="0"/>
                  <w:vAlign w:val="center"/>
                </w:tcPr>
                <w:p w14:paraId="532F42D3">
                  <w:pPr>
                    <w:pStyle w:val="61"/>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危废贮存库：</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位于</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车间西北侧</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占地</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面积</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约6m</w:t>
                  </w:r>
                  <w:r>
                    <w:rPr>
                      <w:rFonts w:hint="eastAsia" w:ascii="Times New Roman" w:hAnsi="Times New Roman" w:eastAsia="宋体" w:cs="Times New Roman"/>
                      <w:bCs/>
                      <w:color w:val="000000" w:themeColor="text1"/>
                      <w:kern w:val="2"/>
                      <w:sz w:val="21"/>
                      <w:szCs w:val="21"/>
                      <w:highlight w:val="none"/>
                      <w:vertAlign w:val="superscript"/>
                      <w:lang w:val="en-US" w:eastAsia="zh-CN" w:bidi="ar-SA"/>
                      <w14:textFill>
                        <w14:solidFill>
                          <w14:schemeClr w14:val="tx1"/>
                        </w14:solidFill>
                      </w14:textFill>
                    </w:rPr>
                    <w:t>2</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设备</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维护</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保养产生的废润滑油、</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废油桶和</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废含油抹布及手套，暂存</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于危废贮存库内</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定期</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交</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由</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有资质单位处置</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p>
              </w:tc>
              <w:tc>
                <w:tcPr>
                  <w:tcW w:w="1087" w:type="dxa"/>
                  <w:tcBorders>
                    <w:tl2br w:val="nil"/>
                    <w:tr2bl w:val="nil"/>
                  </w:tcBorders>
                  <w:noWrap w:val="0"/>
                  <w:vAlign w:val="center"/>
                </w:tcPr>
                <w:p w14:paraId="14FBD7AF">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lang w:val="en-US" w:eastAsia="zh-CN"/>
                      <w14:textFill>
                        <w14:solidFill>
                          <w14:schemeClr w14:val="tx1"/>
                        </w14:solidFill>
                      </w14:textFill>
                    </w:rPr>
                    <w:t>新建</w:t>
                  </w:r>
                </w:p>
              </w:tc>
            </w:tr>
          </w:tbl>
          <w:p w14:paraId="2665C218">
            <w:pPr>
              <w:numPr>
                <w:ilvl w:val="0"/>
                <w:numId w:val="0"/>
              </w:numPr>
              <w:adjustRightInd w:val="0"/>
              <w:snapToGrid w:val="0"/>
              <w:spacing w:line="360" w:lineRule="auto"/>
              <w:jc w:val="both"/>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3、</w:t>
            </w:r>
            <w: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t>产品方案</w:t>
            </w:r>
          </w:p>
          <w:p w14:paraId="15355EFA">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本项目产品方案见下表。</w:t>
            </w:r>
          </w:p>
          <w:p w14:paraId="3DEA9CFF">
            <w:pPr>
              <w:numPr>
                <w:ilvl w:val="0"/>
                <w:numId w:val="0"/>
              </w:numPr>
              <w:adjustRightInd w:val="0"/>
              <w:snapToGrid w:val="0"/>
              <w:spacing w:line="240" w:lineRule="auto"/>
              <w:ind w:left="0" w:leftChars="0" w:firstLine="0" w:firstLineChars="0"/>
              <w:jc w:val="center"/>
              <w:rPr>
                <w:rFonts w:hint="default" w:ascii="Times New Roman" w:hAnsi="Times New Roman" w:cs="Times New Roman"/>
                <w:b/>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val="0"/>
                <w:color w:val="000000" w:themeColor="text1"/>
                <w:sz w:val="21"/>
                <w:szCs w:val="21"/>
                <w:highlight w:val="none"/>
                <w:lang w:val="en-US" w:eastAsia="zh-CN"/>
                <w14:textFill>
                  <w14:solidFill>
                    <w14:schemeClr w14:val="tx1"/>
                  </w14:solidFill>
                </w14:textFill>
              </w:rPr>
              <w:t>表2-2 项目产品方案一览表</w:t>
            </w:r>
          </w:p>
          <w:tbl>
            <w:tblPr>
              <w:tblStyle w:val="26"/>
              <w:tblW w:w="49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333"/>
              <w:gridCol w:w="1422"/>
              <w:gridCol w:w="3803"/>
            </w:tblGrid>
            <w:tr w14:paraId="1310B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416" w:type="pct"/>
                  <w:tcBorders>
                    <w:top w:val="single" w:color="auto" w:sz="4" w:space="0"/>
                    <w:left w:val="single" w:color="auto" w:sz="0" w:space="0"/>
                    <w:bottom w:val="single" w:color="auto" w:sz="4" w:space="0"/>
                    <w:right w:val="single" w:color="auto" w:sz="4" w:space="0"/>
                  </w:tcBorders>
                  <w:noWrap w:val="0"/>
                  <w:vAlign w:val="center"/>
                </w:tcPr>
                <w:p w14:paraId="6B182EDB">
                  <w:pPr>
                    <w:spacing w:line="240" w:lineRule="auto"/>
                    <w:jc w:val="center"/>
                    <w:rPr>
                      <w:rFonts w:hint="default" w:ascii="Times New Roman" w:hAnsi="Times New Roman" w:eastAsia="宋体" w:cs="Times New Roman"/>
                      <w:b/>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1"/>
                      <w:szCs w:val="21"/>
                      <w:highlight w:val="none"/>
                      <w:lang w:val="en-US" w:eastAsia="zh-CN" w:bidi="ar-SA"/>
                      <w14:textFill>
                        <w14:solidFill>
                          <w14:schemeClr w14:val="tx1"/>
                        </w14:solidFill>
                      </w14:textFill>
                    </w:rPr>
                    <w:t>序号</w:t>
                  </w:r>
                </w:p>
              </w:tc>
              <w:tc>
                <w:tcPr>
                  <w:tcW w:w="1414" w:type="pct"/>
                  <w:tcBorders>
                    <w:top w:val="single" w:color="auto" w:sz="4" w:space="0"/>
                    <w:left w:val="single" w:color="auto" w:sz="4" w:space="0"/>
                    <w:bottom w:val="single" w:color="auto" w:sz="4" w:space="0"/>
                    <w:right w:val="single" w:color="auto" w:sz="4" w:space="0"/>
                  </w:tcBorders>
                  <w:noWrap w:val="0"/>
                  <w:vAlign w:val="center"/>
                </w:tcPr>
                <w:p w14:paraId="7A114006">
                  <w:pPr>
                    <w:snapToGrid w:val="0"/>
                    <w:jc w:val="center"/>
                    <w:rPr>
                      <w:rFonts w:hint="default" w:ascii="Times New Roman" w:hAnsi="Times New Roman" w:eastAsia="宋体" w:cs="Times New Roman"/>
                      <w:b/>
                      <w:bCs w:val="0"/>
                      <w:color w:val="000000" w:themeColor="text1"/>
                      <w:kern w:val="2"/>
                      <w:sz w:val="21"/>
                      <w:szCs w:val="21"/>
                      <w:highlight w:val="none"/>
                      <w:lang w:val="en-US" w:eastAsia="zh-CN" w:bidi="ar-SA"/>
                      <w14:textFill>
                        <w14:solidFill>
                          <w14:schemeClr w14:val="tx1"/>
                        </w14:solidFill>
                      </w14:textFill>
                    </w:rPr>
                  </w:pPr>
                  <w:r>
                    <w:rPr>
                      <w:rFonts w:hint="eastAsia" w:cs="Times New Roman"/>
                      <w:b/>
                      <w:bCs w:val="0"/>
                      <w:color w:val="000000" w:themeColor="text1"/>
                      <w:kern w:val="2"/>
                      <w:sz w:val="21"/>
                      <w:szCs w:val="21"/>
                      <w:highlight w:val="none"/>
                      <w:lang w:val="en-US" w:eastAsia="zh-CN" w:bidi="ar-SA"/>
                      <w14:textFill>
                        <w14:solidFill>
                          <w14:schemeClr w14:val="tx1"/>
                        </w14:solidFill>
                      </w14:textFill>
                    </w:rPr>
                    <w:t>产品</w:t>
                  </w:r>
                  <w:r>
                    <w:rPr>
                      <w:rFonts w:hint="default" w:ascii="Times New Roman" w:hAnsi="Times New Roman" w:eastAsia="宋体" w:cs="Times New Roman"/>
                      <w:b/>
                      <w:bCs w:val="0"/>
                      <w:color w:val="000000" w:themeColor="text1"/>
                      <w:kern w:val="2"/>
                      <w:sz w:val="21"/>
                      <w:szCs w:val="21"/>
                      <w:highlight w:val="none"/>
                      <w:lang w:val="zh-CN" w:eastAsia="zh-CN" w:bidi="ar-SA"/>
                      <w14:textFill>
                        <w14:solidFill>
                          <w14:schemeClr w14:val="tx1"/>
                        </w14:solidFill>
                      </w14:textFill>
                    </w:rPr>
                    <w:t>名称</w:t>
                  </w:r>
                </w:p>
              </w:tc>
              <w:tc>
                <w:tcPr>
                  <w:tcW w:w="862" w:type="pct"/>
                  <w:tcBorders>
                    <w:top w:val="single" w:color="auto" w:sz="4" w:space="0"/>
                    <w:left w:val="single" w:color="auto" w:sz="4" w:space="0"/>
                    <w:bottom w:val="single" w:color="auto" w:sz="4" w:space="0"/>
                    <w:right w:val="single" w:color="auto" w:sz="4" w:space="0"/>
                  </w:tcBorders>
                  <w:noWrap w:val="0"/>
                  <w:vAlign w:val="center"/>
                </w:tcPr>
                <w:p w14:paraId="3FD5FCF8">
                  <w:pPr>
                    <w:snapToGrid w:val="0"/>
                    <w:jc w:val="center"/>
                    <w:rPr>
                      <w:rFonts w:hint="default" w:ascii="Times New Roman" w:hAnsi="Times New Roman" w:eastAsia="宋体" w:cs="Times New Roman"/>
                      <w:b/>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1"/>
                      <w:szCs w:val="21"/>
                      <w:highlight w:val="none"/>
                      <w:lang w:val="zh-CN" w:eastAsia="zh-CN" w:bidi="ar-SA"/>
                      <w14:textFill>
                        <w14:solidFill>
                          <w14:schemeClr w14:val="tx1"/>
                        </w14:solidFill>
                      </w14:textFill>
                    </w:rPr>
                    <w:t>年产量（</w:t>
                  </w:r>
                  <w:r>
                    <w:rPr>
                      <w:rFonts w:hint="default" w:ascii="Times New Roman" w:hAnsi="Times New Roman" w:eastAsia="宋体" w:cs="Times New Roman"/>
                      <w:b/>
                      <w:bCs w:val="0"/>
                      <w:color w:val="000000" w:themeColor="text1"/>
                      <w:kern w:val="2"/>
                      <w:sz w:val="21"/>
                      <w:szCs w:val="21"/>
                      <w:highlight w:val="none"/>
                      <w:lang w:val="en-US" w:eastAsia="zh-CN" w:bidi="ar-SA"/>
                      <w14:textFill>
                        <w14:solidFill>
                          <w14:schemeClr w14:val="tx1"/>
                        </w14:solidFill>
                      </w14:textFill>
                    </w:rPr>
                    <w:t>t/a</w:t>
                  </w:r>
                  <w:r>
                    <w:rPr>
                      <w:rFonts w:hint="default" w:ascii="Times New Roman" w:hAnsi="Times New Roman" w:eastAsia="宋体" w:cs="Times New Roman"/>
                      <w:b/>
                      <w:bCs w:val="0"/>
                      <w:color w:val="000000" w:themeColor="text1"/>
                      <w:kern w:val="2"/>
                      <w:sz w:val="21"/>
                      <w:szCs w:val="21"/>
                      <w:highlight w:val="none"/>
                      <w:lang w:val="zh-CN" w:eastAsia="zh-CN" w:bidi="ar-SA"/>
                      <w14:textFill>
                        <w14:solidFill>
                          <w14:schemeClr w14:val="tx1"/>
                        </w14:solidFill>
                      </w14:textFill>
                    </w:rPr>
                    <w:t>）</w:t>
                  </w:r>
                </w:p>
              </w:tc>
              <w:tc>
                <w:tcPr>
                  <w:tcW w:w="2306" w:type="pct"/>
                  <w:tcBorders>
                    <w:top w:val="single" w:color="auto" w:sz="4" w:space="0"/>
                    <w:left w:val="single" w:color="auto" w:sz="4" w:space="0"/>
                    <w:bottom w:val="single" w:color="auto" w:sz="4" w:space="0"/>
                    <w:right w:val="single" w:color="auto" w:sz="4" w:space="0"/>
                  </w:tcBorders>
                  <w:noWrap w:val="0"/>
                  <w:vAlign w:val="center"/>
                </w:tcPr>
                <w:p w14:paraId="5854AD4A">
                  <w:pPr>
                    <w:snapToGrid w:val="0"/>
                    <w:jc w:val="center"/>
                    <w:rPr>
                      <w:rFonts w:hint="default" w:ascii="Times New Roman" w:hAnsi="Times New Roman" w:eastAsia="宋体" w:cs="Times New Roman"/>
                      <w:b/>
                      <w:bCs w:val="0"/>
                      <w:color w:val="000000" w:themeColor="text1"/>
                      <w:kern w:val="2"/>
                      <w:sz w:val="21"/>
                      <w:szCs w:val="21"/>
                      <w:highlight w:val="none"/>
                      <w:lang w:val="en-US" w:eastAsia="zh-CN" w:bidi="ar-SA"/>
                      <w14:textFill>
                        <w14:solidFill>
                          <w14:schemeClr w14:val="tx1"/>
                        </w14:solidFill>
                      </w14:textFill>
                    </w:rPr>
                  </w:pPr>
                  <w:r>
                    <w:rPr>
                      <w:rFonts w:hint="eastAsia" w:cs="Times New Roman"/>
                      <w:b/>
                      <w:bCs w:val="0"/>
                      <w:color w:val="000000" w:themeColor="text1"/>
                      <w:kern w:val="2"/>
                      <w:sz w:val="21"/>
                      <w:szCs w:val="21"/>
                      <w:highlight w:val="none"/>
                      <w:lang w:val="en-US" w:eastAsia="zh-CN" w:bidi="ar-SA"/>
                      <w14:textFill>
                        <w14:solidFill>
                          <w14:schemeClr w14:val="tx1"/>
                        </w14:solidFill>
                      </w14:textFill>
                    </w:rPr>
                    <w:t>产品去向</w:t>
                  </w:r>
                </w:p>
              </w:tc>
            </w:tr>
            <w:tr w14:paraId="6EC5D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6" w:type="pct"/>
                  <w:tcBorders>
                    <w:top w:val="single" w:color="auto" w:sz="4" w:space="0"/>
                    <w:left w:val="single" w:color="auto" w:sz="4" w:space="0"/>
                    <w:right w:val="single" w:color="auto" w:sz="4" w:space="0"/>
                  </w:tcBorders>
                  <w:noWrap w:val="0"/>
                  <w:vAlign w:val="center"/>
                </w:tcPr>
                <w:p w14:paraId="682F3249">
                  <w:pPr>
                    <w:spacing w:line="240" w:lineRule="auto"/>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1</w:t>
                  </w:r>
                </w:p>
              </w:tc>
              <w:tc>
                <w:tcPr>
                  <w:tcW w:w="1414" w:type="pct"/>
                  <w:tcBorders>
                    <w:top w:val="single" w:color="auto" w:sz="4" w:space="0"/>
                    <w:left w:val="single" w:color="auto" w:sz="4" w:space="0"/>
                    <w:bottom w:val="single" w:color="auto" w:sz="4" w:space="0"/>
                    <w:right w:val="single" w:color="auto" w:sz="4" w:space="0"/>
                  </w:tcBorders>
                  <w:noWrap w:val="0"/>
                  <w:vAlign w:val="center"/>
                </w:tcPr>
                <w:p w14:paraId="4AC88353">
                  <w:pPr>
                    <w:snapToGrid w:val="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1"/>
                      <w:highlight w:val="none"/>
                      <w:lang w:val="zh-CN" w:eastAsia="zh-CN" w:bidi="ar-SA"/>
                      <w14:textFill>
                        <w14:solidFill>
                          <w14:schemeClr w14:val="tx1"/>
                        </w14:solidFill>
                      </w14:textFill>
                    </w:rPr>
                    <w:t>RDF固体废物衍生燃料</w:t>
                  </w:r>
                </w:p>
              </w:tc>
              <w:tc>
                <w:tcPr>
                  <w:tcW w:w="862" w:type="pct"/>
                  <w:tcBorders>
                    <w:top w:val="single" w:color="auto" w:sz="4" w:space="0"/>
                    <w:left w:val="single" w:color="auto" w:sz="4" w:space="0"/>
                    <w:right w:val="single" w:color="auto" w:sz="4" w:space="0"/>
                  </w:tcBorders>
                  <w:noWrap w:val="0"/>
                  <w:vAlign w:val="center"/>
                </w:tcPr>
                <w:p w14:paraId="64820D01">
                  <w:pPr>
                    <w:snapToGrid w:val="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180000</w:t>
                  </w:r>
                </w:p>
              </w:tc>
              <w:tc>
                <w:tcPr>
                  <w:tcW w:w="2306" w:type="pct"/>
                  <w:tcBorders>
                    <w:top w:val="single" w:color="auto" w:sz="4" w:space="0"/>
                    <w:left w:val="single" w:color="auto" w:sz="4" w:space="0"/>
                    <w:right w:val="single" w:color="auto" w:sz="4" w:space="0"/>
                  </w:tcBorders>
                  <w:noWrap w:val="0"/>
                  <w:vAlign w:val="center"/>
                </w:tcPr>
                <w:p w14:paraId="16143E27">
                  <w:pPr>
                    <w:snapToGrid w:val="0"/>
                    <w:jc w:val="center"/>
                    <w:rPr>
                      <w:rFonts w:hint="eastAsia"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水泥厂（冀东水泥厂、海螺水泥厂等），作为水泥窑助燃补充燃料</w:t>
                  </w:r>
                </w:p>
              </w:tc>
            </w:tr>
          </w:tbl>
          <w:p w14:paraId="73AD750A">
            <w:pPr>
              <w:pStyle w:val="61"/>
              <w:keepNext w:val="0"/>
              <w:keepLines w:val="0"/>
              <w:pageBreakBefore w:val="0"/>
              <w:widowControl w:val="0"/>
              <w:kinsoku/>
              <w:wordWrap w:val="0"/>
              <w:overflowPunct w:val="0"/>
              <w:topLinePunct w:val="0"/>
              <w:autoSpaceDE/>
              <w:autoSpaceDN/>
              <w:bidi w:val="0"/>
              <w:adjustRightInd/>
              <w:snapToGrid w:val="0"/>
              <w:spacing w:line="360" w:lineRule="auto"/>
              <w:ind w:left="0" w:right="0" w:firstLine="482"/>
              <w:jc w:val="both"/>
              <w:textAlignment w:val="auto"/>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本项目RDF燃料制备标准参照《固体替代燃料定义与分类》（T/CIC046-2021）和《固体替代燃料制备技术规范》（T/CIC47-2021）</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生产的RDF尺寸在</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30</w:t>
            </w:r>
            <w:r>
              <w:rPr>
                <w:rFonts w:hint="eastAsia" w:ascii="Times New Roman" w:hAnsi="Times New Roman" w:cs="Times New Roman"/>
                <w:b w:val="0"/>
                <w:bCs/>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50mm以内，热值4000-4200大卡。</w:t>
            </w:r>
          </w:p>
          <w:p w14:paraId="59748083">
            <w:pPr>
              <w:pStyle w:val="61"/>
              <w:spacing w:before="19" w:line="377" w:lineRule="auto"/>
              <w:ind w:left="106" w:right="3" w:firstLine="482"/>
              <w:jc w:val="both"/>
              <w:rPr>
                <w:color w:val="000000" w:themeColor="text1"/>
                <w:highlight w:val="none"/>
                <w14:textFill>
                  <w14:solidFill>
                    <w14:schemeClr w14:val="tx1"/>
                  </w14:solidFill>
                </w14:textFill>
              </w:rPr>
            </w:pPr>
            <w:r>
              <w:rPr>
                <w:color w:val="000000" w:themeColor="text1"/>
                <w:spacing w:val="-5"/>
                <w:highlight w:val="none"/>
                <w14:textFill>
                  <w14:solidFill>
                    <w14:schemeClr w14:val="tx1"/>
                  </w14:solidFill>
                </w14:textFill>
              </w:rPr>
              <w:t>本项目</w:t>
            </w:r>
            <w:r>
              <w:rPr>
                <w:rFonts w:ascii="Times New Roman" w:hAnsi="Times New Roman" w:eastAsia="Times New Roman" w:cs="Times New Roman"/>
                <w:color w:val="000000" w:themeColor="text1"/>
                <w:spacing w:val="-5"/>
                <w:highlight w:val="none"/>
                <w14:textFill>
                  <w14:solidFill>
                    <w14:schemeClr w14:val="tx1"/>
                  </w14:solidFill>
                </w14:textFill>
              </w:rPr>
              <w:t>RDF</w:t>
            </w:r>
            <w:r>
              <w:rPr>
                <w:color w:val="000000" w:themeColor="text1"/>
                <w:spacing w:val="-5"/>
                <w:highlight w:val="none"/>
                <w14:textFill>
                  <w14:solidFill>
                    <w14:schemeClr w14:val="tx1"/>
                  </w14:solidFill>
                </w14:textFill>
              </w:rPr>
              <w:t>燃料制备标准参照《固体替代燃料定义与分类》（</w:t>
            </w:r>
            <w:r>
              <w:rPr>
                <w:rFonts w:ascii="Times New Roman" w:hAnsi="Times New Roman" w:eastAsia="Times New Roman" w:cs="Times New Roman"/>
                <w:color w:val="000000" w:themeColor="text1"/>
                <w:spacing w:val="-5"/>
                <w:highlight w:val="none"/>
                <w14:textFill>
                  <w14:solidFill>
                    <w14:schemeClr w14:val="tx1"/>
                  </w14:solidFill>
                </w14:textFill>
              </w:rPr>
              <w:t>T/CIC046-20</w:t>
            </w:r>
            <w:r>
              <w:rPr>
                <w:rFonts w:ascii="Times New Roman" w:hAnsi="Times New Roman" w:eastAsia="Times New Roman" w:cs="Times New Roman"/>
                <w:color w:val="000000" w:themeColor="text1"/>
                <w:spacing w:val="-6"/>
                <w:highlight w:val="none"/>
                <w14:textFill>
                  <w14:solidFill>
                    <w14:schemeClr w14:val="tx1"/>
                  </w14:solidFill>
                </w14:textFill>
              </w:rPr>
              <w:t>21</w:t>
            </w:r>
            <w:r>
              <w:rPr>
                <w:color w:val="000000" w:themeColor="text1"/>
                <w:spacing w:val="-6"/>
                <w:highlight w:val="none"/>
                <w14:textFill>
                  <w14:solidFill>
                    <w14:schemeClr w14:val="tx1"/>
                  </w14:solidFill>
                </w14:textFill>
              </w:rPr>
              <w:t>）</w:t>
            </w:r>
            <w:r>
              <w:rPr>
                <w:color w:val="000000" w:themeColor="text1"/>
                <w:spacing w:val="2"/>
                <w:highlight w:val="none"/>
                <w14:textFill>
                  <w14:solidFill>
                    <w14:schemeClr w14:val="tx1"/>
                  </w14:solidFill>
                </w14:textFill>
              </w:rPr>
              <w:t>和《固体替代燃料制备技术规范》（</w:t>
            </w:r>
            <w:r>
              <w:rPr>
                <w:rFonts w:ascii="Times New Roman" w:hAnsi="Times New Roman" w:eastAsia="Times New Roman" w:cs="Times New Roman"/>
                <w:color w:val="000000" w:themeColor="text1"/>
                <w:spacing w:val="2"/>
                <w:highlight w:val="none"/>
                <w14:textFill>
                  <w14:solidFill>
                    <w14:schemeClr w14:val="tx1"/>
                  </w14:solidFill>
                </w14:textFill>
              </w:rPr>
              <w:t>T/</w:t>
            </w:r>
            <w:r>
              <w:rPr>
                <w:rFonts w:ascii="Times New Roman" w:hAnsi="Times New Roman" w:eastAsia="Times New Roman" w:cs="Times New Roman"/>
                <w:color w:val="000000" w:themeColor="text1"/>
                <w:highlight w:val="none"/>
                <w14:textFill>
                  <w14:solidFill>
                    <w14:schemeClr w14:val="tx1"/>
                  </w14:solidFill>
                </w14:textFill>
              </w:rPr>
              <w:t>CIC</w:t>
            </w:r>
            <w:r>
              <w:rPr>
                <w:rFonts w:ascii="Times New Roman" w:hAnsi="Times New Roman" w:eastAsia="Times New Roman" w:cs="Times New Roman"/>
                <w:color w:val="000000" w:themeColor="text1"/>
                <w:spacing w:val="2"/>
                <w:highlight w:val="none"/>
                <w14:textFill>
                  <w14:solidFill>
                    <w14:schemeClr w14:val="tx1"/>
                  </w14:solidFill>
                </w14:textFill>
              </w:rPr>
              <w:t>47-2021</w:t>
            </w:r>
            <w:r>
              <w:rPr>
                <w:color w:val="000000" w:themeColor="text1"/>
                <w:spacing w:val="11"/>
                <w:highlight w:val="none"/>
                <w14:textFill>
                  <w14:solidFill>
                    <w14:schemeClr w14:val="tx1"/>
                  </w14:solidFill>
                </w14:textFill>
              </w:rPr>
              <w:t>），</w:t>
            </w:r>
            <w:r>
              <w:rPr>
                <w:color w:val="000000" w:themeColor="text1"/>
                <w:spacing w:val="2"/>
                <w:highlight w:val="none"/>
                <w14:textFill>
                  <w14:solidFill>
                    <w14:schemeClr w14:val="tx1"/>
                  </w14:solidFill>
                </w14:textFill>
              </w:rPr>
              <w:t>可供具有完善环保</w:t>
            </w:r>
            <w:r>
              <w:rPr>
                <w:color w:val="000000" w:themeColor="text1"/>
                <w:spacing w:val="1"/>
                <w:highlight w:val="none"/>
                <w14:textFill>
                  <w14:solidFill>
                    <w14:schemeClr w14:val="tx1"/>
                  </w14:solidFill>
                </w14:textFill>
              </w:rPr>
              <w:t>处理设</w:t>
            </w:r>
            <w:r>
              <w:rPr>
                <w:color w:val="000000" w:themeColor="text1"/>
                <w:spacing w:val="2"/>
                <w:highlight w:val="none"/>
                <w14:textFill>
                  <w14:solidFill>
                    <w14:schemeClr w14:val="tx1"/>
                  </w14:solidFill>
                </w14:textFill>
              </w:rPr>
              <w:t>施能力的水泥厂作为水泥窑助燃补充燃料，以弥补部分固体废物可燃</w:t>
            </w:r>
            <w:r>
              <w:rPr>
                <w:color w:val="000000" w:themeColor="text1"/>
                <w:spacing w:val="1"/>
                <w:highlight w:val="none"/>
                <w14:textFill>
                  <w14:solidFill>
                    <w14:schemeClr w14:val="tx1"/>
                  </w14:solidFill>
                </w14:textFill>
              </w:rPr>
              <w:t>性不足的缺</w:t>
            </w:r>
            <w:r>
              <w:rPr>
                <w:color w:val="000000" w:themeColor="text1"/>
                <w:spacing w:val="-5"/>
                <w:highlight w:val="none"/>
                <w14:textFill>
                  <w14:solidFill>
                    <w14:schemeClr w14:val="tx1"/>
                  </w14:solidFill>
                </w14:textFill>
              </w:rPr>
              <w:t>点。本项目</w:t>
            </w:r>
            <w:r>
              <w:rPr>
                <w:rFonts w:ascii="Times New Roman" w:hAnsi="Times New Roman" w:eastAsia="Times New Roman" w:cs="Times New Roman"/>
                <w:color w:val="000000" w:themeColor="text1"/>
                <w:spacing w:val="-5"/>
                <w:highlight w:val="none"/>
                <w14:textFill>
                  <w14:solidFill>
                    <w14:schemeClr w14:val="tx1"/>
                  </w14:solidFill>
                </w14:textFill>
              </w:rPr>
              <w:t>RDF</w:t>
            </w:r>
            <w:r>
              <w:rPr>
                <w:color w:val="000000" w:themeColor="text1"/>
                <w:spacing w:val="-5"/>
                <w:highlight w:val="none"/>
                <w14:textFill>
                  <w14:solidFill>
                    <w14:schemeClr w14:val="tx1"/>
                  </w14:solidFill>
                </w14:textFill>
              </w:rPr>
              <w:t>燃料执行《水泥窑用固体替代燃料》（</w:t>
            </w:r>
            <w:r>
              <w:rPr>
                <w:rFonts w:ascii="Times New Roman" w:hAnsi="Times New Roman" w:eastAsia="Times New Roman" w:cs="Times New Roman"/>
                <w:color w:val="000000" w:themeColor="text1"/>
                <w:spacing w:val="-5"/>
                <w:highlight w:val="none"/>
                <w14:textFill>
                  <w14:solidFill>
                    <w14:schemeClr w14:val="tx1"/>
                  </w14:solidFill>
                </w14:textFill>
              </w:rPr>
              <w:t>T/CIC049-2021</w:t>
            </w:r>
            <w:r>
              <w:rPr>
                <w:color w:val="000000" w:themeColor="text1"/>
                <w:spacing w:val="-5"/>
                <w:highlight w:val="none"/>
                <w14:textFill>
                  <w14:solidFill>
                    <w14:schemeClr w14:val="tx1"/>
                  </w14:solidFill>
                </w14:textFill>
              </w:rPr>
              <w:t>）中表</w:t>
            </w:r>
            <w:r>
              <w:rPr>
                <w:rFonts w:ascii="Times New Roman" w:hAnsi="Times New Roman" w:eastAsia="Times New Roman" w:cs="Times New Roman"/>
                <w:color w:val="000000" w:themeColor="text1"/>
                <w:spacing w:val="-5"/>
                <w:highlight w:val="none"/>
                <w14:textFill>
                  <w14:solidFill>
                    <w14:schemeClr w14:val="tx1"/>
                  </w14:solidFill>
                </w14:textFill>
              </w:rPr>
              <w:t>1</w:t>
            </w:r>
            <w:r>
              <w:rPr>
                <w:color w:val="000000" w:themeColor="text1"/>
                <w:spacing w:val="-5"/>
                <w:highlight w:val="none"/>
                <w14:textFill>
                  <w14:solidFill>
                    <w14:schemeClr w14:val="tx1"/>
                  </w14:solidFill>
                </w14:textFill>
              </w:rPr>
              <w:t>窑</w:t>
            </w:r>
            <w:r>
              <w:rPr>
                <w:color w:val="000000" w:themeColor="text1"/>
                <w:spacing w:val="-3"/>
                <w:highlight w:val="none"/>
                <w14:textFill>
                  <w14:solidFill>
                    <w14:schemeClr w14:val="tx1"/>
                  </w14:solidFill>
                </w14:textFill>
              </w:rPr>
              <w:t>头用</w:t>
            </w:r>
            <w:r>
              <w:rPr>
                <w:rFonts w:ascii="Times New Roman" w:hAnsi="Times New Roman" w:eastAsia="Times New Roman" w:cs="Times New Roman"/>
                <w:color w:val="000000" w:themeColor="text1"/>
                <w:spacing w:val="-3"/>
                <w:highlight w:val="none"/>
                <w14:textFill>
                  <w14:solidFill>
                    <w14:schemeClr w14:val="tx1"/>
                  </w14:solidFill>
                </w14:textFill>
              </w:rPr>
              <w:t>SRF</w:t>
            </w:r>
            <w:r>
              <w:rPr>
                <w:color w:val="000000" w:themeColor="text1"/>
                <w:spacing w:val="-3"/>
                <w:highlight w:val="none"/>
                <w14:textFill>
                  <w14:solidFill>
                    <w14:schemeClr w14:val="tx1"/>
                  </w14:solidFill>
                </w14:textFill>
              </w:rPr>
              <w:t>主要理化指标限值。</w:t>
            </w:r>
          </w:p>
          <w:p w14:paraId="59108F78">
            <w:pPr>
              <w:numPr>
                <w:ilvl w:val="0"/>
                <w:numId w:val="0"/>
              </w:numPr>
              <w:adjustRightInd w:val="0"/>
              <w:snapToGrid w:val="0"/>
              <w:spacing w:line="360" w:lineRule="auto"/>
              <w:jc w:val="both"/>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4</w:t>
            </w: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t>主要原辅料及能源消耗</w:t>
            </w:r>
          </w:p>
          <w:p w14:paraId="633C4F7C">
            <w:pPr>
              <w:numPr>
                <w:ilvl w:val="0"/>
                <w:numId w:val="0"/>
              </w:numPr>
              <w:adjustRightInd w:val="0"/>
              <w:snapToGrid w:val="0"/>
              <w:spacing w:line="360" w:lineRule="auto"/>
              <w:ind w:firstLine="480" w:firstLineChars="200"/>
              <w:jc w:val="both"/>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4"/>
                <w:szCs w:val="24"/>
                <w:highlight w:val="none"/>
                <w:lang w:val="en-US" w:eastAsia="zh-CN"/>
                <w14:textFill>
                  <w14:solidFill>
                    <w14:schemeClr w14:val="tx1"/>
                  </w14:solidFill>
                </w14:textFill>
              </w:rPr>
              <w:t>本项目主要原辅料及能源消耗见下表。</w:t>
            </w:r>
          </w:p>
        </w:tc>
      </w:tr>
    </w:tbl>
    <w:p w14:paraId="3C3DE274">
      <w:pPr>
        <w:pStyle w:val="21"/>
        <w:adjustRightInd w:val="0"/>
        <w:snapToGrid w:val="0"/>
        <w:spacing w:before="0" w:beforeAutospacing="0" w:after="0" w:afterAutospacing="0"/>
        <w:jc w:val="center"/>
        <w:rPr>
          <w:rFonts w:hint="default" w:ascii="Times New Roman" w:hAnsi="Times New Roman" w:cs="Times New Roman"/>
          <w:b w:val="0"/>
          <w:bCs w:val="0"/>
          <w:color w:val="000000" w:themeColor="text1"/>
          <w:sz w:val="24"/>
          <w:szCs w:val="24"/>
          <w:highlight w:val="none"/>
          <w14:textFill>
            <w14:solidFill>
              <w14:schemeClr w14:val="tx1"/>
            </w14:solidFill>
          </w14:textFill>
        </w:rPr>
        <w:sectPr>
          <w:type w:val="continuous"/>
          <w:pgSz w:w="11906" w:h="16838"/>
          <w:pgMar w:top="1701" w:right="1531" w:bottom="1701" w:left="1531" w:header="851" w:footer="851" w:gutter="0"/>
          <w:pgNumType w:fmt="decimal"/>
          <w:cols w:space="720" w:num="1"/>
          <w:docGrid w:linePitch="312" w:charSpace="0"/>
        </w:sect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
        <w:gridCol w:w="13223"/>
      </w:tblGrid>
      <w:tr w14:paraId="7BB3A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 w:type="dxa"/>
          </w:tcPr>
          <w:p w14:paraId="3A496883">
            <w:pPr>
              <w:numPr>
                <w:ilvl w:val="0"/>
                <w:numId w:val="0"/>
              </w:numPr>
              <w:adjustRightInd w:val="0"/>
              <w:snapToGrid w:val="0"/>
              <w:spacing w:line="240" w:lineRule="auto"/>
              <w:jc w:val="center"/>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p>
        </w:tc>
        <w:tc>
          <w:tcPr>
            <w:tcW w:w="13223" w:type="dxa"/>
          </w:tcPr>
          <w:p w14:paraId="5C1F6D75">
            <w:pPr>
              <w:numPr>
                <w:ilvl w:val="0"/>
                <w:numId w:val="0"/>
              </w:numPr>
              <w:adjustRightInd w:val="0"/>
              <w:snapToGrid w:val="0"/>
              <w:spacing w:line="240" w:lineRule="auto"/>
              <w:jc w:val="center"/>
              <w:rPr>
                <w:color w:val="000000" w:themeColor="text1"/>
                <w:highlight w:val="none"/>
                <w14:textFill>
                  <w14:solidFill>
                    <w14:schemeClr w14:val="tx1"/>
                  </w14:solidFill>
                </w14:textFill>
              </w:rPr>
            </w:pPr>
            <w:r>
              <w:rPr>
                <w:rFonts w:hint="default" w:ascii="Times New Roman" w:hAnsi="Times New Roman" w:eastAsia="宋体" w:cs="Times New Roman"/>
                <w:b/>
                <w:bCs w:val="0"/>
                <w:color w:val="000000" w:themeColor="text1"/>
                <w:sz w:val="21"/>
                <w:szCs w:val="21"/>
                <w:highlight w:val="none"/>
                <w:lang w:val="en-US" w:eastAsia="zh-CN"/>
                <w14:textFill>
                  <w14:solidFill>
                    <w14:schemeClr w14:val="tx1"/>
                  </w14:solidFill>
                </w14:textFill>
              </w:rPr>
              <w:t>表2-</w:t>
            </w:r>
            <w:r>
              <w:rPr>
                <w:rFonts w:hint="eastAsia" w:cs="Times New Roman"/>
                <w:b/>
                <w:bCs w:val="0"/>
                <w:color w:val="000000" w:themeColor="text1"/>
                <w:sz w:val="21"/>
                <w:szCs w:val="21"/>
                <w:highlight w:val="none"/>
                <w:lang w:val="en-US" w:eastAsia="zh-CN"/>
                <w14:textFill>
                  <w14:solidFill>
                    <w14:schemeClr w14:val="tx1"/>
                  </w14:solidFill>
                </w14:textFill>
              </w:rPr>
              <w:t xml:space="preserve">3 </w:t>
            </w:r>
            <w:r>
              <w:rPr>
                <w:rFonts w:hint="eastAsia" w:ascii="Times New Roman" w:hAnsi="Times New Roman" w:eastAsia="宋体" w:cs="Times New Roman"/>
                <w:b/>
                <w:bCs w:val="0"/>
                <w:color w:val="000000" w:themeColor="text1"/>
                <w:sz w:val="21"/>
                <w:szCs w:val="21"/>
                <w:highlight w:val="none"/>
                <w:lang w:val="zh-CN" w:eastAsia="zh-CN"/>
                <w14:textFill>
                  <w14:solidFill>
                    <w14:schemeClr w14:val="tx1"/>
                  </w14:solidFill>
                </w14:textFill>
              </w:rPr>
              <w:t>RDF固体废物衍生燃料</w:t>
            </w:r>
            <w:r>
              <w:rPr>
                <w:rFonts w:hint="eastAsia" w:ascii="Times New Roman" w:hAnsi="Times New Roman" w:eastAsia="宋体" w:cs="Times New Roman"/>
                <w:b/>
                <w:bCs w:val="0"/>
                <w:color w:val="000000" w:themeColor="text1"/>
                <w:sz w:val="21"/>
                <w:szCs w:val="21"/>
                <w:highlight w:val="none"/>
                <w:lang w:val="en-US" w:eastAsia="zh-CN"/>
                <w14:textFill>
                  <w14:solidFill>
                    <w14:schemeClr w14:val="tx1"/>
                  </w14:solidFill>
                </w14:textFill>
              </w:rPr>
              <w:t>生产线原辅料</w:t>
            </w:r>
            <w:r>
              <w:rPr>
                <w:rFonts w:hint="default" w:ascii="Times New Roman" w:hAnsi="Times New Roman" w:eastAsia="宋体" w:cs="Times New Roman"/>
                <w:b/>
                <w:bCs w:val="0"/>
                <w:color w:val="000000" w:themeColor="text1"/>
                <w:sz w:val="21"/>
                <w:szCs w:val="21"/>
                <w:highlight w:val="none"/>
                <w:lang w:val="en-US" w:eastAsia="zh-CN"/>
                <w14:textFill>
                  <w14:solidFill>
                    <w14:schemeClr w14:val="tx1"/>
                  </w14:solidFill>
                </w14:textFill>
              </w:rPr>
              <w:t>一览表</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0" w:type="dxa"/>
              </w:tblCellMar>
            </w:tblPr>
            <w:tblGrid>
              <w:gridCol w:w="493"/>
              <w:gridCol w:w="954"/>
              <w:gridCol w:w="946"/>
              <w:gridCol w:w="1074"/>
              <w:gridCol w:w="156"/>
              <w:gridCol w:w="3130"/>
              <w:gridCol w:w="913"/>
              <w:gridCol w:w="1147"/>
              <w:gridCol w:w="2816"/>
              <w:gridCol w:w="1368"/>
            </w:tblGrid>
            <w:tr w14:paraId="168D3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Align w:val="center"/>
                </w:tcPr>
                <w:p w14:paraId="5871E4D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000000" w:themeColor="text1"/>
                      <w:highlight w:val="none"/>
                      <w:lang w:val="en-US" w:eastAsia="zh-CN"/>
                      <w14:textFill>
                        <w14:solidFill>
                          <w14:schemeClr w14:val="tx1"/>
                        </w14:solidFill>
                      </w14:textFill>
                    </w:rPr>
                  </w:pPr>
                  <w:r>
                    <w:rPr>
                      <w:rFonts w:hint="eastAsia" w:ascii="Times New Roman" w:hAnsi="Times New Roman" w:eastAsia="Arial" w:cs="Times New Roman"/>
                      <w:b/>
                      <w:bCs/>
                      <w:color w:val="000000" w:themeColor="text1"/>
                      <w:highlight w:val="none"/>
                      <w:lang w:val="en-US" w:eastAsia="zh-CN"/>
                      <w14:textFill>
                        <w14:solidFill>
                          <w14:schemeClr w14:val="tx1"/>
                        </w14:solidFill>
                      </w14:textFill>
                    </w:rPr>
                    <w:t>序号</w:t>
                  </w:r>
                </w:p>
              </w:tc>
              <w:tc>
                <w:tcPr>
                  <w:tcW w:w="367" w:type="pct"/>
                  <w:vAlign w:val="center"/>
                </w:tcPr>
                <w:p w14:paraId="7AEE76E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000000" w:themeColor="text1"/>
                      <w:highlight w:val="none"/>
                      <w:lang w:eastAsia="zh-CN"/>
                      <w14:textFill>
                        <w14:solidFill>
                          <w14:schemeClr w14:val="tx1"/>
                        </w14:solidFill>
                      </w14:textFill>
                    </w:rPr>
                  </w:pPr>
                  <w:r>
                    <w:rPr>
                      <w:rFonts w:hint="default" w:ascii="Times New Roman" w:hAnsi="Times New Roman" w:eastAsia="Arial" w:cs="Times New Roman"/>
                      <w:b/>
                      <w:bCs/>
                      <w:color w:val="000000" w:themeColor="text1"/>
                      <w:highlight w:val="none"/>
                      <w:lang w:eastAsia="zh-CN"/>
                      <w14:textFill>
                        <w14:solidFill>
                          <w14:schemeClr w14:val="tx1"/>
                        </w14:solidFill>
                      </w14:textFill>
                    </w:rPr>
                    <w:t>废物种类</w:t>
                  </w:r>
                </w:p>
              </w:tc>
              <w:tc>
                <w:tcPr>
                  <w:tcW w:w="363" w:type="pct"/>
                  <w:vAlign w:val="center"/>
                </w:tcPr>
                <w:p w14:paraId="4A982E6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000000" w:themeColor="text1"/>
                      <w:highlight w:val="none"/>
                      <w:lang w:eastAsia="zh-CN"/>
                      <w14:textFill>
                        <w14:solidFill>
                          <w14:schemeClr w14:val="tx1"/>
                        </w14:solidFill>
                      </w14:textFill>
                    </w:rPr>
                  </w:pPr>
                  <w:r>
                    <w:rPr>
                      <w:rFonts w:hint="default" w:ascii="Times New Roman" w:hAnsi="Times New Roman" w:eastAsia="Arial" w:cs="Times New Roman"/>
                      <w:b/>
                      <w:bCs/>
                      <w:color w:val="000000" w:themeColor="text1"/>
                      <w:highlight w:val="none"/>
                      <w:lang w:eastAsia="zh-CN"/>
                      <w14:textFill>
                        <w14:solidFill>
                          <w14:schemeClr w14:val="tx1"/>
                        </w14:solidFill>
                      </w14:textFill>
                    </w:rPr>
                    <w:t>行业来源</w:t>
                  </w:r>
                </w:p>
              </w:tc>
              <w:tc>
                <w:tcPr>
                  <w:tcW w:w="473" w:type="pct"/>
                  <w:gridSpan w:val="2"/>
                  <w:vAlign w:val="center"/>
                </w:tcPr>
                <w:p w14:paraId="0EEB86F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000000" w:themeColor="text1"/>
                      <w:highlight w:val="none"/>
                      <w:lang w:eastAsia="zh-CN"/>
                      <w14:textFill>
                        <w14:solidFill>
                          <w14:schemeClr w14:val="tx1"/>
                        </w14:solidFill>
                      </w14:textFill>
                    </w:rPr>
                  </w:pPr>
                  <w:r>
                    <w:rPr>
                      <w:rFonts w:hint="default" w:ascii="Times New Roman" w:hAnsi="Times New Roman" w:eastAsia="Arial" w:cs="Times New Roman"/>
                      <w:b/>
                      <w:bCs/>
                      <w:color w:val="000000" w:themeColor="text1"/>
                      <w:highlight w:val="none"/>
                      <w:lang w:eastAsia="zh-CN"/>
                      <w14:textFill>
                        <w14:solidFill>
                          <w14:schemeClr w14:val="tx1"/>
                        </w14:solidFill>
                      </w14:textFill>
                    </w:rPr>
                    <w:t>废物代码</w:t>
                  </w:r>
                </w:p>
              </w:tc>
              <w:tc>
                <w:tcPr>
                  <w:tcW w:w="1204" w:type="pct"/>
                  <w:vAlign w:val="center"/>
                </w:tcPr>
                <w:p w14:paraId="7CF6B27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000000" w:themeColor="text1"/>
                      <w:highlight w:val="none"/>
                      <w:lang w:eastAsia="zh-CN"/>
                      <w14:textFill>
                        <w14:solidFill>
                          <w14:schemeClr w14:val="tx1"/>
                        </w14:solidFill>
                      </w14:textFill>
                    </w:rPr>
                  </w:pPr>
                  <w:r>
                    <w:rPr>
                      <w:rFonts w:hint="default" w:ascii="Times New Roman" w:hAnsi="Times New Roman" w:eastAsia="Arial" w:cs="Times New Roman"/>
                      <w:b/>
                      <w:bCs/>
                      <w:color w:val="000000" w:themeColor="text1"/>
                      <w:highlight w:val="none"/>
                      <w:lang w:eastAsia="zh-CN"/>
                      <w14:textFill>
                        <w14:solidFill>
                          <w14:schemeClr w14:val="tx1"/>
                        </w14:solidFill>
                      </w14:textFill>
                    </w:rPr>
                    <w:t>固体废物名称</w:t>
                  </w:r>
                </w:p>
              </w:tc>
              <w:tc>
                <w:tcPr>
                  <w:tcW w:w="351" w:type="pct"/>
                  <w:vAlign w:val="center"/>
                </w:tcPr>
                <w:p w14:paraId="6CDD789D">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b/>
                      <w:bCs/>
                      <w:color w:val="000000" w:themeColor="text1"/>
                      <w:highlight w:val="none"/>
                      <w:lang w:eastAsia="zh-CN"/>
                      <w14:textFill>
                        <w14:solidFill>
                          <w14:schemeClr w14:val="tx1"/>
                        </w14:solidFill>
                      </w14:textFill>
                    </w:rPr>
                  </w:pPr>
                  <w:r>
                    <w:rPr>
                      <w:rFonts w:hint="default" w:ascii="Times New Roman" w:hAnsi="Times New Roman" w:eastAsia="Arial" w:cs="Times New Roman"/>
                      <w:b/>
                      <w:bCs/>
                      <w:color w:val="000000" w:themeColor="text1"/>
                      <w:highlight w:val="none"/>
                      <w:lang w:eastAsia="zh-CN"/>
                      <w14:textFill>
                        <w14:solidFill>
                          <w14:schemeClr w14:val="tx1"/>
                        </w14:solidFill>
                      </w14:textFill>
                    </w:rPr>
                    <w:t>年收集量</w:t>
                  </w:r>
                </w:p>
                <w:p w14:paraId="2ECDD386">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b/>
                      <w:bCs/>
                      <w:color w:val="000000" w:themeColor="text1"/>
                      <w:highlight w:val="none"/>
                      <w:lang w:eastAsia="zh-CN"/>
                      <w14:textFill>
                        <w14:solidFill>
                          <w14:schemeClr w14:val="tx1"/>
                        </w14:solidFill>
                      </w14:textFill>
                    </w:rPr>
                  </w:pPr>
                  <w:r>
                    <w:rPr>
                      <w:rFonts w:hint="eastAsia" w:eastAsia="Arial" w:cs="Times New Roman"/>
                      <w:b/>
                      <w:bCs/>
                      <w:color w:val="000000" w:themeColor="text1"/>
                      <w:highlight w:val="none"/>
                      <w:lang w:eastAsia="zh-CN"/>
                      <w14:textFill>
                        <w14:solidFill>
                          <w14:schemeClr w14:val="tx1"/>
                        </w14:solidFill>
                      </w14:textFill>
                    </w:rPr>
                    <w:t>（</w:t>
                  </w:r>
                  <w:r>
                    <w:rPr>
                      <w:rFonts w:hint="default" w:ascii="Times New Roman" w:hAnsi="Times New Roman" w:eastAsia="Arial" w:cs="Times New Roman"/>
                      <w:b/>
                      <w:bCs/>
                      <w:color w:val="000000" w:themeColor="text1"/>
                      <w:highlight w:val="none"/>
                      <w:lang w:eastAsia="zh-CN"/>
                      <w14:textFill>
                        <w14:solidFill>
                          <w14:schemeClr w14:val="tx1"/>
                        </w14:solidFill>
                      </w14:textFill>
                    </w:rPr>
                    <w:t>t/a</w:t>
                  </w:r>
                  <w:r>
                    <w:rPr>
                      <w:rFonts w:hint="eastAsia" w:eastAsia="Arial" w:cs="Times New Roman"/>
                      <w:b/>
                      <w:bCs/>
                      <w:color w:val="000000" w:themeColor="text1"/>
                      <w:highlight w:val="none"/>
                      <w:lang w:eastAsia="zh-CN"/>
                      <w14:textFill>
                        <w14:solidFill>
                          <w14:schemeClr w14:val="tx1"/>
                        </w14:solidFill>
                      </w14:textFill>
                    </w:rPr>
                    <w:t>）</w:t>
                  </w:r>
                </w:p>
              </w:tc>
              <w:tc>
                <w:tcPr>
                  <w:tcW w:w="441" w:type="pct"/>
                  <w:vAlign w:val="center"/>
                </w:tcPr>
                <w:p w14:paraId="4D673ECB">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最大暂存量</w:t>
                  </w:r>
                </w:p>
                <w:p w14:paraId="7D5F04A2">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b/>
                      <w:bCs/>
                      <w:color w:val="000000" w:themeColor="text1"/>
                      <w:highlight w:val="none"/>
                      <w:lang w:eastAsia="zh-CN"/>
                      <w14:textFill>
                        <w14:solidFill>
                          <w14:schemeClr w14:val="tx1"/>
                        </w14:solidFill>
                      </w14:textFill>
                    </w:rPr>
                  </w:pPr>
                  <w:r>
                    <w:rPr>
                      <w:rFonts w:hint="eastAsia" w:cs="Times New Roman"/>
                      <w:b/>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t/a</w:t>
                  </w:r>
                  <w:r>
                    <w:rPr>
                      <w:rFonts w:hint="eastAsia" w:cs="Times New Roman"/>
                      <w:b/>
                      <w:color w:val="000000" w:themeColor="text1"/>
                      <w:sz w:val="21"/>
                      <w:szCs w:val="21"/>
                      <w:highlight w:val="none"/>
                      <w:lang w:val="en-US" w:eastAsia="zh-CN"/>
                      <w14:textFill>
                        <w14:solidFill>
                          <w14:schemeClr w14:val="tx1"/>
                        </w14:solidFill>
                      </w14:textFill>
                    </w:rPr>
                    <w:t>）</w:t>
                  </w:r>
                </w:p>
              </w:tc>
              <w:tc>
                <w:tcPr>
                  <w:tcW w:w="1083" w:type="pct"/>
                  <w:vAlign w:val="center"/>
                </w:tcPr>
                <w:p w14:paraId="4804BEE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b/>
                      <w:bCs/>
                      <w:color w:val="000000" w:themeColor="text1"/>
                      <w:highlight w:val="none"/>
                      <w:lang w:val="en-US" w:eastAsia="zh-CN"/>
                      <w14:textFill>
                        <w14:solidFill>
                          <w14:schemeClr w14:val="tx1"/>
                        </w14:solidFill>
                      </w14:textFill>
                    </w:rPr>
                  </w:pPr>
                  <w:r>
                    <w:rPr>
                      <w:rFonts w:hint="eastAsia" w:ascii="Times New Roman" w:hAnsi="Times New Roman" w:cs="Times New Roman"/>
                      <w:b/>
                      <w:bCs/>
                      <w:color w:val="000000" w:themeColor="text1"/>
                      <w:highlight w:val="none"/>
                      <w:lang w:val="en-US" w:eastAsia="zh-CN"/>
                      <w14:textFill>
                        <w14:solidFill>
                          <w14:schemeClr w14:val="tx1"/>
                        </w14:solidFill>
                      </w14:textFill>
                    </w:rPr>
                    <w:t>理化性质</w:t>
                  </w:r>
                </w:p>
              </w:tc>
              <w:tc>
                <w:tcPr>
                  <w:tcW w:w="526" w:type="pct"/>
                  <w:vAlign w:val="center"/>
                </w:tcPr>
                <w:p w14:paraId="4B0DFC5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cs="Times New Roman"/>
                      <w:b/>
                      <w:bCs/>
                      <w:color w:val="000000" w:themeColor="text1"/>
                      <w:highlight w:val="none"/>
                      <w:lang w:val="en-US" w:eastAsia="zh-CN"/>
                      <w14:textFill>
                        <w14:solidFill>
                          <w14:schemeClr w14:val="tx1"/>
                        </w14:solidFill>
                      </w14:textFill>
                    </w:rPr>
                  </w:pPr>
                  <w:r>
                    <w:rPr>
                      <w:rFonts w:hint="eastAsia" w:cs="Times New Roman"/>
                      <w:b/>
                      <w:bCs/>
                      <w:color w:val="000000" w:themeColor="text1"/>
                      <w:highlight w:val="none"/>
                      <w:lang w:val="en-US" w:eastAsia="zh-CN"/>
                      <w14:textFill>
                        <w14:solidFill>
                          <w14:schemeClr w14:val="tx1"/>
                        </w14:solidFill>
                      </w14:textFill>
                    </w:rPr>
                    <w:t>备注</w:t>
                  </w:r>
                </w:p>
              </w:tc>
            </w:tr>
            <w:tr w14:paraId="629BA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5000" w:type="pct"/>
                  <w:gridSpan w:val="10"/>
                  <w:vAlign w:val="center"/>
                </w:tcPr>
                <w:p w14:paraId="18678524">
                  <w:pPr>
                    <w:keepNext w:val="0"/>
                    <w:keepLines w:val="0"/>
                    <w:pageBreakBefore w:val="0"/>
                    <w:widowControl/>
                    <w:kinsoku/>
                    <w:wordWrap/>
                    <w:overflowPunct w:val="0"/>
                    <w:topLinePunct w:val="0"/>
                    <w:autoSpaceDE w:val="0"/>
                    <w:autoSpaceDN w:val="0"/>
                    <w:bidi w:val="0"/>
                    <w:adjustRightInd w:val="0"/>
                    <w:snapToGrid/>
                    <w:spacing w:line="240" w:lineRule="auto"/>
                    <w:ind w:left="0" w:right="0"/>
                    <w:jc w:val="center"/>
                    <w:textAlignment w:val="baseline"/>
                    <w:rPr>
                      <w:rFonts w:hint="default"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
                      <w:bCs w:val="0"/>
                      <w:color w:val="000000" w:themeColor="text1"/>
                      <w:kern w:val="2"/>
                      <w:sz w:val="21"/>
                      <w:szCs w:val="21"/>
                      <w:highlight w:val="none"/>
                      <w:lang w:val="en-US" w:eastAsia="zh-CN" w:bidi="ar-SA"/>
                      <w14:textFill>
                        <w14:solidFill>
                          <w14:schemeClr w14:val="tx1"/>
                        </w14:solidFill>
                      </w14:textFill>
                    </w:rPr>
                    <w:t>工业固体废物</w:t>
                  </w:r>
                </w:p>
              </w:tc>
            </w:tr>
            <w:tr w14:paraId="45CF3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restart"/>
                  <w:vAlign w:val="center"/>
                </w:tcPr>
                <w:p w14:paraId="580DE19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1</w:t>
                  </w:r>
                </w:p>
                <w:p w14:paraId="375A0BF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restart"/>
                  <w:vAlign w:val="center"/>
                </w:tcPr>
                <w:p w14:paraId="47CA856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SW14</w:t>
                  </w:r>
                </w:p>
                <w:p w14:paraId="4A99B72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纺织皮革业废物</w:t>
                  </w:r>
                </w:p>
                <w:p w14:paraId="3EF8322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Align w:val="center"/>
                </w:tcPr>
                <w:p w14:paraId="6FE3D9D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机织服装制造</w:t>
                  </w:r>
                </w:p>
              </w:tc>
              <w:tc>
                <w:tcPr>
                  <w:tcW w:w="473" w:type="pct"/>
                  <w:gridSpan w:val="2"/>
                  <w:vAlign w:val="center"/>
                </w:tcPr>
                <w:p w14:paraId="50B5E4A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181-001-S14</w:t>
                  </w:r>
                </w:p>
              </w:tc>
              <w:tc>
                <w:tcPr>
                  <w:tcW w:w="1204" w:type="pct"/>
                  <w:vAlign w:val="center"/>
                </w:tcPr>
                <w:p w14:paraId="37EFB44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废丝。制丝过程中缫丝时产生的废丝。</w:t>
                  </w:r>
                </w:p>
              </w:tc>
              <w:tc>
                <w:tcPr>
                  <w:tcW w:w="351" w:type="pct"/>
                  <w:vAlign w:val="center"/>
                </w:tcPr>
                <w:p w14:paraId="08633F8F">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2500</w:t>
                  </w:r>
                </w:p>
              </w:tc>
              <w:tc>
                <w:tcPr>
                  <w:tcW w:w="441" w:type="pct"/>
                  <w:vAlign w:val="center"/>
                </w:tcPr>
                <w:p w14:paraId="5AF7F2F6">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167 </w:t>
                  </w:r>
                </w:p>
              </w:tc>
              <w:tc>
                <w:tcPr>
                  <w:tcW w:w="1083" w:type="pct"/>
                  <w:vAlign w:val="center"/>
                </w:tcPr>
                <w:p w14:paraId="230ACE9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主要</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为纤维碎屑，成分含棉、化纤等，易燃，无毒性</w:t>
                  </w:r>
                </w:p>
              </w:tc>
              <w:tc>
                <w:tcPr>
                  <w:tcW w:w="526" w:type="pct"/>
                  <w:vAlign w:val="center"/>
                </w:tcPr>
                <w:p w14:paraId="2F9CCA2B">
                  <w:pPr>
                    <w:keepNext w:val="0"/>
                    <w:keepLines w:val="0"/>
                    <w:pageBreakBefore w:val="0"/>
                    <w:widowControl/>
                    <w:kinsoku/>
                    <w:wordWrap/>
                    <w:overflowPunct w:val="0"/>
                    <w:topLinePunct w:val="0"/>
                    <w:autoSpaceDE w:val="0"/>
                    <w:autoSpaceDN w:val="0"/>
                    <w:bidi w:val="0"/>
                    <w:adjustRightInd w:val="0"/>
                    <w:snapToGrid/>
                    <w:spacing w:line="240" w:lineRule="auto"/>
                    <w:ind w:left="0" w:right="0"/>
                    <w:jc w:val="center"/>
                    <w:textAlignment w:val="baseline"/>
                    <w:rPr>
                      <w:rFonts w:hint="default"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w:t>
                  </w:r>
                </w:p>
              </w:tc>
            </w:tr>
            <w:tr w14:paraId="4814D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181D9DA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70DAEB3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Align w:val="center"/>
                </w:tcPr>
                <w:p w14:paraId="64193D2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皮革鞣制加工</w:t>
                  </w:r>
                </w:p>
              </w:tc>
              <w:tc>
                <w:tcPr>
                  <w:tcW w:w="473" w:type="pct"/>
                  <w:gridSpan w:val="2"/>
                  <w:vAlign w:val="center"/>
                </w:tcPr>
                <w:p w14:paraId="70FD85A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191-001-S14</w:t>
                  </w:r>
                </w:p>
              </w:tc>
              <w:tc>
                <w:tcPr>
                  <w:tcW w:w="1204" w:type="pct"/>
                  <w:vAlign w:val="center"/>
                </w:tcPr>
                <w:p w14:paraId="23A3C6F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革屑和革灰。在皮革整饰工段产生的磨革固体废物。</w:t>
                  </w:r>
                </w:p>
              </w:tc>
              <w:tc>
                <w:tcPr>
                  <w:tcW w:w="351" w:type="pct"/>
                  <w:vAlign w:val="center"/>
                </w:tcPr>
                <w:p w14:paraId="10C81C43">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10000</w:t>
                  </w:r>
                </w:p>
              </w:tc>
              <w:tc>
                <w:tcPr>
                  <w:tcW w:w="441" w:type="pct"/>
                  <w:vAlign w:val="center"/>
                </w:tcPr>
                <w:p w14:paraId="70F0F4E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667 </w:t>
                  </w:r>
                </w:p>
              </w:tc>
              <w:tc>
                <w:tcPr>
                  <w:tcW w:w="1083" w:type="pct"/>
                  <w:vAlign w:val="center"/>
                </w:tcPr>
                <w:p w14:paraId="67D1869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ascii="Times New Roman" w:hAnsi="Times New Roman" w:eastAsia="宋体" w:cs="Times New Roman"/>
                      <w:color w:val="000000" w:themeColor="text1"/>
                      <w:highlight w:val="none"/>
                      <w:lang w:eastAsia="zh-CN"/>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主要</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为片状</w:t>
                  </w:r>
                  <w:r>
                    <w:rPr>
                      <w:rFonts w:hint="eastAsia" w:cs="Times New Roman"/>
                      <w:bCs/>
                      <w:color w:val="000000" w:themeColor="text1"/>
                      <w:kern w:val="2"/>
                      <w:sz w:val="21"/>
                      <w:szCs w:val="21"/>
                      <w:highlight w:val="none"/>
                      <w:lang w:val="en-US" w:eastAsia="zh-CN" w:bidi="ar-SA"/>
                      <w14:textFill>
                        <w14:solidFill>
                          <w14:schemeClr w14:val="tx1"/>
                        </w14:solidFill>
                      </w14:textFill>
                    </w:rPr>
                    <w:t>或</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碎屑，革灰呈粉末状，多含胶原蛋白，易燃，无毒性</w:t>
                  </w:r>
                </w:p>
              </w:tc>
              <w:tc>
                <w:tcPr>
                  <w:tcW w:w="526" w:type="pct"/>
                  <w:vAlign w:val="center"/>
                </w:tcPr>
                <w:p w14:paraId="1E07114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w:t>
                  </w:r>
                </w:p>
              </w:tc>
            </w:tr>
            <w:tr w14:paraId="6D739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04882EA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696DF72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Align w:val="center"/>
                </w:tcPr>
                <w:p w14:paraId="15E14C9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非特定</w:t>
                  </w:r>
                </w:p>
                <w:p w14:paraId="26EF7E0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行业</w:t>
                  </w:r>
                </w:p>
              </w:tc>
              <w:tc>
                <w:tcPr>
                  <w:tcW w:w="473" w:type="pct"/>
                  <w:gridSpan w:val="2"/>
                  <w:vAlign w:val="center"/>
                </w:tcPr>
                <w:p w14:paraId="59DCC64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900-099-S14</w:t>
                  </w:r>
                </w:p>
              </w:tc>
              <w:tc>
                <w:tcPr>
                  <w:tcW w:w="1204" w:type="pct"/>
                  <w:vAlign w:val="center"/>
                </w:tcPr>
                <w:p w14:paraId="492AEDC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其他纺织皮革业废物。纺织皮革品加工过程中产生的其他固体废物</w:t>
                  </w:r>
                  <w:r>
                    <w:rPr>
                      <w:rFonts w:hint="eastAsia" w:cs="Times New Roman"/>
                      <w:bCs/>
                      <w:color w:val="000000" w:themeColor="text1"/>
                      <w:kern w:val="2"/>
                      <w:sz w:val="21"/>
                      <w:szCs w:val="21"/>
                      <w:highlight w:val="none"/>
                      <w:lang w:val="en-US" w:eastAsia="zh-CN" w:bidi="ar-SA"/>
                      <w14:textFill>
                        <w14:solidFill>
                          <w14:schemeClr w14:val="tx1"/>
                        </w14:solidFill>
                      </w14:textFill>
                    </w:rPr>
                    <w:t>。</w:t>
                  </w:r>
                </w:p>
              </w:tc>
              <w:tc>
                <w:tcPr>
                  <w:tcW w:w="351" w:type="pct"/>
                  <w:vAlign w:val="center"/>
                </w:tcPr>
                <w:p w14:paraId="73A0BBD0">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12000</w:t>
                  </w:r>
                </w:p>
              </w:tc>
              <w:tc>
                <w:tcPr>
                  <w:tcW w:w="441" w:type="pct"/>
                  <w:vAlign w:val="center"/>
                </w:tcPr>
                <w:p w14:paraId="610D75AE">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800 </w:t>
                  </w:r>
                </w:p>
              </w:tc>
              <w:tc>
                <w:tcPr>
                  <w:tcW w:w="1083" w:type="pct"/>
                  <w:vAlign w:val="center"/>
                </w:tcPr>
                <w:p w14:paraId="2650AA4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主要为</w:t>
                  </w:r>
                  <w:r>
                    <w:rPr>
                      <w:rFonts w:hint="default" w:ascii="Times New Roman" w:hAnsi="Times New Roman" w:eastAsia="Arial" w:cs="Times New Roman"/>
                      <w:color w:val="000000" w:themeColor="text1"/>
                      <w:highlight w:val="none"/>
                      <w:lang w:eastAsia="zh-CN"/>
                      <w14:textFill>
                        <w14:solidFill>
                          <w14:schemeClr w14:val="tx1"/>
                        </w14:solidFill>
                      </w14:textFill>
                    </w:rPr>
                    <w:t>废弃塑料包装</w:t>
                  </w:r>
                  <w:r>
                    <w:rPr>
                      <w:rFonts w:hint="eastAsia" w:eastAsia="Arial" w:cs="Times New Roman"/>
                      <w:color w:val="000000" w:themeColor="text1"/>
                      <w:highlight w:val="none"/>
                      <w:lang w:val="en-US" w:eastAsia="zh-CN"/>
                      <w14:textFill>
                        <w14:solidFill>
                          <w14:schemeClr w14:val="tx1"/>
                        </w14:solidFill>
                      </w14:textFill>
                    </w:rPr>
                    <w:t>物，</w:t>
                  </w:r>
                  <w:r>
                    <w:rPr>
                      <w:rFonts w:hint="default" w:ascii="Times New Roman" w:hAnsi="Times New Roman" w:eastAsia="Arial" w:cs="Times New Roman"/>
                      <w:color w:val="000000" w:themeColor="text1"/>
                      <w:highlight w:val="none"/>
                      <w:lang w:eastAsia="zh-CN"/>
                      <w14:textFill>
                        <w14:solidFill>
                          <w14:schemeClr w14:val="tx1"/>
                        </w14:solidFill>
                      </w14:textFill>
                    </w:rPr>
                    <w:t>易燃，不溶于水，耐酸碱，难降解</w:t>
                  </w:r>
                </w:p>
              </w:tc>
              <w:tc>
                <w:tcPr>
                  <w:tcW w:w="526" w:type="pct"/>
                  <w:vAlign w:val="center"/>
                </w:tcPr>
                <w:p w14:paraId="0CD41A8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222C3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restart"/>
                  <w:vAlign w:val="center"/>
                </w:tcPr>
                <w:p w14:paraId="26973F1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2</w:t>
                  </w:r>
                </w:p>
              </w:tc>
              <w:tc>
                <w:tcPr>
                  <w:tcW w:w="367" w:type="pct"/>
                  <w:vMerge w:val="restart"/>
                  <w:vAlign w:val="center"/>
                </w:tcPr>
                <w:p w14:paraId="08AA39E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SW15</w:t>
                  </w:r>
                </w:p>
                <w:p w14:paraId="3ECA4E5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造纸印刷业废物</w:t>
                  </w:r>
                </w:p>
                <w:p w14:paraId="2428677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restart"/>
                  <w:vAlign w:val="center"/>
                </w:tcPr>
                <w:p w14:paraId="210A2FA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纸浆制造</w:t>
                  </w:r>
                </w:p>
              </w:tc>
              <w:tc>
                <w:tcPr>
                  <w:tcW w:w="473" w:type="pct"/>
                  <w:gridSpan w:val="2"/>
                  <w:vAlign w:val="center"/>
                </w:tcPr>
                <w:p w14:paraId="2EED44F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221-001-S15</w:t>
                  </w:r>
                </w:p>
              </w:tc>
              <w:tc>
                <w:tcPr>
                  <w:tcW w:w="1204" w:type="pct"/>
                  <w:vAlign w:val="center"/>
                </w:tcPr>
                <w:p w14:paraId="4324685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碎浆废物。在废纸碎浆生产工艺中产生的固体废物，包括破布条、塑料等杂质。</w:t>
                  </w:r>
                </w:p>
              </w:tc>
              <w:tc>
                <w:tcPr>
                  <w:tcW w:w="351" w:type="pct"/>
                  <w:vAlign w:val="center"/>
                </w:tcPr>
                <w:p w14:paraId="288DBF54">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41" w:type="pct"/>
                  <w:vAlign w:val="center"/>
                </w:tcPr>
                <w:p w14:paraId="61E0E556">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6B482A2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纸浆制造碎浆废物多为纤维残渣，含少量木质素，呈絮状或碎屑，易燃，无毒性</w:t>
                  </w:r>
                </w:p>
              </w:tc>
              <w:tc>
                <w:tcPr>
                  <w:tcW w:w="526" w:type="pct"/>
                  <w:vAlign w:val="center"/>
                </w:tcPr>
                <w:p w14:paraId="66D7612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w:t>
                  </w:r>
                </w:p>
              </w:tc>
            </w:tr>
            <w:tr w14:paraId="1687A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400CDA6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0544B46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2050F80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4C00DF0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221-003-S15</w:t>
                  </w:r>
                </w:p>
              </w:tc>
              <w:tc>
                <w:tcPr>
                  <w:tcW w:w="1204" w:type="pct"/>
                  <w:vAlign w:val="center"/>
                </w:tcPr>
                <w:p w14:paraId="275E4F2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筛浆废物。在筛浆生产工艺中产生的固体废物，包括塑料碎片、流失纤维等杂质颗粒。</w:t>
                  </w:r>
                </w:p>
              </w:tc>
              <w:tc>
                <w:tcPr>
                  <w:tcW w:w="351" w:type="pct"/>
                  <w:vAlign w:val="center"/>
                </w:tcPr>
                <w:p w14:paraId="0C65BDA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w:t>
                  </w:r>
                </w:p>
              </w:tc>
              <w:tc>
                <w:tcPr>
                  <w:tcW w:w="441" w:type="pct"/>
                  <w:vAlign w:val="center"/>
                </w:tcPr>
                <w:p w14:paraId="2D90A637">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67 </w:t>
                  </w:r>
                </w:p>
              </w:tc>
              <w:tc>
                <w:tcPr>
                  <w:tcW w:w="1083" w:type="pct"/>
                  <w:vAlign w:val="center"/>
                </w:tcPr>
                <w:p w14:paraId="3DBAF55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多为粗硬杂质，含木屑等，呈颗粒或碎屑状，不易燃，无毒性</w:t>
                  </w:r>
                </w:p>
              </w:tc>
              <w:tc>
                <w:tcPr>
                  <w:tcW w:w="526" w:type="pct"/>
                  <w:vAlign w:val="center"/>
                </w:tcPr>
                <w:p w14:paraId="4A15099C">
                  <w:pPr>
                    <w:keepNext w:val="0"/>
                    <w:keepLines w:val="0"/>
                    <w:pageBreakBefore w:val="0"/>
                    <w:widowControl/>
                    <w:suppressLineNumbers w:val="0"/>
                    <w:kinsoku/>
                    <w:wordWrap w:val="0"/>
                    <w:overflowPunct w:val="0"/>
                    <w:topLinePunct w:val="0"/>
                    <w:autoSpaceDE/>
                    <w:autoSpaceDN/>
                    <w:bidi w:val="0"/>
                    <w:adjustRightInd/>
                    <w:snapToGrid/>
                    <w:jc w:val="center"/>
                    <w:textAlignment w:val="auto"/>
                    <w:rPr>
                      <w:rFonts w:hint="eastAsia"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w:t>
                  </w:r>
                </w:p>
              </w:tc>
            </w:tr>
            <w:tr w14:paraId="4AD26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2181D40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5BDBAC3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1EA5D9C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239A41F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221-004-S15</w:t>
                  </w:r>
                </w:p>
              </w:tc>
              <w:tc>
                <w:tcPr>
                  <w:tcW w:w="1204" w:type="pct"/>
                  <w:vAlign w:val="center"/>
                </w:tcPr>
                <w:p w14:paraId="2EFC18D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备料废渣。制浆厂在原料的备料工段除尘过程中产生的麦渣、叶渣、树皮、木屑等废渣。</w:t>
                  </w:r>
                </w:p>
              </w:tc>
              <w:tc>
                <w:tcPr>
                  <w:tcW w:w="351" w:type="pct"/>
                  <w:vAlign w:val="center"/>
                </w:tcPr>
                <w:p w14:paraId="327F69D5">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w:t>
                  </w:r>
                </w:p>
              </w:tc>
              <w:tc>
                <w:tcPr>
                  <w:tcW w:w="441" w:type="pct"/>
                  <w:vAlign w:val="center"/>
                </w:tcPr>
                <w:p w14:paraId="0732AA47">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67 </w:t>
                  </w:r>
                </w:p>
              </w:tc>
              <w:tc>
                <w:tcPr>
                  <w:tcW w:w="1083" w:type="pct"/>
                  <w:vAlign w:val="center"/>
                </w:tcPr>
                <w:p w14:paraId="2BE3236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多为木屑、树皮等，呈块状或碎屑，含纤维素、木质素，易燃，无毒性</w:t>
                  </w:r>
                </w:p>
              </w:tc>
              <w:tc>
                <w:tcPr>
                  <w:tcW w:w="526" w:type="pct"/>
                  <w:vAlign w:val="center"/>
                </w:tcPr>
                <w:p w14:paraId="2DF4281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27643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458B008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66BDB0B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Align w:val="center"/>
                </w:tcPr>
                <w:p w14:paraId="22CDCA2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造纸</w:t>
                  </w:r>
                </w:p>
              </w:tc>
              <w:tc>
                <w:tcPr>
                  <w:tcW w:w="473" w:type="pct"/>
                  <w:gridSpan w:val="2"/>
                  <w:vAlign w:val="center"/>
                </w:tcPr>
                <w:p w14:paraId="397A88E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222-001-S15</w:t>
                  </w:r>
                </w:p>
              </w:tc>
              <w:tc>
                <w:tcPr>
                  <w:tcW w:w="1204" w:type="pct"/>
                  <w:vAlign w:val="center"/>
                </w:tcPr>
                <w:p w14:paraId="7EA23B8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造纸备料废渣。木（竹）材备料过程中产生的树皮和木（竹）屑等残渣以及非木材备料过程产生的麦糠、苇叶、蔗髓及砂尘等废料。</w:t>
                  </w:r>
                </w:p>
              </w:tc>
              <w:tc>
                <w:tcPr>
                  <w:tcW w:w="351" w:type="pct"/>
                  <w:vAlign w:val="center"/>
                </w:tcPr>
                <w:p w14:paraId="52254375">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1400</w:t>
                  </w:r>
                </w:p>
              </w:tc>
              <w:tc>
                <w:tcPr>
                  <w:tcW w:w="441" w:type="pct"/>
                  <w:vAlign w:val="center"/>
                </w:tcPr>
                <w:p w14:paraId="7F57BA13">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93</w:t>
                  </w:r>
                </w:p>
              </w:tc>
              <w:tc>
                <w:tcPr>
                  <w:tcW w:w="1083" w:type="pct"/>
                  <w:vAlign w:val="center"/>
                </w:tcPr>
                <w:p w14:paraId="208FFE4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多为木屑、树皮等，呈块状或碎屑，含纤维素、木质素，易燃，无毒性</w:t>
                  </w:r>
                </w:p>
              </w:tc>
              <w:tc>
                <w:tcPr>
                  <w:tcW w:w="526" w:type="pct"/>
                  <w:vAlign w:val="center"/>
                </w:tcPr>
                <w:p w14:paraId="3F0A7F6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709E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72FC718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1122ADA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Align w:val="center"/>
                </w:tcPr>
                <w:p w14:paraId="3E8410F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非特定</w:t>
                  </w:r>
                </w:p>
                <w:p w14:paraId="6094E71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行业</w:t>
                  </w:r>
                </w:p>
              </w:tc>
              <w:tc>
                <w:tcPr>
                  <w:tcW w:w="473" w:type="pct"/>
                  <w:gridSpan w:val="2"/>
                  <w:vAlign w:val="center"/>
                </w:tcPr>
                <w:p w14:paraId="1E87688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900-099-S15</w:t>
                  </w:r>
                </w:p>
              </w:tc>
              <w:tc>
                <w:tcPr>
                  <w:tcW w:w="1204" w:type="pct"/>
                  <w:vAlign w:val="center"/>
                </w:tcPr>
                <w:p w14:paraId="42C2588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其他造纸印刷业废物。造纸印刷过程中产生的其他固体废物。</w:t>
                  </w:r>
                </w:p>
              </w:tc>
              <w:tc>
                <w:tcPr>
                  <w:tcW w:w="351" w:type="pct"/>
                  <w:vAlign w:val="center"/>
                </w:tcPr>
                <w:p w14:paraId="54ADA3B6">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41" w:type="pct"/>
                  <w:vAlign w:val="center"/>
                </w:tcPr>
                <w:p w14:paraId="31CA0687">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29FB779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主要为</w:t>
                  </w:r>
                  <w:r>
                    <w:rPr>
                      <w:rFonts w:hint="default" w:ascii="Times New Roman" w:hAnsi="Times New Roman" w:eastAsia="Arial" w:cs="Times New Roman"/>
                      <w:color w:val="000000" w:themeColor="text1"/>
                      <w:highlight w:val="none"/>
                      <w:lang w:eastAsia="zh-CN"/>
                      <w14:textFill>
                        <w14:solidFill>
                          <w14:schemeClr w14:val="tx1"/>
                        </w14:solidFill>
                      </w14:textFill>
                    </w:rPr>
                    <w:t>废弃塑料包装</w:t>
                  </w:r>
                  <w:r>
                    <w:rPr>
                      <w:rFonts w:hint="eastAsia" w:eastAsia="Arial" w:cs="Times New Roman"/>
                      <w:color w:val="000000" w:themeColor="text1"/>
                      <w:highlight w:val="none"/>
                      <w:lang w:val="en-US" w:eastAsia="zh-CN"/>
                      <w14:textFill>
                        <w14:solidFill>
                          <w14:schemeClr w14:val="tx1"/>
                        </w14:solidFill>
                      </w14:textFill>
                    </w:rPr>
                    <w:t>物，</w:t>
                  </w:r>
                  <w:r>
                    <w:rPr>
                      <w:rFonts w:hint="default" w:ascii="Times New Roman" w:hAnsi="Times New Roman" w:eastAsia="Arial" w:cs="Times New Roman"/>
                      <w:color w:val="000000" w:themeColor="text1"/>
                      <w:highlight w:val="none"/>
                      <w:lang w:eastAsia="zh-CN"/>
                      <w14:textFill>
                        <w14:solidFill>
                          <w14:schemeClr w14:val="tx1"/>
                        </w14:solidFill>
                      </w14:textFill>
                    </w:rPr>
                    <w:t>易燃，不溶于水，耐酸碱，难降解</w:t>
                  </w:r>
                </w:p>
              </w:tc>
              <w:tc>
                <w:tcPr>
                  <w:tcW w:w="526" w:type="pct"/>
                  <w:vAlign w:val="center"/>
                </w:tcPr>
                <w:p w14:paraId="1E6D75D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61ABD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restart"/>
                  <w:vAlign w:val="center"/>
                </w:tcPr>
                <w:p w14:paraId="50A85F7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3</w:t>
                  </w:r>
                </w:p>
              </w:tc>
              <w:tc>
                <w:tcPr>
                  <w:tcW w:w="367" w:type="pct"/>
                  <w:vMerge w:val="restart"/>
                  <w:vAlign w:val="center"/>
                </w:tcPr>
                <w:p w14:paraId="1BA427D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p w14:paraId="02B40DD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SW17</w:t>
                  </w:r>
                </w:p>
                <w:p w14:paraId="4A8C7A0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可再生类废物</w:t>
                  </w:r>
                </w:p>
                <w:p w14:paraId="597213D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restart"/>
                  <w:vAlign w:val="center"/>
                </w:tcPr>
                <w:p w14:paraId="438E2CE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非特定</w:t>
                  </w:r>
                </w:p>
                <w:p w14:paraId="2F03F3A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行业</w:t>
                  </w:r>
                </w:p>
              </w:tc>
              <w:tc>
                <w:tcPr>
                  <w:tcW w:w="473" w:type="pct"/>
                  <w:gridSpan w:val="2"/>
                  <w:vAlign w:val="center"/>
                </w:tcPr>
                <w:p w14:paraId="2841AC4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900-003-S17</w:t>
                  </w:r>
                </w:p>
              </w:tc>
              <w:tc>
                <w:tcPr>
                  <w:tcW w:w="1204" w:type="pct"/>
                  <w:vAlign w:val="center"/>
                </w:tcPr>
                <w:p w14:paraId="4D96543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废塑料。工业生产活动中产生的塑料废弃边角料、废弃塑料包装等废物。</w:t>
                  </w:r>
                </w:p>
              </w:tc>
              <w:tc>
                <w:tcPr>
                  <w:tcW w:w="351" w:type="pct"/>
                  <w:vAlign w:val="center"/>
                </w:tcPr>
                <w:p w14:paraId="149A53FB">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41" w:type="pct"/>
                  <w:vAlign w:val="center"/>
                </w:tcPr>
                <w:p w14:paraId="11E516C0">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331C882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塑料边角料多为块状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碎屑，含PE、PP等树脂，易燃，不溶于水，耐酸碱，难降解；废弃塑料包装</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薄膜</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盒状，易燃，不溶于水，耐酸碱，难降解</w:t>
                  </w:r>
                </w:p>
              </w:tc>
              <w:tc>
                <w:tcPr>
                  <w:tcW w:w="526" w:type="pct"/>
                  <w:vAlign w:val="center"/>
                </w:tcPr>
                <w:p w14:paraId="2EE3172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5FDD0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27CAF08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712E8AA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0A71DB5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4CCAB94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900-005-S17</w:t>
                  </w:r>
                </w:p>
              </w:tc>
              <w:tc>
                <w:tcPr>
                  <w:tcW w:w="1204" w:type="pct"/>
                  <w:vAlign w:val="center"/>
                </w:tcPr>
                <w:p w14:paraId="30A067C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废纸。工业生产活动中产生的废纸、废纸质包装、废边角料、残次品等废物。</w:t>
                  </w:r>
                </w:p>
              </w:tc>
              <w:tc>
                <w:tcPr>
                  <w:tcW w:w="351" w:type="pct"/>
                  <w:vAlign w:val="center"/>
                </w:tcPr>
                <w:p w14:paraId="6FE8CA3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w:t>
                  </w:r>
                </w:p>
              </w:tc>
              <w:tc>
                <w:tcPr>
                  <w:tcW w:w="441" w:type="pct"/>
                  <w:vAlign w:val="center"/>
                </w:tcPr>
                <w:p w14:paraId="378324E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67 </w:t>
                  </w:r>
                </w:p>
              </w:tc>
              <w:tc>
                <w:tcPr>
                  <w:tcW w:w="1083" w:type="pct"/>
                  <w:vAlign w:val="center"/>
                </w:tcPr>
                <w:p w14:paraId="1C75E14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废纸类多为碎屑</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片状，含纤维素，易燃，易被酸</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碱水解</w:t>
                  </w:r>
                </w:p>
              </w:tc>
              <w:tc>
                <w:tcPr>
                  <w:tcW w:w="526" w:type="pct"/>
                  <w:vAlign w:val="center"/>
                </w:tcPr>
                <w:p w14:paraId="1DCB175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70F45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7DDCCEB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514D625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0733D56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26213E5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900-006-S17</w:t>
                  </w:r>
                </w:p>
              </w:tc>
              <w:tc>
                <w:tcPr>
                  <w:tcW w:w="1204" w:type="pct"/>
                  <w:vAlign w:val="center"/>
                </w:tcPr>
                <w:p w14:paraId="68E2AED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废橡胶。工业生产活动中产生的包括废轮胎在内的废橡胶制品以及机动车拆解过程中产生的废轮胎和其他废橡胶制品。</w:t>
                  </w:r>
                </w:p>
              </w:tc>
              <w:tc>
                <w:tcPr>
                  <w:tcW w:w="351" w:type="pct"/>
                  <w:vAlign w:val="center"/>
                </w:tcPr>
                <w:p w14:paraId="632B135F">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w:t>
                  </w:r>
                </w:p>
              </w:tc>
              <w:tc>
                <w:tcPr>
                  <w:tcW w:w="441" w:type="pct"/>
                  <w:vAlign w:val="center"/>
                </w:tcPr>
                <w:p w14:paraId="3444714F">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67 </w:t>
                  </w:r>
                </w:p>
              </w:tc>
              <w:tc>
                <w:tcPr>
                  <w:tcW w:w="1083" w:type="pct"/>
                  <w:vAlign w:val="center"/>
                </w:tcPr>
                <w:p w14:paraId="498FE76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多为块状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碎屑，含橡胶烃、炭黑，弹性好，易燃有焦味黑烟，耐酸碱溶剂，高温软化，难降解</w:t>
                  </w:r>
                </w:p>
              </w:tc>
              <w:tc>
                <w:tcPr>
                  <w:tcW w:w="526" w:type="pct"/>
                  <w:vAlign w:val="center"/>
                </w:tcPr>
                <w:p w14:paraId="3E31206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禁止混入沾染油类的废物</w:t>
                  </w:r>
                </w:p>
              </w:tc>
            </w:tr>
            <w:tr w14:paraId="10F6C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653DE82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0BE8ACE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1B97B96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0F0A812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900-007-S17</w:t>
                  </w:r>
                </w:p>
              </w:tc>
              <w:tc>
                <w:tcPr>
                  <w:tcW w:w="1204" w:type="pct"/>
                  <w:vAlign w:val="center"/>
                </w:tcPr>
                <w:p w14:paraId="0DCCF15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废纺织品。工业生产活动中产生的废纺织品边角料、残次品等废物。</w:t>
                  </w:r>
                </w:p>
              </w:tc>
              <w:tc>
                <w:tcPr>
                  <w:tcW w:w="351" w:type="pct"/>
                  <w:vAlign w:val="center"/>
                </w:tcPr>
                <w:p w14:paraId="6A450257">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6000</w:t>
                  </w:r>
                </w:p>
              </w:tc>
              <w:tc>
                <w:tcPr>
                  <w:tcW w:w="441" w:type="pct"/>
                  <w:vAlign w:val="center"/>
                </w:tcPr>
                <w:p w14:paraId="75DF7C3D">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400 </w:t>
                  </w:r>
                </w:p>
              </w:tc>
              <w:tc>
                <w:tcPr>
                  <w:tcW w:w="1083" w:type="pct"/>
                  <w:vAlign w:val="center"/>
                </w:tcPr>
                <w:p w14:paraId="4C10CA4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天然纤维类</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纤维状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/块状，易燃，易降解；合成纤维类含聚酯</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尼龙，难降解，燃烧有熔融滴落，耐酸碱</w:t>
                  </w:r>
                </w:p>
              </w:tc>
              <w:tc>
                <w:tcPr>
                  <w:tcW w:w="526" w:type="pct"/>
                  <w:vAlign w:val="center"/>
                </w:tcPr>
                <w:p w14:paraId="0117915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w:t>
                  </w:r>
                </w:p>
              </w:tc>
            </w:tr>
            <w:tr w14:paraId="5592F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594A3A7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31F38B6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1ADFDE6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7876A28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900-009-S17</w:t>
                  </w:r>
                </w:p>
              </w:tc>
              <w:tc>
                <w:tcPr>
                  <w:tcW w:w="1204" w:type="pct"/>
                  <w:vAlign w:val="center"/>
                </w:tcPr>
                <w:p w14:paraId="7140886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废木材。工业生产活动中产生的废木材类边角料、废包装、残次品等废物。</w:t>
                  </w:r>
                </w:p>
              </w:tc>
              <w:tc>
                <w:tcPr>
                  <w:tcW w:w="351" w:type="pct"/>
                  <w:vAlign w:val="center"/>
                </w:tcPr>
                <w:p w14:paraId="4E99AA3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6000</w:t>
                  </w:r>
                </w:p>
              </w:tc>
              <w:tc>
                <w:tcPr>
                  <w:tcW w:w="441" w:type="pct"/>
                  <w:vAlign w:val="center"/>
                </w:tcPr>
                <w:p w14:paraId="68F3CFD8">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400 </w:t>
                  </w:r>
                </w:p>
              </w:tc>
              <w:tc>
                <w:tcPr>
                  <w:tcW w:w="1083" w:type="pct"/>
                  <w:vAlign w:val="center"/>
                </w:tcPr>
                <w:p w14:paraId="1ED5CEF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废木材边角料</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w:t>
                  </w:r>
                  <w:r>
                    <w:rPr>
                      <w:rFonts w:hint="default" w:ascii="Times New Roman" w:hAnsi="Times New Roman" w:eastAsia="Arial" w:cs="Times New Roman"/>
                      <w:color w:val="000000" w:themeColor="text1"/>
                      <w:highlight w:val="none"/>
                      <w:lang w:eastAsia="zh-CN"/>
                      <w14:textFill>
                        <w14:solidFill>
                          <w14:schemeClr w14:val="tx1"/>
                        </w14:solidFill>
                      </w14:textFill>
                    </w:rPr>
                    <w:t>块状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碎屑，含纤维素、木质素，易燃有木焦味，易被微生物腐朽；废木包装</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残次品耐弱酸碱，遇浓酸易水解</w:t>
                  </w:r>
                </w:p>
              </w:tc>
              <w:tc>
                <w:tcPr>
                  <w:tcW w:w="526" w:type="pct"/>
                  <w:vAlign w:val="center"/>
                </w:tcPr>
                <w:p w14:paraId="075076E2">
                  <w:pPr>
                    <w:keepNext w:val="0"/>
                    <w:keepLines w:val="0"/>
                    <w:pageBreakBefore w:val="0"/>
                    <w:widowControl/>
                    <w:suppressLineNumbers w:val="0"/>
                    <w:kinsoku/>
                    <w:wordWrap w:val="0"/>
                    <w:overflowPunct w:val="0"/>
                    <w:topLinePunct w:val="0"/>
                    <w:autoSpaceDE/>
                    <w:autoSpaceDN/>
                    <w:bidi w:val="0"/>
                    <w:adjustRightInd/>
                    <w:snapToGrid/>
                    <w:jc w:val="both"/>
                    <w:textAlignment w:val="auto"/>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禁止混入粘合剂和密封剂（水基型和热熔型粘合剂和密封剂除外）类危险废物</w:t>
                  </w:r>
                </w:p>
              </w:tc>
            </w:tr>
            <w:tr w14:paraId="6D923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0C18763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3695E7B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70BE9D4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1489A68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900-011-S17</w:t>
                  </w:r>
                </w:p>
              </w:tc>
              <w:tc>
                <w:tcPr>
                  <w:tcW w:w="1204" w:type="pct"/>
                  <w:vAlign w:val="center"/>
                </w:tcPr>
                <w:p w14:paraId="488096C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废纤维及复合材料。</w:t>
                  </w:r>
                  <w:r>
                    <w:rPr>
                      <w:rFonts w:hint="eastAsia" w:cs="Times New Roman"/>
                      <w:bCs/>
                      <w:color w:val="000000" w:themeColor="text1"/>
                      <w:kern w:val="2"/>
                      <w:sz w:val="21"/>
                      <w:szCs w:val="21"/>
                      <w:highlight w:val="none"/>
                      <w:lang w:val="en-US" w:eastAsia="zh-CN" w:bidi="ar-SA"/>
                      <w14:textFill>
                        <w14:solidFill>
                          <w14:schemeClr w14:val="tx1"/>
                        </w14:solidFill>
                      </w14:textFill>
                    </w:rPr>
                    <w:t>废弃的</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建筑、体育用品等及该产品生产过程产生的边角废料。</w:t>
                  </w:r>
                </w:p>
              </w:tc>
              <w:tc>
                <w:tcPr>
                  <w:tcW w:w="351" w:type="pct"/>
                  <w:vAlign w:val="center"/>
                </w:tcPr>
                <w:p w14:paraId="66F4D58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41" w:type="pct"/>
                  <w:vAlign w:val="center"/>
                </w:tcPr>
                <w:p w14:paraId="03DA6D8B">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591FFA7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多为树脂基复合材料，硬脆/块状，易燃有焦味，耐酸碱，难降解</w:t>
                  </w:r>
                </w:p>
              </w:tc>
              <w:tc>
                <w:tcPr>
                  <w:tcW w:w="526" w:type="pct"/>
                  <w:vAlign w:val="center"/>
                </w:tcPr>
                <w:p w14:paraId="1DBAE28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35434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3FC7D11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577E96A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78646D6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45C1BBB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900-016-S17</w:t>
                  </w:r>
                </w:p>
              </w:tc>
              <w:tc>
                <w:tcPr>
                  <w:tcW w:w="1204" w:type="pct"/>
                  <w:vAlign w:val="center"/>
                </w:tcPr>
                <w:p w14:paraId="10DA2E5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报废风机叶片及边角料。风力发电站在技改或者退役过程中产生的废弃风机叶片，以及风力发电叶片生产过程中产生的废弃玻璃纤维边角料和切边废料。</w:t>
                  </w:r>
                </w:p>
              </w:tc>
              <w:tc>
                <w:tcPr>
                  <w:tcW w:w="351" w:type="pct"/>
                  <w:vAlign w:val="center"/>
                </w:tcPr>
                <w:p w14:paraId="57E76185">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41" w:type="pct"/>
                  <w:vAlign w:val="center"/>
                </w:tcPr>
                <w:p w14:paraId="7D9362E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4C9627D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废弃风机叶片</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块状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条状，含玻璃纤维</w:t>
                  </w:r>
                  <w:r>
                    <w:rPr>
                      <w:rFonts w:hint="eastAsia" w:ascii="Times New Roman" w:hAnsi="Times New Roman" w:eastAsia="Arial" w:cs="Times New Roman"/>
                      <w:color w:val="000000" w:themeColor="text1"/>
                      <w:highlight w:val="none"/>
                      <w:lang w:val="en-US" w:eastAsia="zh-CN"/>
                      <w14:textFill>
                        <w14:solidFill>
                          <w14:schemeClr w14:val="tx1"/>
                        </w14:solidFill>
                      </w14:textFill>
                    </w:rPr>
                    <w:t>和</w:t>
                  </w:r>
                  <w:r>
                    <w:rPr>
                      <w:rFonts w:hint="default" w:ascii="Times New Roman" w:hAnsi="Times New Roman" w:eastAsia="Arial" w:cs="Times New Roman"/>
                      <w:color w:val="000000" w:themeColor="text1"/>
                      <w:highlight w:val="none"/>
                      <w:lang w:eastAsia="zh-CN"/>
                      <w14:textFill>
                        <w14:solidFill>
                          <w14:schemeClr w14:val="tx1"/>
                        </w14:solidFill>
                      </w14:textFill>
                    </w:rPr>
                    <w:t>树脂，硬脆，易燃，耐酸碱，难降解；玻纤边角料</w:t>
                  </w:r>
                  <w:r>
                    <w:rPr>
                      <w:rFonts w:hint="eastAsia" w:ascii="Times New Roman" w:hAnsi="Times New Roman" w:eastAsia="Arial" w:cs="Times New Roman"/>
                      <w:color w:val="000000" w:themeColor="text1"/>
                      <w:highlight w:val="none"/>
                      <w:lang w:val="en-US" w:eastAsia="zh-CN"/>
                      <w14:textFill>
                        <w14:solidFill>
                          <w14:schemeClr w14:val="tx1"/>
                        </w14:solidFill>
                      </w14:textFill>
                    </w:rPr>
                    <w:t>为</w:t>
                  </w:r>
                  <w:r>
                    <w:rPr>
                      <w:rFonts w:hint="default" w:ascii="Times New Roman" w:hAnsi="Times New Roman" w:eastAsia="Arial" w:cs="Times New Roman"/>
                      <w:color w:val="000000" w:themeColor="text1"/>
                      <w:highlight w:val="none"/>
                      <w:lang w:eastAsia="zh-CN"/>
                      <w14:textFill>
                        <w14:solidFill>
                          <w14:schemeClr w14:val="tx1"/>
                        </w14:solidFill>
                      </w14:textFill>
                    </w:rPr>
                    <w:t>纤维状，不溶于水，耐腐，燃烧无异味，</w:t>
                  </w:r>
                  <w:r>
                    <w:rPr>
                      <w:rFonts w:hint="eastAsia" w:ascii="Times New Roman" w:hAnsi="Times New Roman" w:eastAsia="Arial" w:cs="Times New Roman"/>
                      <w:color w:val="000000" w:themeColor="text1"/>
                      <w:highlight w:val="none"/>
                      <w:lang w:val="en-US" w:eastAsia="zh-CN"/>
                      <w14:textFill>
                        <w14:solidFill>
                          <w14:schemeClr w14:val="tx1"/>
                        </w14:solidFill>
                      </w14:textFill>
                    </w:rPr>
                    <w:t>不易</w:t>
                  </w:r>
                  <w:r>
                    <w:rPr>
                      <w:rFonts w:hint="default" w:ascii="Times New Roman" w:hAnsi="Times New Roman" w:eastAsia="Arial" w:cs="Times New Roman"/>
                      <w:color w:val="000000" w:themeColor="text1"/>
                      <w:highlight w:val="none"/>
                      <w:lang w:eastAsia="zh-CN"/>
                      <w14:textFill>
                        <w14:solidFill>
                          <w14:schemeClr w14:val="tx1"/>
                        </w14:solidFill>
                      </w14:textFill>
                    </w:rPr>
                    <w:t>降解</w:t>
                  </w:r>
                </w:p>
              </w:tc>
              <w:tc>
                <w:tcPr>
                  <w:tcW w:w="526" w:type="pct"/>
                  <w:vAlign w:val="center"/>
                </w:tcPr>
                <w:p w14:paraId="58C74CF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禁</w:t>
                  </w:r>
                  <w:r>
                    <w:rPr>
                      <w:rFonts w:hint="eastAsia" w:ascii="Times New Roman" w:hAnsi="Times New Roman" w:cs="Times New Roman"/>
                      <w:color w:val="000000" w:themeColor="text1"/>
                      <w:highlight w:val="none"/>
                      <w:lang w:val="en-US" w:eastAsia="zh-CN"/>
                      <w14:textFill>
                        <w14:solidFill>
                          <w14:schemeClr w14:val="tx1"/>
                        </w14:solidFill>
                      </w14:textFill>
                    </w:rPr>
                    <w:t>止混入沾染油类的废物</w:t>
                  </w:r>
                </w:p>
              </w:tc>
            </w:tr>
            <w:tr w14:paraId="3A7B8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441DC53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31D501B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65BE991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04D4C91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900-099-S17</w:t>
                  </w:r>
                </w:p>
              </w:tc>
              <w:tc>
                <w:tcPr>
                  <w:tcW w:w="1204" w:type="pct"/>
                  <w:vAlign w:val="center"/>
                </w:tcPr>
                <w:p w14:paraId="3E543E1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其他可再生类废物。工业生产活动中产生的其他可再生类废物。</w:t>
                  </w:r>
                </w:p>
              </w:tc>
              <w:tc>
                <w:tcPr>
                  <w:tcW w:w="351" w:type="pct"/>
                  <w:vAlign w:val="center"/>
                </w:tcPr>
                <w:p w14:paraId="7A262CC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41" w:type="pct"/>
                  <w:vAlign w:val="center"/>
                </w:tcPr>
                <w:p w14:paraId="76C599A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69F4683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c>
                <w:tcPr>
                  <w:tcW w:w="526" w:type="pct"/>
                  <w:vAlign w:val="center"/>
                </w:tcPr>
                <w:p w14:paraId="2CC370D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包含本项目产生的废旧布袋</w:t>
                  </w:r>
                </w:p>
              </w:tc>
            </w:tr>
            <w:tr w14:paraId="42052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restart"/>
                  <w:vAlign w:val="center"/>
                </w:tcPr>
                <w:p w14:paraId="60E7D2C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4</w:t>
                  </w:r>
                </w:p>
              </w:tc>
              <w:tc>
                <w:tcPr>
                  <w:tcW w:w="367" w:type="pct"/>
                  <w:vMerge w:val="restart"/>
                  <w:vAlign w:val="center"/>
                </w:tcPr>
                <w:p w14:paraId="48D6C01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SW59</w:t>
                  </w:r>
                </w:p>
                <w:p w14:paraId="101C34B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其他工业固体废物</w:t>
                  </w:r>
                </w:p>
                <w:p w14:paraId="6B46CB1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p w14:paraId="36321A9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restart"/>
                  <w:vAlign w:val="center"/>
                </w:tcPr>
                <w:p w14:paraId="6287826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非特定</w:t>
                  </w:r>
                </w:p>
                <w:p w14:paraId="25C3E9E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行业</w:t>
                  </w:r>
                </w:p>
              </w:tc>
              <w:tc>
                <w:tcPr>
                  <w:tcW w:w="473" w:type="pct"/>
                  <w:gridSpan w:val="2"/>
                  <w:vAlign w:val="center"/>
                </w:tcPr>
                <w:p w14:paraId="0E77F51F">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900-005-S59</w:t>
                  </w:r>
                </w:p>
              </w:tc>
              <w:tc>
                <w:tcPr>
                  <w:tcW w:w="1204" w:type="pct"/>
                  <w:vAlign w:val="center"/>
                </w:tcPr>
                <w:p w14:paraId="5BEA8B5E">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废干燥剂。工业生产活动中产生的废硅胶、分子筛等废干燥剂。</w:t>
                  </w:r>
                </w:p>
              </w:tc>
              <w:tc>
                <w:tcPr>
                  <w:tcW w:w="351" w:type="pct"/>
                  <w:vAlign w:val="center"/>
                </w:tcPr>
                <w:p w14:paraId="503A158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w:t>
                  </w:r>
                </w:p>
              </w:tc>
              <w:tc>
                <w:tcPr>
                  <w:tcW w:w="441" w:type="pct"/>
                  <w:vAlign w:val="center"/>
                </w:tcPr>
                <w:p w14:paraId="60808C34">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67 </w:t>
                  </w:r>
                </w:p>
              </w:tc>
              <w:tc>
                <w:tcPr>
                  <w:tcW w:w="1083" w:type="pct"/>
                  <w:vAlign w:val="center"/>
                </w:tcPr>
                <w:p w14:paraId="31CCF624">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废硅胶多孔颗粒，不溶于水，易燃有白烟，难降解；废分子筛</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晶体颗粒，耐酸碱，不溶于水，难降解</w:t>
                  </w:r>
                </w:p>
              </w:tc>
              <w:tc>
                <w:tcPr>
                  <w:tcW w:w="526" w:type="pct"/>
                  <w:vAlign w:val="center"/>
                </w:tcPr>
                <w:p w14:paraId="23DCB1BF">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59C96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63A8CF2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08FB27E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0EEEF6E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4ABFD09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900-006-S59</w:t>
                  </w:r>
                </w:p>
              </w:tc>
              <w:tc>
                <w:tcPr>
                  <w:tcW w:w="1204" w:type="pct"/>
                  <w:vAlign w:val="center"/>
                </w:tcPr>
                <w:p w14:paraId="7BD67A0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废保温棉。管道、炉体等装置检修更换产生的保温材料。</w:t>
                  </w:r>
                </w:p>
              </w:tc>
              <w:tc>
                <w:tcPr>
                  <w:tcW w:w="351" w:type="pct"/>
                  <w:vAlign w:val="center"/>
                </w:tcPr>
                <w:p w14:paraId="7F3CB548">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41" w:type="pct"/>
                  <w:vAlign w:val="center"/>
                </w:tcPr>
                <w:p w14:paraId="7A4C76DF">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14D7724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岩棉</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矿渣棉保温材</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纤维状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块状，不燃，耐温500-800℃，难降解，易扬尘；聚氨酯保温材</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块状，易燃，耐温≤120℃，不溶于水，难降解</w:t>
                  </w:r>
                </w:p>
              </w:tc>
              <w:tc>
                <w:tcPr>
                  <w:tcW w:w="526" w:type="pct"/>
                  <w:vAlign w:val="center"/>
                </w:tcPr>
                <w:p w14:paraId="2C272F6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0EEC6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128D380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519555C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7E6CD18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5995BF0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900-007-S59</w:t>
                  </w:r>
                </w:p>
              </w:tc>
              <w:tc>
                <w:tcPr>
                  <w:tcW w:w="1204" w:type="pct"/>
                  <w:vAlign w:val="center"/>
                </w:tcPr>
                <w:p w14:paraId="5AC4AC3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废保冷材料。气化液化设备和管道等更换的废弃聚氨酯塑料、聚苯乙烯泡沫、泡沫玻璃等保冷材料。</w:t>
                  </w:r>
                </w:p>
              </w:tc>
              <w:tc>
                <w:tcPr>
                  <w:tcW w:w="351" w:type="pct"/>
                  <w:vAlign w:val="center"/>
                </w:tcPr>
                <w:p w14:paraId="214E4198">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41" w:type="pct"/>
                  <w:vAlign w:val="center"/>
                </w:tcPr>
                <w:p w14:paraId="5636A0E2">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449FE7B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废聚氨酯塑料</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块状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泡沫状，易燃，耐低温，不溶于水，难降解，高温易软化；废聚苯乙烯泡沫</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轻质块状，易燃，耐低温，不溶于水，难降解；</w:t>
                  </w:r>
                </w:p>
                <w:p w14:paraId="79060DD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废泡沫玻璃</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多孔块状，不燃，耐高低温，耐酸碱，难降解</w:t>
                  </w:r>
                </w:p>
              </w:tc>
              <w:tc>
                <w:tcPr>
                  <w:tcW w:w="526" w:type="pct"/>
                  <w:vAlign w:val="center"/>
                </w:tcPr>
                <w:p w14:paraId="768ED91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6E275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38389B1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1DBC2BB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3B13E47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708377D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900-008-S59</w:t>
                  </w:r>
                </w:p>
              </w:tc>
              <w:tc>
                <w:tcPr>
                  <w:tcW w:w="1204" w:type="pct"/>
                  <w:vAlign w:val="center"/>
                </w:tcPr>
                <w:p w14:paraId="014C342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废吸附剂。工业生产活动中产生的硅胶、树脂等废吸附剂。</w:t>
                  </w:r>
                </w:p>
              </w:tc>
              <w:tc>
                <w:tcPr>
                  <w:tcW w:w="351" w:type="pct"/>
                  <w:vAlign w:val="center"/>
                </w:tcPr>
                <w:p w14:paraId="73C08C4D">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3000</w:t>
                  </w:r>
                </w:p>
              </w:tc>
              <w:tc>
                <w:tcPr>
                  <w:tcW w:w="441" w:type="pct"/>
                  <w:vAlign w:val="center"/>
                </w:tcPr>
                <w:p w14:paraId="732D6CA4">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200 </w:t>
                  </w:r>
                </w:p>
              </w:tc>
              <w:tc>
                <w:tcPr>
                  <w:tcW w:w="1083" w:type="pct"/>
                  <w:vAlign w:val="center"/>
                </w:tcPr>
                <w:p w14:paraId="348EFF48">
                  <w:pPr>
                    <w:keepNext w:val="0"/>
                    <w:keepLines w:val="0"/>
                    <w:pageBreakBefore w:val="0"/>
                    <w:widowControl/>
                    <w:suppressLineNumbers w:val="0"/>
                    <w:kinsoku/>
                    <w:wordWrap w:val="0"/>
                    <w:overflowPunct w:val="0"/>
                    <w:topLinePunct w:val="0"/>
                    <w:bidi w:val="0"/>
                    <w:snapToGrid/>
                    <w:jc w:val="both"/>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Arial" w:cs="Times New Roman"/>
                      <w:color w:val="000000" w:themeColor="text1"/>
                      <w:highlight w:val="none"/>
                      <w:lang w:val="en-US" w:eastAsia="zh-CN"/>
                      <w14:textFill>
                        <w14:solidFill>
                          <w14:schemeClr w14:val="tx1"/>
                        </w14:solidFill>
                      </w14:textFill>
                    </w:rPr>
                    <w:t>废硅胶</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val="en-US" w:eastAsia="zh-CN"/>
                      <w14:textFill>
                        <w14:solidFill>
                          <w14:schemeClr w14:val="tx1"/>
                        </w14:solidFill>
                      </w14:textFill>
                    </w:rPr>
                    <w:t>多孔颗粒，不溶于水，易燃，难降解；废树脂</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val="en-US" w:eastAsia="zh-CN"/>
                      <w14:textFill>
                        <w14:solidFill>
                          <w14:schemeClr w14:val="tx1"/>
                        </w14:solidFill>
                      </w14:textFill>
                    </w:rPr>
                    <w:t>颗粒状，不溶于水，耐酸碱，难降解</w:t>
                  </w:r>
                </w:p>
              </w:tc>
              <w:tc>
                <w:tcPr>
                  <w:tcW w:w="526" w:type="pct"/>
                  <w:vAlign w:val="center"/>
                </w:tcPr>
                <w:p w14:paraId="50750EBA">
                  <w:pPr>
                    <w:keepNext w:val="0"/>
                    <w:keepLines w:val="0"/>
                    <w:pageBreakBefore w:val="0"/>
                    <w:widowControl/>
                    <w:suppressLineNumbers w:val="0"/>
                    <w:kinsoku/>
                    <w:wordWrap w:val="0"/>
                    <w:overflowPunct w:val="0"/>
                    <w:topLinePunct w:val="0"/>
                    <w:bidi w:val="0"/>
                    <w:snapToGrid/>
                    <w:jc w:val="both"/>
                    <w:rPr>
                      <w:rFonts w:hint="eastAsia"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禁止混入沾染</w:t>
                  </w:r>
                </w:p>
                <w:p w14:paraId="54F27556">
                  <w:pPr>
                    <w:keepNext w:val="0"/>
                    <w:keepLines w:val="0"/>
                    <w:pageBreakBefore w:val="0"/>
                    <w:widowControl/>
                    <w:suppressLineNumbers w:val="0"/>
                    <w:kinsoku/>
                    <w:wordWrap w:val="0"/>
                    <w:overflowPunct w:val="0"/>
                    <w:topLinePunct w:val="0"/>
                    <w:bidi w:val="0"/>
                    <w:snapToGrid/>
                    <w:jc w:val="both"/>
                    <w:rPr>
                      <w:rFonts w:hint="eastAsia"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重金属</w:t>
                  </w:r>
                  <w:r>
                    <w:rPr>
                      <w:rFonts w:hint="eastAsia" w:cs="Times New Roman"/>
                      <w:color w:val="000000" w:themeColor="text1"/>
                      <w:highlight w:val="none"/>
                      <w:lang w:val="en-US" w:eastAsia="zh-CN"/>
                      <w14:textFill>
                        <w14:solidFill>
                          <w14:schemeClr w14:val="tx1"/>
                        </w14:solidFill>
                      </w14:textFill>
                    </w:rPr>
                    <w:t>和有毒有害物质</w:t>
                  </w:r>
                  <w:r>
                    <w:rPr>
                      <w:rFonts w:hint="eastAsia" w:ascii="Times New Roman" w:hAnsi="Times New Roman" w:cs="Times New Roman"/>
                      <w:color w:val="000000" w:themeColor="text1"/>
                      <w:highlight w:val="none"/>
                      <w:lang w:val="en-US" w:eastAsia="zh-CN"/>
                      <w14:textFill>
                        <w14:solidFill>
                          <w14:schemeClr w14:val="tx1"/>
                        </w14:solidFill>
                      </w14:textFill>
                    </w:rPr>
                    <w:t>的吸附介质；禁止混入工业废水处理过程产生的废弃离子交换树脂</w:t>
                  </w:r>
                </w:p>
              </w:tc>
            </w:tr>
            <w:tr w14:paraId="16B24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6DA5C83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58B7752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49CD440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5B0A864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900-009-S59</w:t>
                  </w:r>
                </w:p>
              </w:tc>
              <w:tc>
                <w:tcPr>
                  <w:tcW w:w="1204" w:type="pct"/>
                  <w:vAlign w:val="center"/>
                </w:tcPr>
                <w:p w14:paraId="24C5C5A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废过滤材料。工业生产活动中产生的废过滤袋、过滤器等过滤材料。</w:t>
                  </w:r>
                </w:p>
              </w:tc>
              <w:tc>
                <w:tcPr>
                  <w:tcW w:w="351" w:type="pct"/>
                  <w:vAlign w:val="center"/>
                </w:tcPr>
                <w:p w14:paraId="2005696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41" w:type="pct"/>
                  <w:vAlign w:val="center"/>
                </w:tcPr>
                <w:p w14:paraId="27AF4A94">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692C5AD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废过滤袋</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纤维状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袋状，丙纶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涤纶材质，耐酸碱，难降解，易燃</w:t>
                  </w:r>
                </w:p>
              </w:tc>
              <w:tc>
                <w:tcPr>
                  <w:tcW w:w="526" w:type="pct"/>
                  <w:vAlign w:val="center"/>
                </w:tcPr>
                <w:p w14:paraId="1C0938C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3CF91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0CB6A6C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6E08954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6BC953F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60B2524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900-099-S59</w:t>
                  </w:r>
                </w:p>
              </w:tc>
              <w:tc>
                <w:tcPr>
                  <w:tcW w:w="1204" w:type="pct"/>
                  <w:vAlign w:val="center"/>
                </w:tcPr>
                <w:p w14:paraId="18DD0CA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其他工业生产过程中产生的固体废物</w:t>
                  </w:r>
                  <w:r>
                    <w:rPr>
                      <w:rFonts w:hint="eastAsia" w:cs="Times New Roman"/>
                      <w:bCs/>
                      <w:color w:val="000000" w:themeColor="text1"/>
                      <w:kern w:val="2"/>
                      <w:sz w:val="21"/>
                      <w:szCs w:val="21"/>
                      <w:highlight w:val="none"/>
                      <w:lang w:val="en-US" w:eastAsia="zh-CN" w:bidi="ar-SA"/>
                      <w14:textFill>
                        <w14:solidFill>
                          <w14:schemeClr w14:val="tx1"/>
                        </w14:solidFill>
                      </w14:textFill>
                    </w:rPr>
                    <w:t>（</w:t>
                  </w:r>
                  <w:r>
                    <w:rPr>
                      <w:rFonts w:hint="default" w:ascii="Times New Roman" w:hAnsi="Times New Roman" w:eastAsia="Arial" w:cs="Times New Roman"/>
                      <w:color w:val="000000" w:themeColor="text1"/>
                      <w:highlight w:val="none"/>
                      <w:lang w:eastAsia="zh-CN"/>
                      <w14:textFill>
                        <w14:solidFill>
                          <w14:schemeClr w14:val="tx1"/>
                        </w14:solidFill>
                      </w14:textFill>
                    </w:rPr>
                    <w:t>塑料边角料</w:t>
                  </w:r>
                  <w:r>
                    <w:rPr>
                      <w:rFonts w:hint="eastAsia" w:eastAsia="Arial" w:cs="Times New Roman"/>
                      <w:color w:val="000000" w:themeColor="text1"/>
                      <w:highlight w:val="none"/>
                      <w:lang w:val="en-US" w:eastAsia="zh-CN"/>
                      <w14:textFill>
                        <w14:solidFill>
                          <w14:schemeClr w14:val="tx1"/>
                        </w14:solidFill>
                      </w14:textFill>
                    </w:rPr>
                    <w:t>及</w:t>
                  </w:r>
                  <w:r>
                    <w:rPr>
                      <w:rFonts w:hint="default" w:ascii="Times New Roman" w:hAnsi="Times New Roman" w:eastAsia="Arial" w:cs="Times New Roman"/>
                      <w:color w:val="000000" w:themeColor="text1"/>
                      <w:highlight w:val="none"/>
                      <w:lang w:eastAsia="zh-CN"/>
                      <w14:textFill>
                        <w14:solidFill>
                          <w14:schemeClr w14:val="tx1"/>
                        </w14:solidFill>
                      </w14:textFill>
                    </w:rPr>
                    <w:t>废弃塑料包装</w:t>
                  </w:r>
                  <w:r>
                    <w:rPr>
                      <w:rFonts w:hint="eastAsia" w:eastAsia="Arial" w:cs="Times New Roman"/>
                      <w:color w:val="000000" w:themeColor="text1"/>
                      <w:highlight w:val="none"/>
                      <w:lang w:val="en-US" w:eastAsia="zh-CN"/>
                      <w14:textFill>
                        <w14:solidFill>
                          <w14:schemeClr w14:val="tx1"/>
                        </w14:solidFill>
                      </w14:textFill>
                    </w:rPr>
                    <w:t>袋</w:t>
                  </w:r>
                  <w:r>
                    <w:rPr>
                      <w:rFonts w:hint="eastAsia" w:cs="Times New Roman"/>
                      <w:bCs/>
                      <w:color w:val="000000" w:themeColor="text1"/>
                      <w:kern w:val="2"/>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p>
              </w:tc>
              <w:tc>
                <w:tcPr>
                  <w:tcW w:w="351" w:type="pct"/>
                  <w:vAlign w:val="center"/>
                </w:tcPr>
                <w:p w14:paraId="501B7C66">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14</w:t>
                  </w:r>
                  <w:r>
                    <w:rPr>
                      <w:rFonts w:hint="eastAsia" w:cs="Times New Roman"/>
                      <w:color w:val="000000" w:themeColor="text1"/>
                      <w:highlight w:val="none"/>
                      <w:lang w:val="en-US" w:eastAsia="zh-CN"/>
                      <w14:textFill>
                        <w14:solidFill>
                          <w14:schemeClr w14:val="tx1"/>
                        </w14:solidFill>
                      </w14:textFill>
                    </w:rPr>
                    <w:t>1</w:t>
                  </w:r>
                  <w:r>
                    <w:rPr>
                      <w:rFonts w:hint="eastAsia" w:ascii="Times New Roman" w:hAnsi="Times New Roman" w:cs="Times New Roman"/>
                      <w:color w:val="000000" w:themeColor="text1"/>
                      <w:highlight w:val="none"/>
                      <w:lang w:val="en-US" w:eastAsia="zh-CN"/>
                      <w14:textFill>
                        <w14:solidFill>
                          <w14:schemeClr w14:val="tx1"/>
                        </w14:solidFill>
                      </w14:textFill>
                    </w:rPr>
                    <w:t>00</w:t>
                  </w:r>
                </w:p>
              </w:tc>
              <w:tc>
                <w:tcPr>
                  <w:tcW w:w="441" w:type="pct"/>
                  <w:vAlign w:val="center"/>
                </w:tcPr>
                <w:p w14:paraId="3F80E9E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940 </w:t>
                  </w:r>
                </w:p>
              </w:tc>
              <w:tc>
                <w:tcPr>
                  <w:tcW w:w="1083" w:type="pct"/>
                  <w:vAlign w:val="center"/>
                </w:tcPr>
                <w:p w14:paraId="27524D1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塑料边角料多为块状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碎屑，含PE、PP等树脂，易燃，不溶于水，耐酸碱，难降解；废弃塑料包装</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薄膜</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盒状，易燃，不溶于水，耐酸碱，难降解</w:t>
                  </w:r>
                </w:p>
              </w:tc>
              <w:tc>
                <w:tcPr>
                  <w:tcW w:w="526" w:type="pct"/>
                  <w:vAlign w:val="center"/>
                </w:tcPr>
                <w:p w14:paraId="272BA28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0E870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5000" w:type="pct"/>
                  <w:gridSpan w:val="10"/>
                  <w:vAlign w:val="center"/>
                </w:tcPr>
                <w:p w14:paraId="2CA1792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highlight w:val="none"/>
                      <w:lang w:val="en-US" w:eastAsia="zh-CN"/>
                      <w14:textFill>
                        <w14:solidFill>
                          <w14:schemeClr w14:val="tx1"/>
                        </w14:solidFill>
                      </w14:textFill>
                    </w:rPr>
                    <w:t>生活垃圾</w:t>
                  </w:r>
                </w:p>
              </w:tc>
            </w:tr>
            <w:tr w14:paraId="2B1F8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restart"/>
                  <w:vAlign w:val="center"/>
                </w:tcPr>
                <w:p w14:paraId="230718C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5</w:t>
                  </w:r>
                </w:p>
              </w:tc>
              <w:tc>
                <w:tcPr>
                  <w:tcW w:w="367" w:type="pct"/>
                  <w:vMerge w:val="restart"/>
                  <w:vAlign w:val="center"/>
                </w:tcPr>
                <w:p w14:paraId="02A7515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SW62</w:t>
                  </w:r>
                </w:p>
                <w:p w14:paraId="1432444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可回收物</w:t>
                  </w:r>
                </w:p>
                <w:p w14:paraId="23836B2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restart"/>
                  <w:vAlign w:val="center"/>
                </w:tcPr>
                <w:p w14:paraId="5E24DD5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非特定</w:t>
                  </w:r>
                </w:p>
                <w:p w14:paraId="16CAE1A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行业</w:t>
                  </w:r>
                </w:p>
              </w:tc>
              <w:tc>
                <w:tcPr>
                  <w:tcW w:w="473" w:type="pct"/>
                  <w:gridSpan w:val="2"/>
                  <w:vAlign w:val="center"/>
                </w:tcPr>
                <w:p w14:paraId="18BD668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900-001-S62</w:t>
                  </w:r>
                </w:p>
              </w:tc>
              <w:tc>
                <w:tcPr>
                  <w:tcW w:w="1204" w:type="pct"/>
                  <w:vAlign w:val="center"/>
                </w:tcPr>
                <w:p w14:paraId="09F1EAE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废纸。家庭日常生活或者为日常生活提供服务的活动中产生的适宜回收利用的各类废书籍、报纸、纸板箱、纸塑铝复合包装等纸制品。</w:t>
                  </w:r>
                </w:p>
              </w:tc>
              <w:tc>
                <w:tcPr>
                  <w:tcW w:w="351" w:type="pct"/>
                  <w:vAlign w:val="center"/>
                </w:tcPr>
                <w:p w14:paraId="5C51134E">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41" w:type="pct"/>
                  <w:vAlign w:val="center"/>
                </w:tcPr>
                <w:p w14:paraId="0F66F96D">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0D35851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废书籍</w:t>
                  </w:r>
                  <w:r>
                    <w:rPr>
                      <w:rFonts w:hint="eastAsia" w:ascii="Times New Roman" w:hAnsi="Times New Roman" w:eastAsia="Arial" w:cs="Times New Roman"/>
                      <w:color w:val="000000" w:themeColor="text1"/>
                      <w:highlight w:val="none"/>
                      <w:lang w:eastAsia="zh-CN"/>
                      <w14:textFill>
                        <w14:solidFill>
                          <w14:schemeClr w14:val="tx1"/>
                        </w14:solidFill>
                      </w14:textFill>
                    </w:rPr>
                    <w:t>、</w:t>
                  </w:r>
                  <w:r>
                    <w:rPr>
                      <w:rFonts w:hint="eastAsia" w:ascii="Times New Roman" w:hAnsi="Times New Roman" w:eastAsia="Arial" w:cs="Times New Roman"/>
                      <w:color w:val="000000" w:themeColor="text1"/>
                      <w:highlight w:val="none"/>
                      <w:lang w:val="en-US" w:eastAsia="zh-CN"/>
                      <w14:textFill>
                        <w14:solidFill>
                          <w14:schemeClr w14:val="tx1"/>
                        </w14:solidFill>
                      </w14:textFill>
                    </w:rPr>
                    <w:t>废</w:t>
                  </w:r>
                  <w:r>
                    <w:rPr>
                      <w:rFonts w:hint="default" w:ascii="Times New Roman" w:hAnsi="Times New Roman" w:eastAsia="Arial" w:cs="Times New Roman"/>
                      <w:color w:val="000000" w:themeColor="text1"/>
                      <w:highlight w:val="none"/>
                      <w:lang w:eastAsia="zh-CN"/>
                      <w14:textFill>
                        <w14:solidFill>
                          <w14:schemeClr w14:val="tx1"/>
                        </w14:solidFill>
                      </w14:textFill>
                    </w:rPr>
                    <w:t>纸板箱报纸含纤维素，易燃，易降解，遇酸易水解</w:t>
                  </w:r>
                  <w:r>
                    <w:rPr>
                      <w:rFonts w:hint="eastAsia" w:ascii="Times New Roman" w:hAnsi="Times New Roman" w:eastAsia="Arial" w:cs="Times New Roman"/>
                      <w:color w:val="000000" w:themeColor="text1"/>
                      <w:highlight w:val="none"/>
                      <w:lang w:eastAsia="zh-CN"/>
                      <w14:textFill>
                        <w14:solidFill>
                          <w14:schemeClr w14:val="tx1"/>
                        </w14:solidFill>
                      </w14:textFill>
                    </w:rPr>
                    <w:t>；</w:t>
                  </w:r>
                  <w:r>
                    <w:rPr>
                      <w:rFonts w:hint="default" w:ascii="Times New Roman" w:hAnsi="Times New Roman" w:eastAsia="Arial" w:cs="Times New Roman"/>
                      <w:color w:val="000000" w:themeColor="text1"/>
                      <w:highlight w:val="none"/>
                      <w:lang w:eastAsia="zh-CN"/>
                      <w14:textFill>
                        <w14:solidFill>
                          <w14:schemeClr w14:val="tx1"/>
                        </w14:solidFill>
                      </w14:textFill>
                    </w:rPr>
                    <w:t>纸塑铝复合包装</w:t>
                  </w:r>
                  <w:r>
                    <w:rPr>
                      <w:rFonts w:hint="eastAsia" w:ascii="Times New Roman" w:hAnsi="Times New Roman" w:eastAsia="Arial" w:cs="Times New Roman"/>
                      <w:color w:val="000000" w:themeColor="text1"/>
                      <w:highlight w:val="none"/>
                      <w:lang w:val="en-US" w:eastAsia="zh-CN"/>
                      <w14:textFill>
                        <w14:solidFill>
                          <w14:schemeClr w14:val="tx1"/>
                        </w14:solidFill>
                      </w14:textFill>
                    </w:rPr>
                    <w:t>为</w:t>
                  </w:r>
                  <w:r>
                    <w:rPr>
                      <w:rFonts w:hint="default" w:ascii="Times New Roman" w:hAnsi="Times New Roman" w:eastAsia="Arial" w:cs="Times New Roman"/>
                      <w:color w:val="000000" w:themeColor="text1"/>
                      <w:highlight w:val="none"/>
                      <w:lang w:eastAsia="zh-CN"/>
                      <w14:textFill>
                        <w14:solidFill>
                          <w14:schemeClr w14:val="tx1"/>
                        </w14:solidFill>
                      </w14:textFill>
                    </w:rPr>
                    <w:t>多层状，纸层易降解，塑层难降易燃，铝层耐腐可回收</w:t>
                  </w:r>
                </w:p>
              </w:tc>
              <w:tc>
                <w:tcPr>
                  <w:tcW w:w="526" w:type="pct"/>
                  <w:vAlign w:val="center"/>
                </w:tcPr>
                <w:p w14:paraId="2546380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19E21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3A81C3B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Arial" w:cs="Times New Roman"/>
                      <w:color w:val="000000" w:themeColor="text1"/>
                      <w:highlight w:val="none"/>
                      <w:lang w:val="en-US" w:eastAsia="zh-CN"/>
                      <w14:textFill>
                        <w14:solidFill>
                          <w14:schemeClr w14:val="tx1"/>
                        </w14:solidFill>
                      </w14:textFill>
                    </w:rPr>
                  </w:pPr>
                </w:p>
              </w:tc>
              <w:tc>
                <w:tcPr>
                  <w:tcW w:w="367" w:type="pct"/>
                  <w:vMerge w:val="continue"/>
                  <w:vAlign w:val="center"/>
                </w:tcPr>
                <w:p w14:paraId="146F2F8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3A3E09A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20A7C8B2">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900-002-S62</w:t>
                  </w:r>
                </w:p>
              </w:tc>
              <w:tc>
                <w:tcPr>
                  <w:tcW w:w="1204" w:type="pct"/>
                  <w:vAlign w:val="center"/>
                </w:tcPr>
                <w:p w14:paraId="68D99CF0">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废塑料。家庭日常生活或者为日常生活提供服务的活动中产生的适宜回收利用的各类塑料瓶、塑料桶、塑料餐盒等塑料制品。</w:t>
                  </w:r>
                </w:p>
              </w:tc>
              <w:tc>
                <w:tcPr>
                  <w:tcW w:w="351" w:type="pct"/>
                  <w:vAlign w:val="center"/>
                </w:tcPr>
                <w:p w14:paraId="5B195772">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41" w:type="pct"/>
                  <w:vAlign w:val="center"/>
                </w:tcPr>
                <w:p w14:paraId="68C6CC64">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23CF0E38">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塑料瓶（PET）</w:t>
                  </w:r>
                  <w:r>
                    <w:rPr>
                      <w:rFonts w:hint="eastAsia" w:ascii="Times New Roman" w:hAnsi="Times New Roman" w:eastAsia="Arial" w:cs="Times New Roman"/>
                      <w:color w:val="000000" w:themeColor="text1"/>
                      <w:highlight w:val="none"/>
                      <w:lang w:val="en-US" w:eastAsia="zh-CN"/>
                      <w14:textFill>
                        <w14:solidFill>
                          <w14:schemeClr w14:val="tx1"/>
                        </w14:solidFill>
                      </w14:textFill>
                    </w:rPr>
                    <w:t>为</w:t>
                  </w:r>
                  <w:r>
                    <w:rPr>
                      <w:rFonts w:hint="default" w:ascii="Times New Roman" w:hAnsi="Times New Roman" w:eastAsia="Arial" w:cs="Times New Roman"/>
                      <w:color w:val="000000" w:themeColor="text1"/>
                      <w:highlight w:val="none"/>
                      <w:lang w:eastAsia="zh-CN"/>
                      <w14:textFill>
                        <w14:solidFill>
                          <w14:schemeClr w14:val="tx1"/>
                        </w14:solidFill>
                      </w14:textFill>
                    </w:rPr>
                    <w:t>透明</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有色块状，耐酸碱，易燃，难降解，可回收重塑；塑料桶（HDPE）</w:t>
                  </w:r>
                  <w:r>
                    <w:rPr>
                      <w:rFonts w:hint="eastAsia" w:ascii="Times New Roman" w:hAnsi="Times New Roman" w:eastAsia="Arial" w:cs="Times New Roman"/>
                      <w:color w:val="000000" w:themeColor="text1"/>
                      <w:highlight w:val="none"/>
                      <w:lang w:val="en-US" w:eastAsia="zh-CN"/>
                      <w14:textFill>
                        <w14:solidFill>
                          <w14:schemeClr w14:val="tx1"/>
                        </w14:solidFill>
                      </w14:textFill>
                    </w:rPr>
                    <w:t>为</w:t>
                  </w:r>
                  <w:r>
                    <w:rPr>
                      <w:rFonts w:hint="default" w:ascii="Times New Roman" w:hAnsi="Times New Roman" w:eastAsia="Arial" w:cs="Times New Roman"/>
                      <w:color w:val="000000" w:themeColor="text1"/>
                      <w:highlight w:val="none"/>
                      <w:lang w:eastAsia="zh-CN"/>
                      <w14:textFill>
                        <w14:solidFill>
                          <w14:schemeClr w14:val="tx1"/>
                        </w14:solidFill>
                      </w14:textFill>
                    </w:rPr>
                    <w:t>乳白色块状，耐腐耐摔，易燃，难降解；塑料餐盒（PP）</w:t>
                  </w:r>
                  <w:r>
                    <w:rPr>
                      <w:rFonts w:hint="eastAsia" w:ascii="Times New Roman" w:hAnsi="Times New Roman" w:eastAsia="Arial" w:cs="Times New Roman"/>
                      <w:color w:val="000000" w:themeColor="text1"/>
                      <w:highlight w:val="none"/>
                      <w:lang w:val="en-US" w:eastAsia="zh-CN"/>
                      <w14:textFill>
                        <w14:solidFill>
                          <w14:schemeClr w14:val="tx1"/>
                        </w14:solidFill>
                      </w14:textFill>
                    </w:rPr>
                    <w:t>为</w:t>
                  </w:r>
                  <w:r>
                    <w:rPr>
                      <w:rFonts w:hint="default" w:ascii="Times New Roman" w:hAnsi="Times New Roman" w:eastAsia="Arial" w:cs="Times New Roman"/>
                      <w:color w:val="000000" w:themeColor="text1"/>
                      <w:highlight w:val="none"/>
                      <w:lang w:eastAsia="zh-CN"/>
                      <w14:textFill>
                        <w14:solidFill>
                          <w14:schemeClr w14:val="tx1"/>
                        </w14:solidFill>
                      </w14:textFill>
                    </w:rPr>
                    <w:t>浅色块状，易燃，难降解</w:t>
                  </w:r>
                </w:p>
              </w:tc>
              <w:tc>
                <w:tcPr>
                  <w:tcW w:w="526" w:type="pct"/>
                  <w:vAlign w:val="center"/>
                </w:tcPr>
                <w:p w14:paraId="528DF785">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eastAsia"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7416A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3E5711C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6EEC73A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5757269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1C92C77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900-005-S62</w:t>
                  </w:r>
                </w:p>
              </w:tc>
              <w:tc>
                <w:tcPr>
                  <w:tcW w:w="1204" w:type="pct"/>
                  <w:vAlign w:val="center"/>
                </w:tcPr>
                <w:p w14:paraId="174C58A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废纺织物。家庭日常生活或者为日常生活提供服务的活动中产生的适宜回收利用的各类废旧衣物、穿戴用品、床上用品、布艺用品等纺织物。</w:t>
                  </w:r>
                </w:p>
              </w:tc>
              <w:tc>
                <w:tcPr>
                  <w:tcW w:w="351" w:type="pct"/>
                  <w:vAlign w:val="center"/>
                </w:tcPr>
                <w:p w14:paraId="421A52E9">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2000</w:t>
                  </w:r>
                </w:p>
              </w:tc>
              <w:tc>
                <w:tcPr>
                  <w:tcW w:w="441" w:type="pct"/>
                  <w:vAlign w:val="center"/>
                </w:tcPr>
                <w:p w14:paraId="594A2719">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1A8FD83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棉纺织物</w:t>
                  </w:r>
                  <w:r>
                    <w:rPr>
                      <w:rFonts w:hint="eastAsia" w:ascii="Times New Roman" w:hAnsi="Times New Roman" w:eastAsia="Arial" w:cs="Times New Roman"/>
                      <w:color w:val="000000" w:themeColor="text1"/>
                      <w:highlight w:val="none"/>
                      <w:lang w:val="en-US" w:eastAsia="zh-CN"/>
                      <w14:textFill>
                        <w14:solidFill>
                          <w14:schemeClr w14:val="tx1"/>
                        </w14:solidFill>
                      </w14:textFill>
                    </w:rPr>
                    <w:t>为</w:t>
                  </w:r>
                  <w:r>
                    <w:rPr>
                      <w:rFonts w:hint="default" w:ascii="Times New Roman" w:hAnsi="Times New Roman" w:eastAsia="Arial" w:cs="Times New Roman"/>
                      <w:color w:val="000000" w:themeColor="text1"/>
                      <w:highlight w:val="none"/>
                      <w:lang w:eastAsia="zh-CN"/>
                      <w14:textFill>
                        <w14:solidFill>
                          <w14:schemeClr w14:val="tx1"/>
                        </w14:solidFill>
                      </w14:textFill>
                    </w:rPr>
                    <w:t>纤维状，含纤维素，易燃</w:t>
                  </w:r>
                  <w:r>
                    <w:rPr>
                      <w:rFonts w:hint="eastAsia" w:ascii="Times New Roman" w:hAnsi="Times New Roman" w:eastAsia="Arial" w:cs="Times New Roman"/>
                      <w:color w:val="000000" w:themeColor="text1"/>
                      <w:highlight w:val="none"/>
                      <w:lang w:eastAsia="zh-CN"/>
                      <w14:textFill>
                        <w14:solidFill>
                          <w14:schemeClr w14:val="tx1"/>
                        </w14:solidFill>
                      </w14:textFill>
                    </w:rPr>
                    <w:t>，</w:t>
                  </w:r>
                  <w:r>
                    <w:rPr>
                      <w:rFonts w:hint="default" w:ascii="Times New Roman" w:hAnsi="Times New Roman" w:eastAsia="Arial" w:cs="Times New Roman"/>
                      <w:color w:val="000000" w:themeColor="text1"/>
                      <w:highlight w:val="none"/>
                      <w:lang w:eastAsia="zh-CN"/>
                      <w14:textFill>
                        <w14:solidFill>
                          <w14:schemeClr w14:val="tx1"/>
                        </w14:solidFill>
                      </w14:textFill>
                    </w:rPr>
                    <w:t>可降解，遇酸易脆化；化纤纺织物</w:t>
                  </w:r>
                  <w:r>
                    <w:rPr>
                      <w:rFonts w:hint="eastAsia" w:ascii="Times New Roman" w:hAnsi="Times New Roman" w:eastAsia="Arial" w:cs="Times New Roman"/>
                      <w:color w:val="000000" w:themeColor="text1"/>
                      <w:highlight w:val="none"/>
                      <w:lang w:val="en-US" w:eastAsia="zh-CN"/>
                      <w14:textFill>
                        <w14:solidFill>
                          <w14:schemeClr w14:val="tx1"/>
                        </w14:solidFill>
                      </w14:textFill>
                    </w:rPr>
                    <w:t>为</w:t>
                  </w:r>
                  <w:r>
                    <w:rPr>
                      <w:rFonts w:hint="default" w:ascii="Times New Roman" w:hAnsi="Times New Roman" w:eastAsia="Arial" w:cs="Times New Roman"/>
                      <w:color w:val="000000" w:themeColor="text1"/>
                      <w:highlight w:val="none"/>
                      <w:lang w:eastAsia="zh-CN"/>
                      <w14:textFill>
                        <w14:solidFill>
                          <w14:schemeClr w14:val="tx1"/>
                        </w14:solidFill>
                      </w14:textFill>
                    </w:rPr>
                    <w:t>纤维状，易燃，难降解</w:t>
                  </w:r>
                </w:p>
              </w:tc>
              <w:tc>
                <w:tcPr>
                  <w:tcW w:w="526" w:type="pct"/>
                  <w:vAlign w:val="center"/>
                </w:tcPr>
                <w:p w14:paraId="4434883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3BD3B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Align w:val="center"/>
                </w:tcPr>
                <w:p w14:paraId="7E75503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6</w:t>
                  </w:r>
                </w:p>
              </w:tc>
              <w:tc>
                <w:tcPr>
                  <w:tcW w:w="367" w:type="pct"/>
                  <w:vAlign w:val="center"/>
                </w:tcPr>
                <w:p w14:paraId="156B73E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SW63</w:t>
                  </w:r>
                </w:p>
                <w:p w14:paraId="1375CD9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大件垃圾</w:t>
                  </w:r>
                </w:p>
              </w:tc>
              <w:tc>
                <w:tcPr>
                  <w:tcW w:w="363" w:type="pct"/>
                  <w:vMerge w:val="continue"/>
                  <w:vAlign w:val="center"/>
                </w:tcPr>
                <w:p w14:paraId="1F2CF32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546DE39E">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900-001-S63</w:t>
                  </w:r>
                </w:p>
              </w:tc>
              <w:tc>
                <w:tcPr>
                  <w:tcW w:w="1204" w:type="pct"/>
                  <w:vAlign w:val="center"/>
                </w:tcPr>
                <w:p w14:paraId="4096595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报废家具。家庭日常生活或者为日常生活提供服务的活动中产生的报废家具等。</w:t>
                  </w:r>
                </w:p>
              </w:tc>
              <w:tc>
                <w:tcPr>
                  <w:tcW w:w="351" w:type="pct"/>
                  <w:vAlign w:val="center"/>
                </w:tcPr>
                <w:p w14:paraId="60A4295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8000</w:t>
                  </w:r>
                </w:p>
              </w:tc>
              <w:tc>
                <w:tcPr>
                  <w:tcW w:w="441" w:type="pct"/>
                  <w:vAlign w:val="center"/>
                </w:tcPr>
                <w:p w14:paraId="05171536">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533 </w:t>
                  </w:r>
                </w:p>
              </w:tc>
              <w:tc>
                <w:tcPr>
                  <w:tcW w:w="1083" w:type="pct"/>
                  <w:vAlign w:val="center"/>
                </w:tcPr>
                <w:p w14:paraId="4F7DD43B">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木质家具</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块状，含纤维素，易燃，可降解</w:t>
                  </w:r>
                </w:p>
              </w:tc>
              <w:tc>
                <w:tcPr>
                  <w:tcW w:w="526" w:type="pct"/>
                  <w:vAlign w:val="center"/>
                </w:tcPr>
                <w:p w14:paraId="1B9CA279">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eastAsia"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2AC6D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restart"/>
                  <w:vAlign w:val="center"/>
                </w:tcPr>
                <w:p w14:paraId="749EFDB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7</w:t>
                  </w:r>
                </w:p>
              </w:tc>
              <w:tc>
                <w:tcPr>
                  <w:tcW w:w="367" w:type="pct"/>
                  <w:vMerge w:val="restart"/>
                  <w:vAlign w:val="center"/>
                </w:tcPr>
                <w:p w14:paraId="5E55440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SW64</w:t>
                  </w:r>
                </w:p>
                <w:p w14:paraId="5826BBD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其他垃圾</w:t>
                  </w:r>
                </w:p>
              </w:tc>
              <w:tc>
                <w:tcPr>
                  <w:tcW w:w="363" w:type="pct"/>
                  <w:vMerge w:val="continue"/>
                  <w:vAlign w:val="center"/>
                </w:tcPr>
                <w:p w14:paraId="516C88C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584B1BC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900-001-S64</w:t>
                  </w:r>
                </w:p>
              </w:tc>
              <w:tc>
                <w:tcPr>
                  <w:tcW w:w="1204" w:type="pct"/>
                  <w:vAlign w:val="center"/>
                </w:tcPr>
                <w:p w14:paraId="101242B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园林垃圾。绿化和园林管理中清理产生的植物枝叶等园林垃圾。</w:t>
                  </w:r>
                </w:p>
              </w:tc>
              <w:tc>
                <w:tcPr>
                  <w:tcW w:w="351" w:type="pct"/>
                  <w:vAlign w:val="center"/>
                </w:tcPr>
                <w:p w14:paraId="1A8CFF83">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2000</w:t>
                  </w:r>
                </w:p>
              </w:tc>
              <w:tc>
                <w:tcPr>
                  <w:tcW w:w="441" w:type="pct"/>
                  <w:vAlign w:val="center"/>
                </w:tcPr>
                <w:p w14:paraId="7125A3BF">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133 </w:t>
                  </w:r>
                </w:p>
              </w:tc>
              <w:tc>
                <w:tcPr>
                  <w:tcW w:w="1083" w:type="pct"/>
                  <w:vAlign w:val="center"/>
                </w:tcPr>
                <w:p w14:paraId="36AC509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主要为</w:t>
                  </w:r>
                  <w:r>
                    <w:rPr>
                      <w:rFonts w:hint="default" w:ascii="Times New Roman" w:hAnsi="Times New Roman" w:eastAsia="Arial" w:cs="Times New Roman"/>
                      <w:color w:val="000000" w:themeColor="text1"/>
                      <w:highlight w:val="none"/>
                      <w:lang w:val="en-US" w:eastAsia="zh-CN"/>
                      <w14:textFill>
                        <w14:solidFill>
                          <w14:schemeClr w14:val="tx1"/>
                        </w14:solidFill>
                      </w14:textFill>
                    </w:rPr>
                    <w:t>树叶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、树枝等，多为</w:t>
                  </w:r>
                  <w:r>
                    <w:rPr>
                      <w:rFonts w:hint="default" w:ascii="Times New Roman" w:hAnsi="Times New Roman" w:eastAsia="Arial" w:cs="Times New Roman"/>
                      <w:color w:val="000000" w:themeColor="text1"/>
                      <w:highlight w:val="none"/>
                      <w:lang w:val="en-US" w:eastAsia="zh-CN"/>
                      <w14:textFill>
                        <w14:solidFill>
                          <w14:schemeClr w14:val="tx1"/>
                        </w14:solidFill>
                      </w14:textFill>
                    </w:rPr>
                    <w:t>片状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val="en-US" w:eastAsia="zh-CN"/>
                      <w14:textFill>
                        <w14:solidFill>
                          <w14:schemeClr w14:val="tx1"/>
                        </w14:solidFill>
                      </w14:textFill>
                    </w:rPr>
                    <w:t>条状，含纤维素、木质素，易燃，可生物降解，遇潮易霉变</w:t>
                  </w:r>
                </w:p>
              </w:tc>
              <w:tc>
                <w:tcPr>
                  <w:tcW w:w="526" w:type="pct"/>
                  <w:vAlign w:val="center"/>
                </w:tcPr>
                <w:p w14:paraId="59E251C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禁止混入已</w:t>
                  </w:r>
                  <w:r>
                    <w:rPr>
                      <w:rFonts w:hint="eastAsia" w:cs="Times New Roman"/>
                      <w:color w:val="000000" w:themeColor="text1"/>
                      <w:highlight w:val="none"/>
                      <w:lang w:val="en-US" w:eastAsia="zh-CN"/>
                      <w14:textFill>
                        <w14:solidFill>
                          <w14:schemeClr w14:val="tx1"/>
                        </w14:solidFill>
                      </w14:textFill>
                    </w:rPr>
                    <w:t>腐烂</w:t>
                  </w:r>
                  <w:r>
                    <w:rPr>
                      <w:rFonts w:hint="eastAsia" w:ascii="Times New Roman" w:hAnsi="Times New Roman" w:cs="Times New Roman"/>
                      <w:color w:val="000000" w:themeColor="text1"/>
                      <w:highlight w:val="none"/>
                      <w:lang w:val="en-US" w:eastAsia="zh-CN"/>
                      <w14:textFill>
                        <w14:solidFill>
                          <w14:schemeClr w14:val="tx1"/>
                        </w14:solidFill>
                      </w14:textFill>
                    </w:rPr>
                    <w:t>的园林垃圾</w:t>
                  </w:r>
                </w:p>
              </w:tc>
            </w:tr>
            <w:tr w14:paraId="7A16E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4FB7049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51A7CC7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699F58E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6436E06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900-099-S64</w:t>
                  </w:r>
                </w:p>
              </w:tc>
              <w:tc>
                <w:tcPr>
                  <w:tcW w:w="1204" w:type="pct"/>
                  <w:vAlign w:val="center"/>
                </w:tcPr>
                <w:p w14:paraId="6E08631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以上之外的生活垃圾</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r>
                    <w:rPr>
                      <w:rFonts w:hint="eastAsia" w:cs="Times New Roman"/>
                      <w:bCs/>
                      <w:color w:val="000000" w:themeColor="text1"/>
                      <w:kern w:val="2"/>
                      <w:sz w:val="21"/>
                      <w:szCs w:val="21"/>
                      <w:highlight w:val="none"/>
                      <w:lang w:val="en-US" w:eastAsia="zh-CN" w:bidi="ar-SA"/>
                      <w14:textFill>
                        <w14:solidFill>
                          <w14:schemeClr w14:val="tx1"/>
                        </w14:solidFill>
                      </w14:textFill>
                    </w:rPr>
                    <w:t>分拣厂分拣后的废衣服、废纸箱和废塑料</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p>
              </w:tc>
              <w:tc>
                <w:tcPr>
                  <w:tcW w:w="351" w:type="pct"/>
                  <w:vAlign w:val="center"/>
                </w:tcPr>
                <w:p w14:paraId="5F3CF0C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1000</w:t>
                  </w:r>
                </w:p>
              </w:tc>
              <w:tc>
                <w:tcPr>
                  <w:tcW w:w="441" w:type="pct"/>
                  <w:vAlign w:val="center"/>
                </w:tcPr>
                <w:p w14:paraId="6B154862">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67 </w:t>
                  </w:r>
                </w:p>
              </w:tc>
              <w:tc>
                <w:tcPr>
                  <w:tcW w:w="1083" w:type="pct"/>
                  <w:vAlign w:val="center"/>
                </w:tcPr>
                <w:p w14:paraId="02910D5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c>
                <w:tcPr>
                  <w:tcW w:w="526" w:type="pct"/>
                  <w:vAlign w:val="center"/>
                </w:tcPr>
                <w:p w14:paraId="2C85EFA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禁止混入厨余垃圾、水果、蔬菜等可能产生渗滤液和恶臭气体的固废</w:t>
                  </w:r>
                </w:p>
              </w:tc>
            </w:tr>
            <w:tr w14:paraId="143D4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5000" w:type="pct"/>
                  <w:gridSpan w:val="10"/>
                  <w:vAlign w:val="center"/>
                </w:tcPr>
                <w:p w14:paraId="425D5B8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b/>
                      <w:bCs/>
                      <w:color w:val="000000" w:themeColor="text1"/>
                      <w:highlight w:val="none"/>
                      <w:lang w:val="en-US" w:eastAsia="zh-CN"/>
                      <w14:textFill>
                        <w14:solidFill>
                          <w14:schemeClr w14:val="tx1"/>
                        </w14:solidFill>
                      </w14:textFill>
                    </w:rPr>
                    <w:t>建筑垃圾（上游企业风选完的轻浮物包装类塑料、装饰类塑料等，仅含有少量灰尘）</w:t>
                  </w:r>
                </w:p>
              </w:tc>
            </w:tr>
            <w:tr w14:paraId="0E2E5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Align w:val="center"/>
                </w:tcPr>
                <w:p w14:paraId="3BC9ECE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8</w:t>
                  </w:r>
                </w:p>
              </w:tc>
              <w:tc>
                <w:tcPr>
                  <w:tcW w:w="367" w:type="pct"/>
                  <w:vAlign w:val="center"/>
                </w:tcPr>
                <w:p w14:paraId="4104753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SW72</w:t>
                  </w:r>
                </w:p>
                <w:p w14:paraId="1F0E68F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工程垃圾</w:t>
                  </w:r>
                </w:p>
              </w:tc>
              <w:tc>
                <w:tcPr>
                  <w:tcW w:w="363" w:type="pct"/>
                  <w:vAlign w:val="center"/>
                </w:tcPr>
                <w:p w14:paraId="772E7D0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非特定</w:t>
                  </w:r>
                </w:p>
                <w:p w14:paraId="3A41DB5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行业</w:t>
                  </w:r>
                </w:p>
              </w:tc>
              <w:tc>
                <w:tcPr>
                  <w:tcW w:w="473" w:type="pct"/>
                  <w:gridSpan w:val="2"/>
                  <w:vAlign w:val="center"/>
                </w:tcPr>
                <w:p w14:paraId="355B62F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900-001-S72</w:t>
                  </w:r>
                </w:p>
              </w:tc>
              <w:tc>
                <w:tcPr>
                  <w:tcW w:w="1204" w:type="pct"/>
                  <w:vAlign w:val="center"/>
                </w:tcPr>
                <w:p w14:paraId="71243F8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工程垃圾。各类建筑物、构筑物等建设过程中产生的弃料。</w:t>
                  </w:r>
                </w:p>
              </w:tc>
              <w:tc>
                <w:tcPr>
                  <w:tcW w:w="351" w:type="pct"/>
                  <w:vAlign w:val="center"/>
                </w:tcPr>
                <w:p w14:paraId="1B92650D">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15000</w:t>
                  </w:r>
                </w:p>
              </w:tc>
              <w:tc>
                <w:tcPr>
                  <w:tcW w:w="441" w:type="pct"/>
                  <w:vAlign w:val="center"/>
                </w:tcPr>
                <w:p w14:paraId="4AD79E67">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1000 </w:t>
                  </w:r>
                </w:p>
              </w:tc>
              <w:tc>
                <w:tcPr>
                  <w:tcW w:w="1083" w:type="pct"/>
                  <w:vMerge w:val="restart"/>
                  <w:vAlign w:val="center"/>
                </w:tcPr>
                <w:p w14:paraId="0A3E0F9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废PE/PP（防水膜</w:t>
                  </w:r>
                  <w:r>
                    <w:rPr>
                      <w:rFonts w:hint="eastAsia" w:ascii="Times New Roman" w:hAnsi="Times New Roman"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管材）</w:t>
                  </w:r>
                  <w:r>
                    <w:rPr>
                      <w:rFonts w:hint="eastAsia" w:ascii="Times New Roman" w:hAnsi="Times New Roman" w:cs="Times New Roman"/>
                      <w:color w:val="000000" w:themeColor="text1"/>
                      <w:highlight w:val="none"/>
                      <w:lang w:val="en-US" w:eastAsia="zh-CN"/>
                      <w14:textFill>
                        <w14:solidFill>
                          <w14:schemeClr w14:val="tx1"/>
                        </w14:solidFill>
                      </w14:textFill>
                    </w:rPr>
                    <w:t>为</w:t>
                  </w:r>
                  <w:r>
                    <w:rPr>
                      <w:rFonts w:hint="default" w:ascii="Times New Roman" w:hAnsi="Times New Roman" w:cs="Times New Roman"/>
                      <w:color w:val="000000" w:themeColor="text1"/>
                      <w:highlight w:val="none"/>
                      <w:lang w:val="en-US" w:eastAsia="zh-CN"/>
                      <w14:textFill>
                        <w14:solidFill>
                          <w14:schemeClr w14:val="tx1"/>
                        </w14:solidFill>
                      </w14:textFill>
                    </w:rPr>
                    <w:t>片状</w:t>
                  </w:r>
                  <w:r>
                    <w:rPr>
                      <w:rFonts w:hint="eastAsia" w:ascii="Times New Roman" w:hAnsi="Times New Roman" w:cs="Times New Roman"/>
                      <w:color w:val="000000" w:themeColor="text1"/>
                      <w:highlight w:val="none"/>
                      <w:lang w:val="en-US" w:eastAsia="zh-CN"/>
                      <w14:textFill>
                        <w14:solidFill>
                          <w14:schemeClr w14:val="tx1"/>
                        </w14:solidFill>
                      </w14:textFill>
                    </w:rPr>
                    <w:t>或</w:t>
                  </w:r>
                  <w:r>
                    <w:rPr>
                      <w:rFonts w:hint="default" w:ascii="Times New Roman" w:hAnsi="Times New Roman" w:cs="Times New Roman"/>
                      <w:color w:val="000000" w:themeColor="text1"/>
                      <w:highlight w:val="none"/>
                      <w:lang w:val="en-US" w:eastAsia="zh-CN"/>
                      <w14:textFill>
                        <w14:solidFill>
                          <w14:schemeClr w14:val="tx1"/>
                        </w14:solidFill>
                      </w14:textFill>
                    </w:rPr>
                    <w:t>块状，耐腐，易燃，难降解，可回收</w:t>
                  </w:r>
                  <w:r>
                    <w:rPr>
                      <w:rFonts w:hint="eastAsia" w:cs="Times New Roman"/>
                      <w:color w:val="000000" w:themeColor="text1"/>
                      <w:highlight w:val="none"/>
                      <w:lang w:val="en-US" w:eastAsia="zh-CN"/>
                      <w14:textFill>
                        <w14:solidFill>
                          <w14:schemeClr w14:val="tx1"/>
                        </w14:solidFill>
                      </w14:textFill>
                    </w:rPr>
                    <w:t>；废编织袋、废蛇皮袋和废皮革等</w:t>
                  </w:r>
                </w:p>
              </w:tc>
              <w:tc>
                <w:tcPr>
                  <w:tcW w:w="526" w:type="pct"/>
                  <w:vMerge w:val="restart"/>
                  <w:vAlign w:val="center"/>
                </w:tcPr>
                <w:p w14:paraId="25BF859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禁止</w:t>
                  </w:r>
                  <w:r>
                    <w:rPr>
                      <w:rFonts w:hint="eastAsia" w:cs="Times New Roman"/>
                      <w:color w:val="000000" w:themeColor="text1"/>
                      <w:highlight w:val="none"/>
                      <w:lang w:val="en-US" w:eastAsia="zh-CN"/>
                      <w14:textFill>
                        <w14:solidFill>
                          <w14:schemeClr w14:val="tx1"/>
                        </w14:solidFill>
                      </w14:textFill>
                    </w:rPr>
                    <w:t>混</w:t>
                  </w:r>
                  <w:r>
                    <w:rPr>
                      <w:rFonts w:hint="eastAsia" w:ascii="Times New Roman" w:hAnsi="Times New Roman" w:cs="Times New Roman"/>
                      <w:color w:val="000000" w:themeColor="text1"/>
                      <w:highlight w:val="none"/>
                      <w:lang w:val="en-US" w:eastAsia="zh-CN"/>
                      <w14:textFill>
                        <w14:solidFill>
                          <w14:schemeClr w14:val="tx1"/>
                        </w14:solidFill>
                      </w14:textFill>
                    </w:rPr>
                    <w:t>入</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粘合剂和密封剂（水基型和热熔型粘合剂和密封剂除外）类危险废物</w:t>
                  </w:r>
                </w:p>
              </w:tc>
            </w:tr>
            <w:tr w14:paraId="0AA0A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restart"/>
                  <w:vAlign w:val="center"/>
                </w:tcPr>
                <w:p w14:paraId="679DB63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9</w:t>
                  </w:r>
                </w:p>
              </w:tc>
              <w:tc>
                <w:tcPr>
                  <w:tcW w:w="367" w:type="pct"/>
                  <w:vMerge w:val="restart"/>
                  <w:vAlign w:val="center"/>
                </w:tcPr>
                <w:p w14:paraId="6895236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SW73</w:t>
                  </w:r>
                </w:p>
                <w:p w14:paraId="6C6BA43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拆除垃圾</w:t>
                  </w:r>
                </w:p>
              </w:tc>
              <w:tc>
                <w:tcPr>
                  <w:tcW w:w="363" w:type="pct"/>
                  <w:vMerge w:val="restart"/>
                  <w:vAlign w:val="center"/>
                </w:tcPr>
                <w:p w14:paraId="4A6B6AE6">
                  <w:pPr>
                    <w:keepNext w:val="0"/>
                    <w:keepLines w:val="0"/>
                    <w:pageBreakBefore w:val="0"/>
                    <w:widowControl/>
                    <w:suppressLineNumbers w:val="0"/>
                    <w:kinsoku/>
                    <w:wordWrap w:val="0"/>
                    <w:overflowPunct w:val="0"/>
                    <w:topLinePunct w:val="0"/>
                    <w:bidi w:val="0"/>
                    <w:jc w:val="center"/>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宋体" w:hAnsi="宋体" w:eastAsia="宋体" w:cs="宋体"/>
                      <w:snapToGrid w:val="0"/>
                      <w:color w:val="000000" w:themeColor="text1"/>
                      <w:kern w:val="0"/>
                      <w:sz w:val="21"/>
                      <w:szCs w:val="21"/>
                      <w:highlight w:val="none"/>
                      <w:lang w:val="en-US" w:eastAsia="zh-CN" w:bidi="ar"/>
                      <w14:textFill>
                        <w14:solidFill>
                          <w14:schemeClr w14:val="tx1"/>
                        </w14:solidFill>
                      </w14:textFill>
                    </w:rPr>
                    <w:t>建筑物拆除和场地准备活动</w:t>
                  </w:r>
                </w:p>
              </w:tc>
              <w:tc>
                <w:tcPr>
                  <w:tcW w:w="473" w:type="pct"/>
                  <w:gridSpan w:val="2"/>
                  <w:vAlign w:val="center"/>
                </w:tcPr>
                <w:p w14:paraId="4535025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502-002-S73</w:t>
                  </w:r>
                </w:p>
              </w:tc>
              <w:tc>
                <w:tcPr>
                  <w:tcW w:w="1204" w:type="pct"/>
                  <w:vAlign w:val="center"/>
                </w:tcPr>
                <w:p w14:paraId="47C33DA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各类建筑物、构筑物等拆除过程中产生的木材弃料。</w:t>
                  </w:r>
                </w:p>
              </w:tc>
              <w:tc>
                <w:tcPr>
                  <w:tcW w:w="351" w:type="pct"/>
                  <w:vAlign w:val="center"/>
                </w:tcPr>
                <w:p w14:paraId="3349812F">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5000</w:t>
                  </w:r>
                </w:p>
              </w:tc>
              <w:tc>
                <w:tcPr>
                  <w:tcW w:w="441" w:type="pct"/>
                  <w:vAlign w:val="center"/>
                </w:tcPr>
                <w:p w14:paraId="1CC31BB3">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333 </w:t>
                  </w:r>
                </w:p>
              </w:tc>
              <w:tc>
                <w:tcPr>
                  <w:tcW w:w="1083" w:type="pct"/>
                  <w:vMerge w:val="continue"/>
                  <w:vAlign w:val="center"/>
                </w:tcPr>
                <w:p w14:paraId="52763D8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cs="Times New Roman"/>
                      <w:color w:val="000000" w:themeColor="text1"/>
                      <w:highlight w:val="none"/>
                      <w:lang w:val="en-US" w:eastAsia="zh-CN"/>
                      <w14:textFill>
                        <w14:solidFill>
                          <w14:schemeClr w14:val="tx1"/>
                        </w14:solidFill>
                      </w14:textFill>
                    </w:rPr>
                  </w:pPr>
                </w:p>
              </w:tc>
              <w:tc>
                <w:tcPr>
                  <w:tcW w:w="526" w:type="pct"/>
                  <w:vMerge w:val="continue"/>
                  <w:vAlign w:val="center"/>
                </w:tcPr>
                <w:p w14:paraId="5AECDFAB">
                  <w:pPr>
                    <w:keepNext w:val="0"/>
                    <w:keepLines w:val="0"/>
                    <w:pageBreakBefore w:val="0"/>
                    <w:widowControl/>
                    <w:suppressLineNumbers w:val="0"/>
                    <w:kinsoku/>
                    <w:wordWrap w:val="0"/>
                    <w:overflowPunct w:val="0"/>
                    <w:topLinePunct w:val="0"/>
                    <w:autoSpaceDE/>
                    <w:autoSpaceDN/>
                    <w:bidi w:val="0"/>
                    <w:adjustRightInd/>
                    <w:snapToGrid/>
                    <w:jc w:val="both"/>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p>
              </w:tc>
            </w:tr>
            <w:tr w14:paraId="5045E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57D5CF0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7683873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1D8FCB1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3A2ABDB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502-003-S73</w:t>
                  </w:r>
                </w:p>
              </w:tc>
              <w:tc>
                <w:tcPr>
                  <w:tcW w:w="1204" w:type="pct"/>
                  <w:vAlign w:val="center"/>
                </w:tcPr>
                <w:p w14:paraId="12A29F0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各类建筑物、构筑物等拆除过程中产生的塑料弃料。</w:t>
                  </w:r>
                </w:p>
              </w:tc>
              <w:tc>
                <w:tcPr>
                  <w:tcW w:w="351" w:type="pct"/>
                  <w:vAlign w:val="center"/>
                </w:tcPr>
                <w:p w14:paraId="3925286C">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10000</w:t>
                  </w:r>
                </w:p>
              </w:tc>
              <w:tc>
                <w:tcPr>
                  <w:tcW w:w="441" w:type="pct"/>
                  <w:vAlign w:val="center"/>
                </w:tcPr>
                <w:p w14:paraId="637769C7">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667 </w:t>
                  </w:r>
                </w:p>
              </w:tc>
              <w:tc>
                <w:tcPr>
                  <w:tcW w:w="1083" w:type="pct"/>
                  <w:vMerge w:val="continue"/>
                  <w:vAlign w:val="center"/>
                </w:tcPr>
                <w:p w14:paraId="14F3BB0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cs="Times New Roman"/>
                      <w:color w:val="000000" w:themeColor="text1"/>
                      <w:highlight w:val="none"/>
                      <w:lang w:val="en-US" w:eastAsia="zh-CN"/>
                      <w14:textFill>
                        <w14:solidFill>
                          <w14:schemeClr w14:val="tx1"/>
                        </w14:solidFill>
                      </w14:textFill>
                    </w:rPr>
                  </w:pPr>
                </w:p>
              </w:tc>
              <w:tc>
                <w:tcPr>
                  <w:tcW w:w="526" w:type="pct"/>
                  <w:vMerge w:val="continue"/>
                  <w:vAlign w:val="center"/>
                </w:tcPr>
                <w:p w14:paraId="4F100E2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cs="Times New Roman"/>
                      <w:color w:val="000000" w:themeColor="text1"/>
                      <w:highlight w:val="none"/>
                      <w:lang w:val="en-US" w:eastAsia="zh-CN"/>
                      <w14:textFill>
                        <w14:solidFill>
                          <w14:schemeClr w14:val="tx1"/>
                        </w14:solidFill>
                      </w14:textFill>
                    </w:rPr>
                  </w:pPr>
                </w:p>
              </w:tc>
            </w:tr>
            <w:tr w14:paraId="31ED2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560B5BC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658FDE0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2506738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4615F20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502-099-S73</w:t>
                  </w:r>
                </w:p>
              </w:tc>
              <w:tc>
                <w:tcPr>
                  <w:tcW w:w="1204" w:type="pct"/>
                  <w:vAlign w:val="center"/>
                </w:tcPr>
                <w:p w14:paraId="698FE4B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以上之外的各类建筑物、构筑物等拆除过程中产生的其他弃料。</w:t>
                  </w:r>
                </w:p>
              </w:tc>
              <w:tc>
                <w:tcPr>
                  <w:tcW w:w="351" w:type="pct"/>
                  <w:vAlign w:val="center"/>
                </w:tcPr>
                <w:p w14:paraId="368EE5FA">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15000</w:t>
                  </w:r>
                </w:p>
              </w:tc>
              <w:tc>
                <w:tcPr>
                  <w:tcW w:w="441" w:type="pct"/>
                  <w:vAlign w:val="center"/>
                </w:tcPr>
                <w:p w14:paraId="61004B39">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1000 </w:t>
                  </w:r>
                </w:p>
              </w:tc>
              <w:tc>
                <w:tcPr>
                  <w:tcW w:w="1083" w:type="pct"/>
                  <w:vMerge w:val="continue"/>
                  <w:vAlign w:val="center"/>
                </w:tcPr>
                <w:p w14:paraId="568EC40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cs="Times New Roman"/>
                      <w:color w:val="000000" w:themeColor="text1"/>
                      <w:highlight w:val="none"/>
                      <w:lang w:val="en-US" w:eastAsia="zh-CN"/>
                      <w14:textFill>
                        <w14:solidFill>
                          <w14:schemeClr w14:val="tx1"/>
                        </w14:solidFill>
                      </w14:textFill>
                    </w:rPr>
                  </w:pPr>
                </w:p>
              </w:tc>
              <w:tc>
                <w:tcPr>
                  <w:tcW w:w="526" w:type="pct"/>
                  <w:vMerge w:val="continue"/>
                  <w:vAlign w:val="center"/>
                </w:tcPr>
                <w:p w14:paraId="295E0A6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eastAsia" w:ascii="Times New Roman" w:hAnsi="Times New Roman" w:cs="Times New Roman"/>
                      <w:color w:val="000000" w:themeColor="text1"/>
                      <w:highlight w:val="none"/>
                      <w:lang w:val="en-US" w:eastAsia="zh-CN"/>
                      <w14:textFill>
                        <w14:solidFill>
                          <w14:schemeClr w14:val="tx1"/>
                        </w14:solidFill>
                      </w14:textFill>
                    </w:rPr>
                  </w:pPr>
                </w:p>
              </w:tc>
            </w:tr>
            <w:tr w14:paraId="102B6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Align w:val="center"/>
                </w:tcPr>
                <w:p w14:paraId="013BEA2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10</w:t>
                  </w:r>
                </w:p>
              </w:tc>
              <w:tc>
                <w:tcPr>
                  <w:tcW w:w="367" w:type="pct"/>
                  <w:vAlign w:val="center"/>
                </w:tcPr>
                <w:p w14:paraId="09B24CD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SW74</w:t>
                  </w:r>
                </w:p>
                <w:p w14:paraId="611E4B8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装修垃圾</w:t>
                  </w:r>
                </w:p>
              </w:tc>
              <w:tc>
                <w:tcPr>
                  <w:tcW w:w="363" w:type="pct"/>
                  <w:vAlign w:val="center"/>
                </w:tcPr>
                <w:p w14:paraId="53817F4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建筑装饰和装修业</w:t>
                  </w:r>
                </w:p>
              </w:tc>
              <w:tc>
                <w:tcPr>
                  <w:tcW w:w="473" w:type="pct"/>
                  <w:gridSpan w:val="2"/>
                  <w:vAlign w:val="center"/>
                </w:tcPr>
                <w:p w14:paraId="2A64633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501-001-S74</w:t>
                  </w:r>
                </w:p>
              </w:tc>
              <w:tc>
                <w:tcPr>
                  <w:tcW w:w="1204" w:type="pct"/>
                  <w:vAlign w:val="center"/>
                </w:tcPr>
                <w:p w14:paraId="2866368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装修垃圾。装饰装修房屋过程中产生的废弃物。</w:t>
                  </w:r>
                </w:p>
              </w:tc>
              <w:tc>
                <w:tcPr>
                  <w:tcW w:w="351" w:type="pct"/>
                  <w:vAlign w:val="center"/>
                </w:tcPr>
                <w:p w14:paraId="7C19D18C">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5000</w:t>
                  </w:r>
                </w:p>
              </w:tc>
              <w:tc>
                <w:tcPr>
                  <w:tcW w:w="441" w:type="pct"/>
                  <w:vAlign w:val="center"/>
                </w:tcPr>
                <w:p w14:paraId="14BF8D9C">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333 </w:t>
                  </w:r>
                </w:p>
              </w:tc>
              <w:tc>
                <w:tcPr>
                  <w:tcW w:w="1083" w:type="pct"/>
                  <w:vMerge w:val="continue"/>
                  <w:vAlign w:val="center"/>
                </w:tcPr>
                <w:p w14:paraId="22406C6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26" w:type="pct"/>
                  <w:vMerge w:val="continue"/>
                  <w:vAlign w:val="center"/>
                </w:tcPr>
                <w:p w14:paraId="2A26847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cs="Times New Roman"/>
                      <w:color w:val="000000" w:themeColor="text1"/>
                      <w:highlight w:val="none"/>
                      <w:lang w:val="en-US" w:eastAsia="zh-CN"/>
                      <w14:textFill>
                        <w14:solidFill>
                          <w14:schemeClr w14:val="tx1"/>
                        </w14:solidFill>
                      </w14:textFill>
                    </w:rPr>
                  </w:pPr>
                </w:p>
              </w:tc>
            </w:tr>
            <w:tr w14:paraId="30B03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5000" w:type="pct"/>
                  <w:gridSpan w:val="10"/>
                  <w:vAlign w:val="center"/>
                </w:tcPr>
                <w:p w14:paraId="07FE8C4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highlight w:val="none"/>
                      <w:lang w:val="en-US" w:eastAsia="zh-CN"/>
                      <w14:textFill>
                        <w14:solidFill>
                          <w14:schemeClr w14:val="tx1"/>
                        </w14:solidFill>
                      </w14:textFill>
                    </w:rPr>
                    <w:t>农业固体废物</w:t>
                  </w:r>
                </w:p>
              </w:tc>
            </w:tr>
            <w:tr w14:paraId="59688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restart"/>
                  <w:vAlign w:val="center"/>
                </w:tcPr>
                <w:p w14:paraId="5AFE224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11</w:t>
                  </w:r>
                </w:p>
              </w:tc>
              <w:tc>
                <w:tcPr>
                  <w:tcW w:w="367" w:type="pct"/>
                  <w:vMerge w:val="restart"/>
                  <w:vAlign w:val="center"/>
                </w:tcPr>
                <w:p w14:paraId="53B2EB4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SW80</w:t>
                  </w:r>
                </w:p>
                <w:p w14:paraId="1E66232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农业废物</w:t>
                  </w:r>
                </w:p>
              </w:tc>
              <w:tc>
                <w:tcPr>
                  <w:tcW w:w="363" w:type="pct"/>
                  <w:vMerge w:val="restart"/>
                  <w:vAlign w:val="center"/>
                </w:tcPr>
                <w:p w14:paraId="786D056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农业</w:t>
                  </w:r>
                </w:p>
              </w:tc>
              <w:tc>
                <w:tcPr>
                  <w:tcW w:w="473" w:type="pct"/>
                  <w:gridSpan w:val="2"/>
                  <w:vAlign w:val="center"/>
                </w:tcPr>
                <w:p w14:paraId="2A3E57D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010-001-S80</w:t>
                  </w:r>
                </w:p>
              </w:tc>
              <w:tc>
                <w:tcPr>
                  <w:tcW w:w="1204" w:type="pct"/>
                  <w:vAlign w:val="center"/>
                </w:tcPr>
                <w:p w14:paraId="32FFC78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废弃农用薄膜。农业生产过程中产生的废弃地面覆盖薄膜和棚膜。</w:t>
                  </w:r>
                </w:p>
              </w:tc>
              <w:tc>
                <w:tcPr>
                  <w:tcW w:w="351" w:type="pct"/>
                  <w:vAlign w:val="center"/>
                </w:tcPr>
                <w:p w14:paraId="710F42F6">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5000</w:t>
                  </w:r>
                </w:p>
              </w:tc>
              <w:tc>
                <w:tcPr>
                  <w:tcW w:w="441" w:type="pct"/>
                  <w:vAlign w:val="center"/>
                </w:tcPr>
                <w:p w14:paraId="71B05127">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333 </w:t>
                  </w:r>
                </w:p>
              </w:tc>
              <w:tc>
                <w:tcPr>
                  <w:tcW w:w="1083" w:type="pct"/>
                  <w:vAlign w:val="center"/>
                </w:tcPr>
                <w:p w14:paraId="5EAFE8D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废地面覆盖膜</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薄片状，PE材质，易燃；废棚膜</w:t>
                  </w:r>
                  <w:r>
                    <w:rPr>
                      <w:rFonts w:hint="eastAsia" w:ascii="Times New Roman" w:hAnsi="Times New Roman" w:eastAsia="Arial" w:cs="Times New Roman"/>
                      <w:color w:val="000000" w:themeColor="text1"/>
                      <w:highlight w:val="none"/>
                      <w:lang w:val="en-US" w:eastAsia="zh-CN"/>
                      <w14:textFill>
                        <w14:solidFill>
                          <w14:schemeClr w14:val="tx1"/>
                        </w14:solidFill>
                      </w14:textFill>
                    </w:rPr>
                    <w:t>多为</w:t>
                  </w:r>
                  <w:r>
                    <w:rPr>
                      <w:rFonts w:hint="default" w:ascii="Times New Roman" w:hAnsi="Times New Roman" w:eastAsia="Arial" w:cs="Times New Roman"/>
                      <w:color w:val="000000" w:themeColor="text1"/>
                      <w:highlight w:val="none"/>
                      <w:lang w:eastAsia="zh-CN"/>
                      <w14:textFill>
                        <w14:solidFill>
                          <w14:schemeClr w14:val="tx1"/>
                        </w14:solidFill>
                      </w14:textFill>
                    </w:rPr>
                    <w:t>较厚片状，PE，易燃</w:t>
                  </w:r>
                </w:p>
              </w:tc>
              <w:tc>
                <w:tcPr>
                  <w:tcW w:w="526" w:type="pct"/>
                  <w:vAlign w:val="center"/>
                </w:tcPr>
                <w:p w14:paraId="4865B4A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eastAsia="Arial" w:cs="Times New Roman"/>
                      <w:color w:val="000000" w:themeColor="text1"/>
                      <w:highlight w:val="none"/>
                      <w:lang w:eastAsia="zh-CN"/>
                      <w14:textFill>
                        <w14:solidFill>
                          <w14:schemeClr w14:val="tx1"/>
                        </w14:solidFill>
                      </w14:textFill>
                    </w:rPr>
                    <w:t>/</w:t>
                  </w:r>
                </w:p>
              </w:tc>
            </w:tr>
            <w:tr w14:paraId="36C30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1E8D1A1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3CAEDDCD">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2F4B39F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6A1D348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010-002-S80</w:t>
                  </w:r>
                </w:p>
              </w:tc>
              <w:tc>
                <w:tcPr>
                  <w:tcW w:w="1204" w:type="pct"/>
                  <w:vAlign w:val="center"/>
                </w:tcPr>
                <w:p w14:paraId="0424488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作物秸秆。稻谷、小麦、玉米等农业种植产生的秸秆。</w:t>
                  </w:r>
                </w:p>
              </w:tc>
              <w:tc>
                <w:tcPr>
                  <w:tcW w:w="351" w:type="pct"/>
                  <w:vAlign w:val="center"/>
                </w:tcPr>
                <w:p w14:paraId="3594336C">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8000</w:t>
                  </w:r>
                </w:p>
              </w:tc>
              <w:tc>
                <w:tcPr>
                  <w:tcW w:w="441" w:type="pct"/>
                  <w:vAlign w:val="center"/>
                </w:tcPr>
                <w:p w14:paraId="69904034">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533 </w:t>
                  </w:r>
                </w:p>
              </w:tc>
              <w:tc>
                <w:tcPr>
                  <w:tcW w:w="1083" w:type="pct"/>
                  <w:vAlign w:val="center"/>
                </w:tcPr>
                <w:p w14:paraId="656E53E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稻谷秸秆</w:t>
                  </w:r>
                  <w:r>
                    <w:rPr>
                      <w:rFonts w:hint="eastAsia" w:ascii="Times New Roman" w:hAnsi="Times New Roman" w:eastAsia="Arial" w:cs="Times New Roman"/>
                      <w:color w:val="000000" w:themeColor="text1"/>
                      <w:highlight w:val="none"/>
                      <w:lang w:val="en-US" w:eastAsia="zh-CN"/>
                      <w14:textFill>
                        <w14:solidFill>
                          <w14:schemeClr w14:val="tx1"/>
                        </w14:solidFill>
                      </w14:textFill>
                    </w:rPr>
                    <w:t>为</w:t>
                  </w:r>
                  <w:r>
                    <w:rPr>
                      <w:rFonts w:hint="default" w:ascii="Times New Roman" w:hAnsi="Times New Roman" w:eastAsia="Arial" w:cs="Times New Roman"/>
                      <w:color w:val="000000" w:themeColor="text1"/>
                      <w:highlight w:val="none"/>
                      <w:lang w:eastAsia="zh-CN"/>
                      <w14:textFill>
                        <w14:solidFill>
                          <w14:schemeClr w14:val="tx1"/>
                        </w14:solidFill>
                      </w14:textFill>
                    </w:rPr>
                    <w:t>中空管状，含纤维素、木质素，易燃；小麦</w:t>
                  </w:r>
                  <w:r>
                    <w:rPr>
                      <w:rFonts w:hint="eastAsia" w:ascii="Times New Roman" w:hAnsi="Times New Roman" w:eastAsia="Arial" w:cs="Times New Roman"/>
                      <w:color w:val="000000" w:themeColor="text1"/>
                      <w:highlight w:val="none"/>
                      <w:lang w:val="en-US" w:eastAsia="zh-CN"/>
                      <w14:textFill>
                        <w14:solidFill>
                          <w14:schemeClr w14:val="tx1"/>
                        </w14:solidFill>
                      </w14:textFill>
                    </w:rPr>
                    <w:t>和</w:t>
                  </w:r>
                  <w:r>
                    <w:rPr>
                      <w:rFonts w:hint="default" w:ascii="Times New Roman" w:hAnsi="Times New Roman" w:eastAsia="Arial" w:cs="Times New Roman"/>
                      <w:color w:val="000000" w:themeColor="text1"/>
                      <w:highlight w:val="none"/>
                      <w:lang w:eastAsia="zh-CN"/>
                      <w14:textFill>
                        <w14:solidFill>
                          <w14:schemeClr w14:val="tx1"/>
                        </w14:solidFill>
                      </w14:textFill>
                    </w:rPr>
                    <w:t>玉米秸秆</w:t>
                  </w:r>
                  <w:r>
                    <w:rPr>
                      <w:rFonts w:hint="eastAsia" w:ascii="Times New Roman" w:hAnsi="Times New Roman" w:eastAsia="Arial" w:cs="Times New Roman"/>
                      <w:color w:val="000000" w:themeColor="text1"/>
                      <w:highlight w:val="none"/>
                      <w:lang w:val="en-US" w:eastAsia="zh-CN"/>
                      <w14:textFill>
                        <w14:solidFill>
                          <w14:schemeClr w14:val="tx1"/>
                        </w14:solidFill>
                      </w14:textFill>
                    </w:rPr>
                    <w:t>为</w:t>
                  </w:r>
                  <w:r>
                    <w:rPr>
                      <w:rFonts w:hint="default" w:ascii="Times New Roman" w:hAnsi="Times New Roman" w:eastAsia="Arial" w:cs="Times New Roman"/>
                      <w:color w:val="000000" w:themeColor="text1"/>
                      <w:highlight w:val="none"/>
                      <w:lang w:eastAsia="zh-CN"/>
                      <w14:textFill>
                        <w14:solidFill>
                          <w14:schemeClr w14:val="tx1"/>
                        </w14:solidFill>
                      </w14:textFill>
                    </w:rPr>
                    <w:t>纤维状，</w:t>
                  </w:r>
                  <w:r>
                    <w:rPr>
                      <w:rFonts w:hint="eastAsia" w:ascii="Times New Roman" w:hAnsi="Times New Roman" w:eastAsia="Arial" w:cs="Times New Roman"/>
                      <w:color w:val="000000" w:themeColor="text1"/>
                      <w:highlight w:val="none"/>
                      <w:lang w:val="en-US" w:eastAsia="zh-CN"/>
                      <w14:textFill>
                        <w14:solidFill>
                          <w14:schemeClr w14:val="tx1"/>
                        </w14:solidFill>
                      </w14:textFill>
                    </w:rPr>
                    <w:t>易燃</w:t>
                  </w:r>
                </w:p>
              </w:tc>
              <w:tc>
                <w:tcPr>
                  <w:tcW w:w="526" w:type="pct"/>
                  <w:vAlign w:val="center"/>
                </w:tcPr>
                <w:p w14:paraId="158B030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0685B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19E9EB1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7" w:type="pct"/>
                  <w:vMerge w:val="continue"/>
                  <w:vAlign w:val="center"/>
                </w:tcPr>
                <w:p w14:paraId="0D93869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Merge w:val="continue"/>
                  <w:vAlign w:val="center"/>
                </w:tcPr>
                <w:p w14:paraId="663AE79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473" w:type="pct"/>
                  <w:gridSpan w:val="2"/>
                  <w:vAlign w:val="center"/>
                </w:tcPr>
                <w:p w14:paraId="4B7E48E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010-099-S80</w:t>
                  </w:r>
                </w:p>
              </w:tc>
              <w:tc>
                <w:tcPr>
                  <w:tcW w:w="1204" w:type="pct"/>
                  <w:vAlign w:val="center"/>
                </w:tcPr>
                <w:p w14:paraId="7CBF561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其他农业废物。农业生产活动中产生的其他固体废物。</w:t>
                  </w:r>
                </w:p>
              </w:tc>
              <w:tc>
                <w:tcPr>
                  <w:tcW w:w="351" w:type="pct"/>
                  <w:vAlign w:val="center"/>
                </w:tcPr>
                <w:p w14:paraId="68904465">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10000</w:t>
                  </w:r>
                </w:p>
              </w:tc>
              <w:tc>
                <w:tcPr>
                  <w:tcW w:w="441" w:type="pct"/>
                  <w:vAlign w:val="center"/>
                </w:tcPr>
                <w:p w14:paraId="22555C32">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667 </w:t>
                  </w:r>
                </w:p>
              </w:tc>
              <w:tc>
                <w:tcPr>
                  <w:tcW w:w="1083" w:type="pct"/>
                  <w:vAlign w:val="center"/>
                </w:tcPr>
                <w:p w14:paraId="2EB687B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主要为</w:t>
                  </w:r>
                  <w:r>
                    <w:rPr>
                      <w:rFonts w:hint="default" w:ascii="Times New Roman" w:hAnsi="Times New Roman" w:eastAsia="Arial" w:cs="Times New Roman"/>
                      <w:color w:val="000000" w:themeColor="text1"/>
                      <w:highlight w:val="none"/>
                      <w:lang w:eastAsia="zh-CN"/>
                      <w14:textFill>
                        <w14:solidFill>
                          <w14:schemeClr w14:val="tx1"/>
                        </w14:solidFill>
                      </w14:textFill>
                    </w:rPr>
                    <w:t>废弃塑料包装</w:t>
                  </w:r>
                  <w:r>
                    <w:rPr>
                      <w:rFonts w:hint="eastAsia" w:eastAsia="Arial" w:cs="Times New Roman"/>
                      <w:color w:val="000000" w:themeColor="text1"/>
                      <w:highlight w:val="none"/>
                      <w:lang w:val="en-US" w:eastAsia="zh-CN"/>
                      <w14:textFill>
                        <w14:solidFill>
                          <w14:schemeClr w14:val="tx1"/>
                        </w14:solidFill>
                      </w14:textFill>
                    </w:rPr>
                    <w:t>物，</w:t>
                  </w:r>
                  <w:r>
                    <w:rPr>
                      <w:rFonts w:hint="default" w:ascii="Times New Roman" w:hAnsi="Times New Roman" w:eastAsia="Arial" w:cs="Times New Roman"/>
                      <w:color w:val="000000" w:themeColor="text1"/>
                      <w:highlight w:val="none"/>
                      <w:lang w:eastAsia="zh-CN"/>
                      <w14:textFill>
                        <w14:solidFill>
                          <w14:schemeClr w14:val="tx1"/>
                        </w14:solidFill>
                      </w14:textFill>
                    </w:rPr>
                    <w:t>易燃，不溶于水，耐酸碱，难降解</w:t>
                  </w:r>
                  <w:r>
                    <w:rPr>
                      <w:rFonts w:hint="eastAsia" w:eastAsia="Arial" w:cs="Times New Roman"/>
                      <w:color w:val="000000" w:themeColor="text1"/>
                      <w:highlight w:val="none"/>
                      <w:lang w:eastAsia="zh-CN"/>
                      <w14:textFill>
                        <w14:solidFill>
                          <w14:schemeClr w14:val="tx1"/>
                        </w14:solidFill>
                      </w14:textFill>
                    </w:rPr>
                    <w:t>。</w:t>
                  </w:r>
                </w:p>
              </w:tc>
              <w:tc>
                <w:tcPr>
                  <w:tcW w:w="526" w:type="pct"/>
                  <w:vAlign w:val="center"/>
                </w:tcPr>
                <w:p w14:paraId="12D82A9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0F497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Align w:val="center"/>
                </w:tcPr>
                <w:p w14:paraId="21BAA1A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12</w:t>
                  </w:r>
                </w:p>
              </w:tc>
              <w:tc>
                <w:tcPr>
                  <w:tcW w:w="367" w:type="pct"/>
                  <w:vAlign w:val="center"/>
                </w:tcPr>
                <w:p w14:paraId="1D3E3FC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SW81</w:t>
                  </w:r>
                </w:p>
                <w:p w14:paraId="1CF12AF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林业废物</w:t>
                  </w:r>
                </w:p>
              </w:tc>
              <w:tc>
                <w:tcPr>
                  <w:tcW w:w="363" w:type="pct"/>
                  <w:vAlign w:val="center"/>
                </w:tcPr>
                <w:p w14:paraId="5AC54D8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林业</w:t>
                  </w:r>
                </w:p>
              </w:tc>
              <w:tc>
                <w:tcPr>
                  <w:tcW w:w="473" w:type="pct"/>
                  <w:gridSpan w:val="2"/>
                  <w:vAlign w:val="center"/>
                </w:tcPr>
                <w:p w14:paraId="2F1E534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020-001-S81</w:t>
                  </w:r>
                </w:p>
              </w:tc>
              <w:tc>
                <w:tcPr>
                  <w:tcW w:w="1204" w:type="pct"/>
                  <w:vAlign w:val="center"/>
                </w:tcPr>
                <w:p w14:paraId="4C9BD00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林业废物。林业生产活动产生的固体废物。</w:t>
                  </w:r>
                </w:p>
              </w:tc>
              <w:tc>
                <w:tcPr>
                  <w:tcW w:w="351" w:type="pct"/>
                  <w:vAlign w:val="center"/>
                </w:tcPr>
                <w:p w14:paraId="7AC41BB1">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10000</w:t>
                  </w:r>
                </w:p>
              </w:tc>
              <w:tc>
                <w:tcPr>
                  <w:tcW w:w="441" w:type="pct"/>
                  <w:vAlign w:val="center"/>
                </w:tcPr>
                <w:p w14:paraId="5AA52FB4">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667 </w:t>
                  </w:r>
                </w:p>
              </w:tc>
              <w:tc>
                <w:tcPr>
                  <w:tcW w:w="1083" w:type="pct"/>
                  <w:vAlign w:val="center"/>
                </w:tcPr>
                <w:p w14:paraId="700BC76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多为块状或碎屑，含纤维素、木质素，易燃，无有毒气体，易被微生物分解</w:t>
                  </w:r>
                </w:p>
              </w:tc>
              <w:tc>
                <w:tcPr>
                  <w:tcW w:w="526" w:type="pct"/>
                  <w:vAlign w:val="center"/>
                </w:tcPr>
                <w:p w14:paraId="68C7CB1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r>
            <w:tr w14:paraId="148C2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Align w:val="center"/>
                </w:tcPr>
                <w:p w14:paraId="1E42AC7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13</w:t>
                  </w:r>
                </w:p>
              </w:tc>
              <w:tc>
                <w:tcPr>
                  <w:tcW w:w="367" w:type="pct"/>
                  <w:vAlign w:val="center"/>
                </w:tcPr>
                <w:p w14:paraId="7138516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SW83</w:t>
                  </w:r>
                </w:p>
                <w:p w14:paraId="5AF5159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渔业废物</w:t>
                  </w:r>
                </w:p>
                <w:p w14:paraId="4B86076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363" w:type="pct"/>
                  <w:vAlign w:val="center"/>
                </w:tcPr>
                <w:p w14:paraId="478E874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渔业</w:t>
                  </w:r>
                </w:p>
              </w:tc>
              <w:tc>
                <w:tcPr>
                  <w:tcW w:w="473" w:type="pct"/>
                  <w:gridSpan w:val="2"/>
                  <w:vAlign w:val="center"/>
                </w:tcPr>
                <w:p w14:paraId="721E3030">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040-001-S83</w:t>
                  </w:r>
                </w:p>
              </w:tc>
              <w:tc>
                <w:tcPr>
                  <w:tcW w:w="1204" w:type="pct"/>
                  <w:vAlign w:val="center"/>
                </w:tcPr>
                <w:p w14:paraId="58EA74B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left"/>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渔业废物。渔业生产活动产生的固体废物。</w:t>
                  </w:r>
                </w:p>
              </w:tc>
              <w:tc>
                <w:tcPr>
                  <w:tcW w:w="351" w:type="pct"/>
                  <w:vAlign w:val="center"/>
                </w:tcPr>
                <w:p w14:paraId="034687F8">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2100</w:t>
                  </w:r>
                </w:p>
              </w:tc>
              <w:tc>
                <w:tcPr>
                  <w:tcW w:w="441" w:type="pct"/>
                  <w:vAlign w:val="center"/>
                </w:tcPr>
                <w:p w14:paraId="4ACE4676">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 xml:space="preserve">140 </w:t>
                  </w:r>
                </w:p>
              </w:tc>
              <w:tc>
                <w:tcPr>
                  <w:tcW w:w="1083" w:type="pct"/>
                  <w:vAlign w:val="center"/>
                </w:tcPr>
                <w:p w14:paraId="793BF0BC">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主要为</w:t>
                  </w:r>
                  <w:r>
                    <w:rPr>
                      <w:rFonts w:hint="default" w:ascii="Times New Roman" w:hAnsi="Times New Roman" w:eastAsia="Arial" w:cs="Times New Roman"/>
                      <w:color w:val="000000" w:themeColor="text1"/>
                      <w:highlight w:val="none"/>
                      <w:lang w:eastAsia="zh-CN"/>
                      <w14:textFill>
                        <w14:solidFill>
                          <w14:schemeClr w14:val="tx1"/>
                        </w14:solidFill>
                      </w14:textFill>
                    </w:rPr>
                    <w:t>废弃渔网</w:t>
                  </w:r>
                  <w:r>
                    <w:rPr>
                      <w:rFonts w:hint="eastAsia" w:ascii="Times New Roman" w:hAnsi="Times New Roman" w:eastAsia="Arial" w:cs="Times New Roman"/>
                      <w:color w:val="000000" w:themeColor="text1"/>
                      <w:highlight w:val="none"/>
                      <w:lang w:eastAsia="zh-CN"/>
                      <w14:textFill>
                        <w14:solidFill>
                          <w14:schemeClr w14:val="tx1"/>
                        </w14:solidFill>
                      </w14:textFill>
                    </w:rPr>
                    <w:t>，</w:t>
                  </w:r>
                  <w:r>
                    <w:rPr>
                      <w:rFonts w:hint="default" w:ascii="Times New Roman" w:hAnsi="Times New Roman" w:eastAsia="Arial" w:cs="Times New Roman"/>
                      <w:color w:val="000000" w:themeColor="text1"/>
                      <w:highlight w:val="none"/>
                      <w:lang w:eastAsia="zh-CN"/>
                      <w14:textFill>
                        <w14:solidFill>
                          <w14:schemeClr w14:val="tx1"/>
                        </w14:solidFill>
                      </w14:textFill>
                    </w:rPr>
                    <w:t>尼龙</w:t>
                  </w:r>
                  <w:r>
                    <w:rPr>
                      <w:rFonts w:hint="eastAsia" w:ascii="Times New Roman" w:hAnsi="Times New Roman" w:eastAsia="Arial" w:cs="Times New Roman"/>
                      <w:color w:val="000000" w:themeColor="text1"/>
                      <w:highlight w:val="none"/>
                      <w:lang w:val="en-US" w:eastAsia="zh-CN"/>
                      <w14:textFill>
                        <w14:solidFill>
                          <w14:schemeClr w14:val="tx1"/>
                        </w14:solidFill>
                      </w14:textFill>
                    </w:rPr>
                    <w:t>或</w:t>
                  </w:r>
                  <w:r>
                    <w:rPr>
                      <w:rFonts w:hint="default" w:ascii="Times New Roman" w:hAnsi="Times New Roman" w:eastAsia="Arial" w:cs="Times New Roman"/>
                      <w:color w:val="000000" w:themeColor="text1"/>
                      <w:highlight w:val="none"/>
                      <w:lang w:eastAsia="zh-CN"/>
                      <w14:textFill>
                        <w14:solidFill>
                          <w14:schemeClr w14:val="tx1"/>
                        </w14:solidFill>
                      </w14:textFill>
                    </w:rPr>
                    <w:t>PE材质，网状，耐酸碱难降解，易燃</w:t>
                  </w:r>
                </w:p>
              </w:tc>
              <w:tc>
                <w:tcPr>
                  <w:tcW w:w="526" w:type="pct"/>
                  <w:vAlign w:val="center"/>
                </w:tcPr>
                <w:p w14:paraId="4E31289F">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both"/>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禁止混入鱼类腐肉</w:t>
                  </w:r>
                </w:p>
              </w:tc>
            </w:tr>
            <w:tr w14:paraId="3C857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Align w:val="center"/>
                </w:tcPr>
                <w:p w14:paraId="3CB65D7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14</w:t>
                  </w:r>
                </w:p>
              </w:tc>
              <w:tc>
                <w:tcPr>
                  <w:tcW w:w="2408" w:type="pct"/>
                  <w:gridSpan w:val="5"/>
                  <w:vAlign w:val="center"/>
                </w:tcPr>
                <w:p w14:paraId="38BB3F8E">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kern w:val="2"/>
                      <w:sz w:val="21"/>
                      <w:szCs w:val="21"/>
                      <w:highlight w:val="none"/>
                      <w:lang w:val="en-US" w:eastAsia="zh-CN" w:bidi="ar-SA"/>
                      <w14:textFill>
                        <w14:solidFill>
                          <w14:schemeClr w14:val="tx1"/>
                        </w14:solidFill>
                      </w14:textFill>
                    </w:rPr>
                    <w:t>共计</w:t>
                  </w:r>
                </w:p>
              </w:tc>
              <w:tc>
                <w:tcPr>
                  <w:tcW w:w="351" w:type="pct"/>
                  <w:vAlign w:val="center"/>
                </w:tcPr>
                <w:p w14:paraId="58C84117">
                  <w:pPr>
                    <w:keepNext w:val="0"/>
                    <w:keepLines w:val="0"/>
                    <w:pageBreakBefore w:val="0"/>
                    <w:widowControl/>
                    <w:kinsoku/>
                    <w:wordWrap w:val="0"/>
                    <w:overflowPunct w:val="0"/>
                    <w:topLinePunct w:val="0"/>
                    <w:autoSpaceDE w:val="0"/>
                    <w:autoSpaceDN w:val="0"/>
                    <w:bidi w:val="0"/>
                    <w:adjustRightInd w:val="0"/>
                    <w:snapToGrid/>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180100</w:t>
                  </w:r>
                </w:p>
              </w:tc>
              <w:tc>
                <w:tcPr>
                  <w:tcW w:w="441" w:type="pct"/>
                  <w:vAlign w:val="center"/>
                </w:tcPr>
                <w:p w14:paraId="5350A126">
                  <w:pPr>
                    <w:keepNext w:val="0"/>
                    <w:keepLines w:val="0"/>
                    <w:pageBreakBefore w:val="0"/>
                    <w:widowControl/>
                    <w:suppressLineNumbers w:val="0"/>
                    <w:kinsoku/>
                    <w:wordWrap w:val="0"/>
                    <w:overflowPunct w:val="0"/>
                    <w:topLinePunct w:val="0"/>
                    <w:bidi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12004</w:t>
                  </w:r>
                </w:p>
              </w:tc>
              <w:tc>
                <w:tcPr>
                  <w:tcW w:w="1083" w:type="pct"/>
                  <w:vAlign w:val="center"/>
                </w:tcPr>
                <w:p w14:paraId="2A4049E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w:t>
                  </w:r>
                </w:p>
              </w:tc>
              <w:tc>
                <w:tcPr>
                  <w:tcW w:w="526" w:type="pct"/>
                  <w:vAlign w:val="center"/>
                </w:tcPr>
                <w:p w14:paraId="5A6FDF2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w:t>
                  </w:r>
                </w:p>
              </w:tc>
            </w:tr>
            <w:tr w14:paraId="157FE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Align w:val="center"/>
                </w:tcPr>
                <w:p w14:paraId="6C5F622A">
                  <w:pPr>
                    <w:keepNext w:val="0"/>
                    <w:keepLines w:val="0"/>
                    <w:pageBreakBefore w:val="0"/>
                    <w:kinsoku/>
                    <w:wordWrap w:val="0"/>
                    <w:overflowPunct w:val="0"/>
                    <w:topLinePunct w:val="0"/>
                    <w:bidi w:val="0"/>
                    <w:adjustRightInd w:val="0"/>
                    <w:snapToGrid w:val="0"/>
                    <w:jc w:val="center"/>
                    <w:rPr>
                      <w:rFonts w:hint="eastAsia"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序号</w:t>
                  </w:r>
                </w:p>
              </w:tc>
              <w:tc>
                <w:tcPr>
                  <w:tcW w:w="2408" w:type="pct"/>
                  <w:gridSpan w:val="5"/>
                  <w:vAlign w:val="center"/>
                </w:tcPr>
                <w:p w14:paraId="53D516DF">
                  <w:pPr>
                    <w:keepNext w:val="0"/>
                    <w:keepLines w:val="0"/>
                    <w:pageBreakBefore w:val="0"/>
                    <w:kinsoku/>
                    <w:wordWrap w:val="0"/>
                    <w:overflowPunct w:val="0"/>
                    <w:topLinePunct w:val="0"/>
                    <w:bidi w:val="0"/>
                    <w:adjustRightInd w:val="0"/>
                    <w:snapToGrid w:val="0"/>
                    <w:jc w:val="center"/>
                    <w:rPr>
                      <w:rFonts w:hint="eastAsia"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辅料及能源名称</w:t>
                  </w:r>
                </w:p>
              </w:tc>
              <w:tc>
                <w:tcPr>
                  <w:tcW w:w="351" w:type="pct"/>
                  <w:vAlign w:val="center"/>
                </w:tcPr>
                <w:p w14:paraId="78DD60EE">
                  <w:pPr>
                    <w:keepNext w:val="0"/>
                    <w:keepLines w:val="0"/>
                    <w:pageBreakBefore w:val="0"/>
                    <w:kinsoku/>
                    <w:wordWrap w:val="0"/>
                    <w:overflowPunct w:val="0"/>
                    <w:topLinePunct w:val="0"/>
                    <w:bidi w:val="0"/>
                    <w:adjustRightInd w:val="0"/>
                    <w:snapToGrid w:val="0"/>
                    <w:jc w:val="center"/>
                    <w:rPr>
                      <w:rFonts w:hint="eastAsia"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年使用量t/a</w:t>
                  </w:r>
                </w:p>
              </w:tc>
              <w:tc>
                <w:tcPr>
                  <w:tcW w:w="441" w:type="pct"/>
                  <w:vAlign w:val="center"/>
                </w:tcPr>
                <w:p w14:paraId="18150680">
                  <w:pPr>
                    <w:keepNext w:val="0"/>
                    <w:keepLines w:val="0"/>
                    <w:pageBreakBefore w:val="0"/>
                    <w:kinsoku/>
                    <w:wordWrap w:val="0"/>
                    <w:overflowPunct w:val="0"/>
                    <w:topLinePunct w:val="0"/>
                    <w:bidi w:val="0"/>
                    <w:adjustRightInd w:val="0"/>
                    <w:snapToGrid w:val="0"/>
                    <w:jc w:val="cente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最大暂存量</w:t>
                  </w:r>
                </w:p>
                <w:p w14:paraId="6A16D698">
                  <w:pPr>
                    <w:keepNext w:val="0"/>
                    <w:keepLines w:val="0"/>
                    <w:pageBreakBefore w:val="0"/>
                    <w:kinsoku/>
                    <w:wordWrap w:val="0"/>
                    <w:overflowPunct w:val="0"/>
                    <w:topLinePunct w:val="0"/>
                    <w:bidi w:val="0"/>
                    <w:adjustRightInd w:val="0"/>
                    <w:snapToGrid w:val="0"/>
                    <w:jc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t/a</w:t>
                  </w:r>
                </w:p>
              </w:tc>
              <w:tc>
                <w:tcPr>
                  <w:tcW w:w="1609" w:type="pct"/>
                  <w:gridSpan w:val="2"/>
                  <w:vAlign w:val="center"/>
                </w:tcPr>
                <w:p w14:paraId="7DC11E16">
                  <w:pPr>
                    <w:keepNext w:val="0"/>
                    <w:keepLines w:val="0"/>
                    <w:pageBreakBefore w:val="0"/>
                    <w:kinsoku/>
                    <w:wordWrap w:val="0"/>
                    <w:overflowPunct w:val="0"/>
                    <w:topLinePunct w:val="0"/>
                    <w:bidi w:val="0"/>
                    <w:adjustRightInd w:val="0"/>
                    <w:snapToGrid w:val="0"/>
                    <w:jc w:val="center"/>
                    <w:rPr>
                      <w:rFonts w:hint="eastAsia"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备注</w:t>
                  </w:r>
                </w:p>
              </w:tc>
            </w:tr>
            <w:tr w14:paraId="2F574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Align w:val="center"/>
                </w:tcPr>
                <w:p w14:paraId="1FB3E500">
                  <w:pPr>
                    <w:keepNext w:val="0"/>
                    <w:keepLines w:val="0"/>
                    <w:pageBreakBefore w:val="0"/>
                    <w:kinsoku/>
                    <w:wordWrap w:val="0"/>
                    <w:overflowPunct w:val="0"/>
                    <w:topLinePunct w:val="0"/>
                    <w:bidi w:val="0"/>
                    <w:adjustRightInd w:val="0"/>
                    <w:snapToGrid w:val="0"/>
                    <w:jc w:val="center"/>
                    <w:rPr>
                      <w:rFonts w:hint="eastAsia"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b w:val="0"/>
                      <w:bCs w:val="0"/>
                      <w:color w:val="000000" w:themeColor="text1"/>
                      <w:szCs w:val="21"/>
                      <w:highlight w:val="none"/>
                      <w:lang w:val="en-US" w:eastAsia="zh-CN"/>
                      <w14:textFill>
                        <w14:solidFill>
                          <w14:schemeClr w14:val="tx1"/>
                        </w14:solidFill>
                      </w14:textFill>
                    </w:rPr>
                    <w:t>1</w:t>
                  </w:r>
                </w:p>
              </w:tc>
              <w:tc>
                <w:tcPr>
                  <w:tcW w:w="1144" w:type="pct"/>
                  <w:gridSpan w:val="3"/>
                  <w:vAlign w:val="center"/>
                </w:tcPr>
                <w:p w14:paraId="55E2688F">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b w:val="0"/>
                      <w:bCs w:val="0"/>
                      <w:color w:val="000000" w:themeColor="text1"/>
                      <w:kern w:val="0"/>
                      <w:szCs w:val="21"/>
                      <w:highlight w:val="none"/>
                      <w:lang w:val="en-US" w:eastAsia="zh-CN"/>
                      <w14:textFill>
                        <w14:solidFill>
                          <w14:schemeClr w14:val="tx1"/>
                        </w14:solidFill>
                      </w14:textFill>
                    </w:rPr>
                    <w:t>辅料</w:t>
                  </w:r>
                </w:p>
              </w:tc>
              <w:tc>
                <w:tcPr>
                  <w:tcW w:w="1264" w:type="pct"/>
                  <w:gridSpan w:val="2"/>
                  <w:vAlign w:val="center"/>
                </w:tcPr>
                <w:p w14:paraId="73E526FD">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润滑油</w:t>
                  </w:r>
                </w:p>
              </w:tc>
              <w:tc>
                <w:tcPr>
                  <w:tcW w:w="351" w:type="pct"/>
                  <w:vAlign w:val="center"/>
                </w:tcPr>
                <w:p w14:paraId="57AB5BC9">
                  <w:pPr>
                    <w:keepNext w:val="0"/>
                    <w:keepLines w:val="0"/>
                    <w:pageBreakBefore w:val="0"/>
                    <w:kinsoku/>
                    <w:wordWrap w:val="0"/>
                    <w:overflowPunct w:val="0"/>
                    <w:topLinePunct w:val="0"/>
                    <w:autoSpaceDE w:val="0"/>
                    <w:autoSpaceDN w:val="0"/>
                    <w:bidi w:val="0"/>
                    <w:adjustRightInd w:val="0"/>
                    <w:snapToGrid w:val="0"/>
                    <w:jc w:val="center"/>
                    <w:rPr>
                      <w:rFonts w:hint="eastAsia"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0.51</w:t>
                  </w:r>
                </w:p>
              </w:tc>
              <w:tc>
                <w:tcPr>
                  <w:tcW w:w="441" w:type="pct"/>
                  <w:vAlign w:val="center"/>
                </w:tcPr>
                <w:p w14:paraId="520C5815">
                  <w:pPr>
                    <w:keepNext w:val="0"/>
                    <w:keepLines w:val="0"/>
                    <w:pageBreakBefore w:val="0"/>
                    <w:kinsoku/>
                    <w:wordWrap w:val="0"/>
                    <w:overflowPunct w:val="0"/>
                    <w:topLinePunct w:val="0"/>
                    <w:autoSpaceDE w:val="0"/>
                    <w:autoSpaceDN w:val="0"/>
                    <w:bidi w:val="0"/>
                    <w:adjustRightInd w:val="0"/>
                    <w:snapToGrid w:val="0"/>
                    <w:jc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0.17</w:t>
                  </w:r>
                </w:p>
              </w:tc>
              <w:tc>
                <w:tcPr>
                  <w:tcW w:w="1609" w:type="pct"/>
                  <w:gridSpan w:val="2"/>
                  <w:vAlign w:val="center"/>
                </w:tcPr>
                <w:p w14:paraId="36E7C69B">
                  <w:pPr>
                    <w:keepNext w:val="0"/>
                    <w:keepLines w:val="0"/>
                    <w:pageBreakBefore w:val="0"/>
                    <w:kinsoku/>
                    <w:wordWrap w:val="0"/>
                    <w:overflowPunct w:val="0"/>
                    <w:topLinePunct w:val="0"/>
                    <w:autoSpaceDE w:val="0"/>
                    <w:autoSpaceDN w:val="0"/>
                    <w:bidi w:val="0"/>
                    <w:adjustRightInd w:val="0"/>
                    <w:snapToGrid w:val="0"/>
                    <w:jc w:val="center"/>
                    <w:rPr>
                      <w:rFonts w:hint="eastAsia"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外购，桶装</w:t>
                  </w:r>
                </w:p>
              </w:tc>
            </w:tr>
            <w:tr w14:paraId="4ECEE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restart"/>
                  <w:vAlign w:val="center"/>
                </w:tcPr>
                <w:p w14:paraId="748AACF4">
                  <w:pPr>
                    <w:keepNext w:val="0"/>
                    <w:keepLines w:val="0"/>
                    <w:pageBreakBefore w:val="0"/>
                    <w:kinsoku/>
                    <w:wordWrap w:val="0"/>
                    <w:overflowPunct w:val="0"/>
                    <w:topLinePunct w:val="0"/>
                    <w:bidi w:val="0"/>
                    <w:adjustRightInd w:val="0"/>
                    <w:snapToGrid w:val="0"/>
                    <w:jc w:val="center"/>
                    <w:rPr>
                      <w:rFonts w:hint="eastAsia"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b w:val="0"/>
                      <w:bCs w:val="0"/>
                      <w:color w:val="000000" w:themeColor="text1"/>
                      <w:szCs w:val="21"/>
                      <w:highlight w:val="none"/>
                      <w:lang w:val="en-US" w:eastAsia="zh-CN"/>
                      <w14:textFill>
                        <w14:solidFill>
                          <w14:schemeClr w14:val="tx1"/>
                        </w14:solidFill>
                      </w14:textFill>
                    </w:rPr>
                    <w:t>2</w:t>
                  </w:r>
                </w:p>
              </w:tc>
              <w:tc>
                <w:tcPr>
                  <w:tcW w:w="1144" w:type="pct"/>
                  <w:gridSpan w:val="3"/>
                  <w:vMerge w:val="restart"/>
                  <w:vAlign w:val="center"/>
                </w:tcPr>
                <w:p w14:paraId="7F1359D7">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b w:val="0"/>
                      <w:bCs w:val="0"/>
                      <w:color w:val="000000" w:themeColor="text1"/>
                      <w:kern w:val="0"/>
                      <w:szCs w:val="21"/>
                      <w:highlight w:val="none"/>
                      <w:lang w:val="en-US" w:eastAsia="zh-CN"/>
                      <w14:textFill>
                        <w14:solidFill>
                          <w14:schemeClr w14:val="tx1"/>
                        </w14:solidFill>
                      </w14:textFill>
                    </w:rPr>
                    <w:t>能源</w:t>
                  </w:r>
                </w:p>
              </w:tc>
              <w:tc>
                <w:tcPr>
                  <w:tcW w:w="1264" w:type="pct"/>
                  <w:gridSpan w:val="2"/>
                  <w:vAlign w:val="center"/>
                </w:tcPr>
                <w:p w14:paraId="07A0C707">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水</w:t>
                  </w:r>
                </w:p>
              </w:tc>
              <w:tc>
                <w:tcPr>
                  <w:tcW w:w="792" w:type="pct"/>
                  <w:gridSpan w:val="2"/>
                  <w:vAlign w:val="center"/>
                </w:tcPr>
                <w:p w14:paraId="5E2783BA">
                  <w:pPr>
                    <w:keepNext w:val="0"/>
                    <w:keepLines w:val="0"/>
                    <w:pageBreakBefore w:val="0"/>
                    <w:kinsoku/>
                    <w:wordWrap w:val="0"/>
                    <w:overflowPunct w:val="0"/>
                    <w:topLinePunct w:val="0"/>
                    <w:autoSpaceDE w:val="0"/>
                    <w:autoSpaceDN w:val="0"/>
                    <w:bidi w:val="0"/>
                    <w:adjustRightInd w:val="0"/>
                    <w:snapToGrid w:val="0"/>
                    <w:jc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500</w:t>
                  </w:r>
                  <w:r>
                    <w:rPr>
                      <w:rFonts w:hint="default" w:ascii="Times New Roman" w:hAnsi="Times New Roman" w:cs="Times New Roman"/>
                      <w:color w:val="000000" w:themeColor="text1"/>
                      <w:sz w:val="21"/>
                      <w:szCs w:val="21"/>
                      <w:highlight w:val="none"/>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/a</w:t>
                  </w:r>
                </w:p>
              </w:tc>
              <w:tc>
                <w:tcPr>
                  <w:tcW w:w="1609" w:type="pct"/>
                  <w:gridSpan w:val="2"/>
                  <w:vAlign w:val="center"/>
                </w:tcPr>
                <w:p w14:paraId="201BFA38">
                  <w:pPr>
                    <w:keepNext w:val="0"/>
                    <w:keepLines w:val="0"/>
                    <w:pageBreakBefore w:val="0"/>
                    <w:kinsoku/>
                    <w:wordWrap w:val="0"/>
                    <w:overflowPunct w:val="0"/>
                    <w:topLinePunct w:val="0"/>
                    <w:autoSpaceDE w:val="0"/>
                    <w:autoSpaceDN w:val="0"/>
                    <w:bidi w:val="0"/>
                    <w:adjustRightInd w:val="0"/>
                    <w:snapToGrid w:val="0"/>
                    <w:jc w:val="center"/>
                    <w:rPr>
                      <w:rFonts w:hint="eastAsia"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市政供水</w:t>
                  </w:r>
                </w:p>
              </w:tc>
            </w:tr>
            <w:tr w14:paraId="14273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189" w:type="pct"/>
                  <w:vMerge w:val="continue"/>
                  <w:vAlign w:val="center"/>
                </w:tcPr>
                <w:p w14:paraId="3CDC2BD4">
                  <w:pPr>
                    <w:keepNext w:val="0"/>
                    <w:keepLines w:val="0"/>
                    <w:pageBreakBefore w:val="0"/>
                    <w:kinsoku/>
                    <w:wordWrap w:val="0"/>
                    <w:overflowPunct w:val="0"/>
                    <w:topLinePunct w:val="0"/>
                    <w:bidi w:val="0"/>
                    <w:adjustRightInd w:val="0"/>
                    <w:snapToGrid w:val="0"/>
                    <w:jc w:val="center"/>
                    <w:rPr>
                      <w:rFonts w:hint="eastAsia" w:ascii="Times New Roman" w:hAnsi="Times New Roman" w:eastAsia="Arial" w:cs="Times New Roman"/>
                      <w:color w:val="000000" w:themeColor="text1"/>
                      <w:highlight w:val="none"/>
                      <w:lang w:val="en-US" w:eastAsia="zh-CN"/>
                      <w14:textFill>
                        <w14:solidFill>
                          <w14:schemeClr w14:val="tx1"/>
                        </w14:solidFill>
                      </w14:textFill>
                    </w:rPr>
                  </w:pPr>
                </w:p>
              </w:tc>
              <w:tc>
                <w:tcPr>
                  <w:tcW w:w="1144" w:type="pct"/>
                  <w:gridSpan w:val="3"/>
                  <w:vMerge w:val="continue"/>
                  <w:vAlign w:val="center"/>
                </w:tcPr>
                <w:p w14:paraId="0B988F1C">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000000" w:themeColor="text1"/>
                      <w:kern w:val="2"/>
                      <w:sz w:val="21"/>
                      <w:szCs w:val="21"/>
                      <w:highlight w:val="none"/>
                      <w:lang w:val="en-US" w:eastAsia="zh-CN" w:bidi="ar-SA"/>
                      <w14:textFill>
                        <w14:solidFill>
                          <w14:schemeClr w14:val="tx1"/>
                        </w14:solidFill>
                      </w14:textFill>
                    </w:rPr>
                  </w:pPr>
                </w:p>
              </w:tc>
              <w:tc>
                <w:tcPr>
                  <w:tcW w:w="1264" w:type="pct"/>
                  <w:gridSpan w:val="2"/>
                  <w:vAlign w:val="center"/>
                </w:tcPr>
                <w:p w14:paraId="7CA14F6C">
                  <w:pPr>
                    <w:keepNext w:val="0"/>
                    <w:keepLines w:val="0"/>
                    <w:pageBreakBefore w:val="0"/>
                    <w:kinsoku/>
                    <w:wordWrap w:val="0"/>
                    <w:overflowPunct w:val="0"/>
                    <w:topLinePunct w:val="0"/>
                    <w:autoSpaceDE w:val="0"/>
                    <w:autoSpaceDN w:val="0"/>
                    <w:bidi w:val="0"/>
                    <w:adjustRightInd w:val="0"/>
                    <w:snapToGrid w:val="0"/>
                    <w:jc w:val="center"/>
                    <w:rPr>
                      <w:rFonts w:hint="eastAsia" w:cs="Times New Roman"/>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电</w:t>
                  </w:r>
                </w:p>
              </w:tc>
              <w:tc>
                <w:tcPr>
                  <w:tcW w:w="792" w:type="pct"/>
                  <w:gridSpan w:val="2"/>
                  <w:vAlign w:val="center"/>
                </w:tcPr>
                <w:p w14:paraId="113B934D">
                  <w:pPr>
                    <w:keepNext w:val="0"/>
                    <w:keepLines w:val="0"/>
                    <w:pageBreakBefore w:val="0"/>
                    <w:kinsoku/>
                    <w:wordWrap w:val="0"/>
                    <w:overflowPunct w:val="0"/>
                    <w:topLinePunct w:val="0"/>
                    <w:autoSpaceDE w:val="0"/>
                    <w:autoSpaceDN w:val="0"/>
                    <w:bidi w:val="0"/>
                    <w:adjustRightInd w:val="0"/>
                    <w:snapToGrid w:val="0"/>
                    <w:jc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318.6</w:t>
                  </w:r>
                  <w:r>
                    <w:rPr>
                      <w:rFonts w:hint="default" w:ascii="Times New Roman" w:hAnsi="Times New Roman" w:cs="Times New Roman"/>
                      <w:color w:val="000000" w:themeColor="text1"/>
                      <w:sz w:val="21"/>
                      <w:szCs w:val="21"/>
                      <w:highlight w:val="none"/>
                      <w14:textFill>
                        <w14:solidFill>
                          <w14:schemeClr w14:val="tx1"/>
                        </w14:solidFill>
                      </w14:textFill>
                    </w:rPr>
                    <w:t>万</w:t>
                  </w:r>
                  <w:r>
                    <w:rPr>
                      <w:rFonts w:hint="default" w:ascii="Times New Roman" w:hAnsi="Times New Roman" w:cs="Times New Roman"/>
                      <w:color w:val="000000" w:themeColor="text1"/>
                      <w:sz w:val="21"/>
                      <w:szCs w:val="21"/>
                      <w:highlight w:val="none"/>
                      <w:lang w:eastAsia="zh-CN"/>
                      <w14:textFill>
                        <w14:solidFill>
                          <w14:schemeClr w14:val="tx1"/>
                        </w14:solidFill>
                      </w14:textFill>
                    </w:rPr>
                    <w:t>kW</w:t>
                  </w:r>
                  <w:r>
                    <w:rPr>
                      <w:rFonts w:hint="default" w:ascii="Times New Roman" w:hAnsi="Times New Roman" w:cs="Times New Roman"/>
                      <w:color w:val="000000" w:themeColor="text1"/>
                      <w:sz w:val="21"/>
                      <w:szCs w:val="21"/>
                      <w:highlight w:val="none"/>
                      <w14:textFill>
                        <w14:solidFill>
                          <w14:schemeClr w14:val="tx1"/>
                        </w14:solidFill>
                      </w14:textFill>
                    </w:rPr>
                    <w:t>·h</w:t>
                  </w:r>
                </w:p>
              </w:tc>
              <w:tc>
                <w:tcPr>
                  <w:tcW w:w="1609" w:type="pct"/>
                  <w:gridSpan w:val="2"/>
                  <w:vAlign w:val="center"/>
                </w:tcPr>
                <w:p w14:paraId="1962839E">
                  <w:pPr>
                    <w:keepNext w:val="0"/>
                    <w:keepLines w:val="0"/>
                    <w:pageBreakBefore w:val="0"/>
                    <w:kinsoku/>
                    <w:wordWrap w:val="0"/>
                    <w:overflowPunct w:val="0"/>
                    <w:topLinePunct w:val="0"/>
                    <w:bidi w:val="0"/>
                    <w:adjustRightInd w:val="0"/>
                    <w:snapToGrid w:val="0"/>
                    <w:jc w:val="center"/>
                    <w:rPr>
                      <w:rFonts w:hint="eastAsia"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市政供电</w:t>
                  </w:r>
                </w:p>
              </w:tc>
            </w:tr>
          </w:tbl>
          <w:p w14:paraId="267DB1D6">
            <w:pPr>
              <w:pStyle w:val="4"/>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本项目</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原料主要</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来源于</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隆基乐叶光伏科技（西咸新区）有限公司、西安聚能超导磁体科技有限公司、陕西圣奥动物药业有限公司、质子汽车科技有限公司和泾河新城及周边地区企业产生的</w:t>
            </w:r>
            <w:r>
              <w:rPr>
                <w:rFonts w:hint="default" w:ascii="Times New Roman" w:hAnsi="Times New Roman" w:eastAsia="宋体" w:cs="Times New Roman"/>
                <w:b w:val="0"/>
                <w:bCs/>
                <w:color w:val="000000" w:themeColor="text1"/>
                <w:kern w:val="2"/>
                <w:sz w:val="24"/>
                <w:szCs w:val="24"/>
                <w:highlight w:val="none"/>
                <w:lang w:val="en-GB" w:eastAsia="zh-CN" w:bidi="ar-SA"/>
                <w14:textFill>
                  <w14:solidFill>
                    <w14:schemeClr w14:val="tx1"/>
                  </w14:solidFill>
                </w14:textFill>
              </w:rPr>
              <w:t>一般</w:t>
            </w:r>
            <w:r>
              <w:rPr>
                <w:rFonts w:hint="eastAsia" w:cs="Times New Roman"/>
                <w:b w:val="0"/>
                <w:bCs/>
                <w:color w:val="000000" w:themeColor="text1"/>
                <w:kern w:val="2"/>
                <w:sz w:val="24"/>
                <w:szCs w:val="24"/>
                <w:highlight w:val="none"/>
                <w:lang w:val="en-US" w:eastAsia="zh-CN" w:bidi="ar-SA"/>
                <w14:textFill>
                  <w14:solidFill>
                    <w14:schemeClr w14:val="tx1"/>
                  </w14:solidFill>
                </w14:textFill>
              </w:rPr>
              <w:t>固体废物</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，不含危险废物</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、医疗废物、城市污水处理厂污泥、工业企业污泥</w:t>
            </w:r>
            <w:r>
              <w:rPr>
                <w:rFonts w:hint="eastAsia" w:cs="Times New Roman"/>
                <w:b w:val="0"/>
                <w:bCs/>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含重金属</w:t>
            </w:r>
            <w:r>
              <w:rPr>
                <w:rFonts w:hint="eastAsia" w:cs="Times New Roman"/>
                <w:b w:val="0"/>
                <w:bCs/>
                <w:color w:val="000000" w:themeColor="text1"/>
                <w:kern w:val="2"/>
                <w:sz w:val="24"/>
                <w:szCs w:val="24"/>
                <w:highlight w:val="none"/>
                <w:lang w:val="en-US" w:eastAsia="zh-CN" w:bidi="ar-SA"/>
                <w14:textFill>
                  <w14:solidFill>
                    <w14:schemeClr w14:val="tx1"/>
                  </w14:solidFill>
                </w14:textFill>
              </w:rPr>
              <w:t>废物</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以及产生渗滤液的固废</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w:t>
            </w:r>
          </w:p>
          <w:p w14:paraId="5DF8F7CA">
            <w:pPr>
              <w:pStyle w:val="61"/>
              <w:spacing w:before="19" w:line="377" w:lineRule="auto"/>
              <w:ind w:left="106" w:right="3" w:firstLine="482"/>
              <w:jc w:val="both"/>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本项目原料和产品</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均属于一般固体废物，严格参照《一般工业固体废物贮存和填埋污染控制标准》（GB18599-2020）的要求进行</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分类分区</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堆放和管理，采取</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防雨、</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防扬散、防流失、防渗漏或者其他防止污染环境的措施，不得擅自倾倒、堆放、丢弃、遗撒固体废物。</w:t>
            </w:r>
          </w:p>
          <w:p w14:paraId="3AD9CB5F">
            <w:pPr>
              <w:pStyle w:val="61"/>
              <w:spacing w:before="19" w:line="377" w:lineRule="auto"/>
              <w:ind w:left="106" w:right="3" w:firstLine="482"/>
              <w:jc w:val="both"/>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要求企业建立健全</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一般</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固体废物收集、贮存、运输、利用全过程的污染环境防治责任制度</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；建立车辆进出厂登记制度，详细记录车辆的进出厂时间、车牌号码、驾驶员姓名、固废种类、数量、运输目的地等信息，以便追溯和管理；</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建立</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一般</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固体废物管理台账，如实记录</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一般</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固体废物的种类、数量、流向、贮存、利用等信息，实现</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一般</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固体废物可追溯、可查询。</w:t>
            </w:r>
          </w:p>
          <w:p w14:paraId="624077F7">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p>
          <w:p w14:paraId="0312497A">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p>
          <w:p w14:paraId="045EEDF8">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jc w:val="both"/>
              <w:textAlignment w:val="auto"/>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p>
          <w:p w14:paraId="0B0B35CE">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p>
          <w:p w14:paraId="79B635CF">
            <w:pPr>
              <w:pStyle w:val="61"/>
              <w:keepNext w:val="0"/>
              <w:keepLines w:val="0"/>
              <w:pageBreakBefore w:val="0"/>
              <w:widowControl w:val="0"/>
              <w:kinsoku/>
              <w:wordWrap/>
              <w:overflowPunct/>
              <w:topLinePunct w:val="0"/>
              <w:autoSpaceDE/>
              <w:autoSpaceDN/>
              <w:bidi w:val="0"/>
              <w:adjustRightInd/>
              <w:snapToGrid w:val="0"/>
              <w:spacing w:line="360" w:lineRule="auto"/>
              <w:ind w:left="0" w:right="0" w:firstLine="482"/>
              <w:jc w:val="both"/>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p>
        </w:tc>
      </w:tr>
    </w:tbl>
    <w:p w14:paraId="18976883">
      <w:pPr>
        <w:pStyle w:val="21"/>
        <w:adjustRightInd w:val="0"/>
        <w:snapToGrid w:val="0"/>
        <w:spacing w:before="0" w:beforeAutospacing="0" w:after="0" w:afterAutospacing="0"/>
        <w:jc w:val="center"/>
        <w:rPr>
          <w:rFonts w:hint="default" w:ascii="Times New Roman" w:hAnsi="Times New Roman" w:cs="Times New Roman"/>
          <w:b w:val="0"/>
          <w:bCs w:val="0"/>
          <w:color w:val="000000" w:themeColor="text1"/>
          <w:sz w:val="24"/>
          <w:szCs w:val="24"/>
          <w:highlight w:val="none"/>
          <w14:textFill>
            <w14:solidFill>
              <w14:schemeClr w14:val="tx1"/>
            </w14:solidFill>
          </w14:textFill>
        </w:rPr>
        <w:sectPr>
          <w:pgSz w:w="16838" w:h="11906" w:orient="landscape"/>
          <w:pgMar w:top="1531" w:right="1701" w:bottom="1531" w:left="1701" w:header="851" w:footer="851" w:gutter="0"/>
          <w:pgNumType w:fmt="decimal"/>
          <w:cols w:space="720" w:num="1"/>
          <w:docGrid w:linePitch="312" w:charSpace="0"/>
        </w:sectPr>
      </w:pP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46"/>
        <w:gridCol w:w="8538"/>
      </w:tblGrid>
      <w:tr w14:paraId="5BEF5A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46" w:type="dxa"/>
            <w:noWrap w:val="0"/>
            <w:vAlign w:val="center"/>
          </w:tcPr>
          <w:p w14:paraId="68B5C117">
            <w:pPr>
              <w:pStyle w:val="21"/>
              <w:adjustRightInd w:val="0"/>
              <w:snapToGrid w:val="0"/>
              <w:spacing w:before="0" w:beforeAutospacing="0" w:after="0" w:afterAutospacing="0"/>
              <w:jc w:val="center"/>
              <w:rPr>
                <w:rFonts w:hint="default" w:ascii="Times New Roman" w:hAnsi="Times New Roman" w:cs="Times New Roman"/>
                <w:b w:val="0"/>
                <w:bCs w:val="0"/>
                <w:color w:val="000000" w:themeColor="text1"/>
                <w:sz w:val="24"/>
                <w:szCs w:val="24"/>
                <w:highlight w:val="none"/>
                <w14:textFill>
                  <w14:solidFill>
                    <w14:schemeClr w14:val="tx1"/>
                  </w14:solidFill>
                </w14:textFill>
              </w:rPr>
            </w:pPr>
          </w:p>
        </w:tc>
        <w:tc>
          <w:tcPr>
            <w:tcW w:w="8538" w:type="dxa"/>
            <w:noWrap w:val="0"/>
            <w:vAlign w:val="top"/>
          </w:tcPr>
          <w:p w14:paraId="217CBCA9">
            <w:pPr>
              <w:numPr>
                <w:ilvl w:val="0"/>
                <w:numId w:val="0"/>
              </w:numPr>
              <w:adjustRightInd w:val="0"/>
              <w:snapToGrid w:val="0"/>
              <w:spacing w:line="360" w:lineRule="auto"/>
              <w:jc w:val="both"/>
              <w:rPr>
                <w:rFonts w:hint="eastAsia" w:ascii="Times New Roman" w:hAnsi="Times New Roman" w:cs="Times New Roman"/>
                <w:b/>
                <w:bC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cs="Times New Roman"/>
                <w:b/>
                <w:bCs w:val="0"/>
                <w:color w:val="000000" w:themeColor="text1"/>
                <w:sz w:val="24"/>
                <w:szCs w:val="24"/>
                <w:highlight w:val="none"/>
                <w:lang w:val="en-US" w:eastAsia="zh-CN"/>
                <w14:textFill>
                  <w14:solidFill>
                    <w14:schemeClr w14:val="tx1"/>
                  </w14:solidFill>
                </w14:textFill>
              </w:rPr>
              <w:t>物料平衡</w:t>
            </w:r>
          </w:p>
          <w:p w14:paraId="43784A10">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项目</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物料平衡</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见表2-</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4</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w:t>
            </w:r>
          </w:p>
          <w:p w14:paraId="7FA90C2F">
            <w:pPr>
              <w:numPr>
                <w:ilvl w:val="0"/>
                <w:numId w:val="0"/>
              </w:numPr>
              <w:adjustRightInd w:val="0"/>
              <w:snapToGrid w:val="0"/>
              <w:spacing w:line="240" w:lineRule="auto"/>
              <w:jc w:val="center"/>
              <w:rPr>
                <w:rFonts w:hint="default" w:ascii="Times New Roman" w:hAnsi="Times New Roman" w:eastAsia="宋体" w:cs="Times New Roman"/>
                <w:b/>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z w:val="21"/>
                <w:szCs w:val="21"/>
                <w:highlight w:val="none"/>
                <w:lang w:val="en-US" w:eastAsia="zh-CN"/>
                <w14:textFill>
                  <w14:solidFill>
                    <w14:schemeClr w14:val="tx1"/>
                  </w14:solidFill>
                </w14:textFill>
              </w:rPr>
              <w:t xml:space="preserve">表2-4 </w:t>
            </w:r>
            <w:r>
              <w:rPr>
                <w:rFonts w:hint="default" w:ascii="Times New Roman" w:hAnsi="Times New Roman" w:eastAsia="宋体" w:cs="Times New Roman"/>
                <w:b/>
                <w:bCs w:val="0"/>
                <w:color w:val="000000" w:themeColor="text1"/>
                <w:sz w:val="21"/>
                <w:szCs w:val="21"/>
                <w:highlight w:val="none"/>
                <w:lang w:val="en-US" w:eastAsia="zh-CN"/>
                <w14:textFill>
                  <w14:solidFill>
                    <w14:schemeClr w14:val="tx1"/>
                  </w14:solidFill>
                </w14:textFill>
              </w:rPr>
              <w:t>物料平衡一览表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1245"/>
              <w:gridCol w:w="3000"/>
              <w:gridCol w:w="2555"/>
            </w:tblGrid>
            <w:tr w14:paraId="6C82B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57" w:type="dxa"/>
                  <w:gridSpan w:val="2"/>
                  <w:noWrap w:val="0"/>
                  <w:vAlign w:val="center"/>
                </w:tcPr>
                <w:p w14:paraId="2572C849">
                  <w:pPr>
                    <w:widowControl/>
                    <w:jc w:val="center"/>
                    <w:textAlignment w:val="center"/>
                    <w:rPr>
                      <w:rFonts w:hint="default" w:ascii="宋体" w:hAnsi="宋体" w:eastAsia="宋体" w:cs="宋体"/>
                      <w:b/>
                      <w:bCs/>
                      <w:color w:val="000000" w:themeColor="text1"/>
                      <w:szCs w:val="21"/>
                      <w:highlight w:val="none"/>
                      <w:lang w:val="en-US" w:eastAsia="zh-CN"/>
                      <w14:textFill>
                        <w14:solidFill>
                          <w14:schemeClr w14:val="tx1"/>
                        </w14:solidFill>
                      </w14:textFill>
                    </w:rPr>
                  </w:pPr>
                  <w:r>
                    <w:rPr>
                      <w:rFonts w:hint="eastAsia" w:ascii="宋体" w:hAnsi="宋体" w:eastAsia="宋体" w:cs="宋体"/>
                      <w:b/>
                      <w:bCs/>
                      <w:color w:val="000000" w:themeColor="text1"/>
                      <w:szCs w:val="21"/>
                      <w:highlight w:val="none"/>
                      <w:lang w:val="en-US" w:eastAsia="zh-CN"/>
                      <w14:textFill>
                        <w14:solidFill>
                          <w14:schemeClr w14:val="tx1"/>
                        </w14:solidFill>
                      </w14:textFill>
                    </w:rPr>
                    <w:t>输入（</w:t>
                  </w:r>
                  <w:r>
                    <w:rPr>
                      <w:rFonts w:hint="eastAsia" w:ascii="Times New Roman" w:hAnsi="Times New Roman" w:eastAsia="宋体" w:cs="Times New Roman"/>
                      <w:b/>
                      <w:bCs w:val="0"/>
                      <w:color w:val="000000" w:themeColor="text1"/>
                      <w:sz w:val="21"/>
                      <w:szCs w:val="21"/>
                      <w:highlight w:val="none"/>
                      <w:lang w:val="en-US" w:eastAsia="zh-CN"/>
                      <w14:textFill>
                        <w14:solidFill>
                          <w14:schemeClr w14:val="tx1"/>
                        </w14:solidFill>
                      </w14:textFill>
                    </w:rPr>
                    <w:t>单位t/a</w:t>
                  </w:r>
                  <w:r>
                    <w:rPr>
                      <w:rFonts w:hint="eastAsia" w:ascii="宋体" w:hAnsi="宋体" w:eastAsia="宋体" w:cs="宋体"/>
                      <w:b/>
                      <w:bCs/>
                      <w:color w:val="000000" w:themeColor="text1"/>
                      <w:szCs w:val="21"/>
                      <w:highlight w:val="none"/>
                      <w:lang w:val="en-US" w:eastAsia="zh-CN"/>
                      <w14:textFill>
                        <w14:solidFill>
                          <w14:schemeClr w14:val="tx1"/>
                        </w14:solidFill>
                      </w14:textFill>
                    </w:rPr>
                    <w:t>）</w:t>
                  </w:r>
                </w:p>
              </w:tc>
              <w:tc>
                <w:tcPr>
                  <w:tcW w:w="5555" w:type="dxa"/>
                  <w:gridSpan w:val="2"/>
                  <w:noWrap w:val="0"/>
                  <w:vAlign w:val="center"/>
                </w:tcPr>
                <w:p w14:paraId="6096A952">
                  <w:pPr>
                    <w:widowControl/>
                    <w:jc w:val="center"/>
                    <w:textAlignment w:val="center"/>
                    <w:rPr>
                      <w:rFonts w:hint="eastAsia" w:ascii="宋体" w:hAnsi="宋体" w:eastAsia="宋体" w:cs="宋体"/>
                      <w:b/>
                      <w:bCs/>
                      <w:color w:val="000000" w:themeColor="text1"/>
                      <w:szCs w:val="21"/>
                      <w:highlight w:val="none"/>
                      <w:lang w:val="en-US" w:eastAsia="zh-CN"/>
                      <w14:textFill>
                        <w14:solidFill>
                          <w14:schemeClr w14:val="tx1"/>
                        </w14:solidFill>
                      </w14:textFill>
                    </w:rPr>
                  </w:pPr>
                  <w:r>
                    <w:rPr>
                      <w:rFonts w:hint="eastAsia" w:ascii="宋体" w:hAnsi="宋体" w:eastAsia="宋体" w:cs="宋体"/>
                      <w:b/>
                      <w:bCs/>
                      <w:color w:val="000000" w:themeColor="text1"/>
                      <w:szCs w:val="21"/>
                      <w:highlight w:val="none"/>
                      <w:lang w:val="en-US" w:eastAsia="zh-CN"/>
                      <w14:textFill>
                        <w14:solidFill>
                          <w14:schemeClr w14:val="tx1"/>
                        </w14:solidFill>
                      </w14:textFill>
                    </w:rPr>
                    <w:t>输出（</w:t>
                  </w:r>
                  <w:r>
                    <w:rPr>
                      <w:rFonts w:hint="eastAsia" w:ascii="Times New Roman" w:hAnsi="Times New Roman" w:eastAsia="宋体" w:cs="Times New Roman"/>
                      <w:b/>
                      <w:bCs w:val="0"/>
                      <w:color w:val="000000" w:themeColor="text1"/>
                      <w:sz w:val="21"/>
                      <w:szCs w:val="21"/>
                      <w:highlight w:val="none"/>
                      <w:lang w:val="en-US" w:eastAsia="zh-CN"/>
                      <w14:textFill>
                        <w14:solidFill>
                          <w14:schemeClr w14:val="tx1"/>
                        </w14:solidFill>
                      </w14:textFill>
                    </w:rPr>
                    <w:t>单位t/a</w:t>
                  </w:r>
                  <w:r>
                    <w:rPr>
                      <w:rFonts w:hint="eastAsia" w:ascii="宋体" w:hAnsi="宋体" w:eastAsia="宋体" w:cs="宋体"/>
                      <w:b/>
                      <w:bCs/>
                      <w:color w:val="000000" w:themeColor="text1"/>
                      <w:szCs w:val="21"/>
                      <w:highlight w:val="none"/>
                      <w:lang w:val="en-US" w:eastAsia="zh-CN"/>
                      <w14:textFill>
                        <w14:solidFill>
                          <w14:schemeClr w14:val="tx1"/>
                        </w14:solidFill>
                      </w14:textFill>
                    </w:rPr>
                    <w:t>）</w:t>
                  </w:r>
                </w:p>
              </w:tc>
            </w:tr>
            <w:tr w14:paraId="6FCCA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restart"/>
                  <w:noWrap w:val="0"/>
                  <w:vAlign w:val="center"/>
                </w:tcPr>
                <w:p w14:paraId="0E724C7B">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一般固体废物</w:t>
                  </w:r>
                </w:p>
              </w:tc>
              <w:tc>
                <w:tcPr>
                  <w:tcW w:w="1245" w:type="dxa"/>
                  <w:vMerge w:val="restart"/>
                  <w:noWrap w:val="0"/>
                  <w:vAlign w:val="center"/>
                </w:tcPr>
                <w:p w14:paraId="06C59A33">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180100</w:t>
                  </w:r>
                </w:p>
              </w:tc>
              <w:tc>
                <w:tcPr>
                  <w:tcW w:w="3000" w:type="dxa"/>
                  <w:noWrap w:val="0"/>
                  <w:vAlign w:val="center"/>
                </w:tcPr>
                <w:p w14:paraId="02A942B0">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ascii="Times New Roman" w:hAnsi="Times New Roman" w:eastAsia="Times New Roman" w:cs="Times New Roman"/>
                      <w:color w:val="000000" w:themeColor="text1"/>
                      <w:spacing w:val="-5"/>
                      <w:highlight w:val="none"/>
                      <w14:textFill>
                        <w14:solidFill>
                          <w14:schemeClr w14:val="tx1"/>
                        </w14:solidFill>
                      </w14:textFill>
                    </w:rPr>
                    <w:t>RDF</w:t>
                  </w:r>
                  <w:r>
                    <w:rPr>
                      <w:color w:val="000000" w:themeColor="text1"/>
                      <w:spacing w:val="-5"/>
                      <w:highlight w:val="none"/>
                      <w14:textFill>
                        <w14:solidFill>
                          <w14:schemeClr w14:val="tx1"/>
                        </w14:solidFill>
                      </w14:textFill>
                    </w:rPr>
                    <w:t>燃料</w:t>
                  </w:r>
                </w:p>
              </w:tc>
              <w:tc>
                <w:tcPr>
                  <w:tcW w:w="2555" w:type="dxa"/>
                  <w:noWrap w:val="0"/>
                  <w:vAlign w:val="center"/>
                </w:tcPr>
                <w:p w14:paraId="13900F70">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180000</w:t>
                  </w:r>
                </w:p>
              </w:tc>
            </w:tr>
            <w:tr w14:paraId="2EF5B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continue"/>
                  <w:noWrap w:val="0"/>
                  <w:vAlign w:val="center"/>
                </w:tcPr>
                <w:p w14:paraId="1EC738D7">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p>
              </w:tc>
              <w:tc>
                <w:tcPr>
                  <w:tcW w:w="1245" w:type="dxa"/>
                  <w:vMerge w:val="continue"/>
                  <w:noWrap w:val="0"/>
                  <w:vAlign w:val="center"/>
                </w:tcPr>
                <w:p w14:paraId="0B22B550">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p>
              </w:tc>
              <w:tc>
                <w:tcPr>
                  <w:tcW w:w="3000" w:type="dxa"/>
                  <w:noWrap w:val="0"/>
                  <w:vAlign w:val="center"/>
                </w:tcPr>
                <w:p w14:paraId="12029C2E">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排气筒</w:t>
                  </w: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排放</w:t>
                  </w:r>
                  <w:r>
                    <w:rPr>
                      <w:rFonts w:hint="default" w:ascii="Times New Roman" w:hAnsi="Times New Roman" w:eastAsia="宋体" w:cs="Times New Roman"/>
                      <w:b w:val="0"/>
                      <w:bCs w:val="0"/>
                      <w:color w:val="000000" w:themeColor="text1"/>
                      <w:szCs w:val="21"/>
                      <w:highlight w:val="none"/>
                      <w14:textFill>
                        <w14:solidFill>
                          <w14:schemeClr w14:val="tx1"/>
                        </w14:solidFill>
                      </w14:textFill>
                    </w:rPr>
                    <w:t>颗粒物</w:t>
                  </w:r>
                </w:p>
              </w:tc>
              <w:tc>
                <w:tcPr>
                  <w:tcW w:w="2555" w:type="dxa"/>
                  <w:noWrap w:val="0"/>
                  <w:vAlign w:val="center"/>
                </w:tcPr>
                <w:p w14:paraId="7FCC7BBB">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1.495</w:t>
                  </w:r>
                </w:p>
              </w:tc>
            </w:tr>
            <w:tr w14:paraId="3EF18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continue"/>
                  <w:noWrap w:val="0"/>
                  <w:vAlign w:val="center"/>
                </w:tcPr>
                <w:p w14:paraId="641E3E92">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p>
              </w:tc>
              <w:tc>
                <w:tcPr>
                  <w:tcW w:w="1245" w:type="dxa"/>
                  <w:vMerge w:val="continue"/>
                  <w:noWrap w:val="0"/>
                  <w:vAlign w:val="center"/>
                </w:tcPr>
                <w:p w14:paraId="52C052FC">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p>
              </w:tc>
              <w:tc>
                <w:tcPr>
                  <w:tcW w:w="3000" w:type="dxa"/>
                  <w:noWrap w:val="0"/>
                  <w:vAlign w:val="center"/>
                </w:tcPr>
                <w:p w14:paraId="1E0625DA">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无组织排放颗粒物</w:t>
                  </w:r>
                </w:p>
              </w:tc>
              <w:tc>
                <w:tcPr>
                  <w:tcW w:w="2555" w:type="dxa"/>
                  <w:noWrap w:val="0"/>
                  <w:vAlign w:val="center"/>
                </w:tcPr>
                <w:p w14:paraId="7BEFB8AE">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17.215</w:t>
                  </w:r>
                </w:p>
              </w:tc>
            </w:tr>
            <w:tr w14:paraId="45BFE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continue"/>
                  <w:noWrap w:val="0"/>
                  <w:vAlign w:val="center"/>
                </w:tcPr>
                <w:p w14:paraId="544E9EB4">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p>
              </w:tc>
              <w:tc>
                <w:tcPr>
                  <w:tcW w:w="1245" w:type="dxa"/>
                  <w:vMerge w:val="continue"/>
                  <w:noWrap w:val="0"/>
                  <w:vAlign w:val="center"/>
                </w:tcPr>
                <w:p w14:paraId="547E85FF">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p>
              </w:tc>
              <w:tc>
                <w:tcPr>
                  <w:tcW w:w="3000" w:type="dxa"/>
                  <w:noWrap w:val="0"/>
                  <w:vAlign w:val="center"/>
                </w:tcPr>
                <w:p w14:paraId="0A83883B">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除尘器收尘</w:t>
                  </w:r>
                </w:p>
              </w:tc>
              <w:tc>
                <w:tcPr>
                  <w:tcW w:w="2555" w:type="dxa"/>
                  <w:noWrap w:val="0"/>
                  <w:vAlign w:val="center"/>
                </w:tcPr>
                <w:p w14:paraId="69ABDBC4">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28.412</w:t>
                  </w:r>
                </w:p>
              </w:tc>
            </w:tr>
            <w:tr w14:paraId="2E522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continue"/>
                  <w:noWrap w:val="0"/>
                  <w:vAlign w:val="center"/>
                </w:tcPr>
                <w:p w14:paraId="01F1A1E3">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p>
              </w:tc>
              <w:tc>
                <w:tcPr>
                  <w:tcW w:w="1245" w:type="dxa"/>
                  <w:vMerge w:val="continue"/>
                  <w:noWrap w:val="0"/>
                  <w:vAlign w:val="center"/>
                </w:tcPr>
                <w:p w14:paraId="3B5090AB">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p>
              </w:tc>
              <w:tc>
                <w:tcPr>
                  <w:tcW w:w="3000" w:type="dxa"/>
                  <w:noWrap w:val="0"/>
                  <w:vAlign w:val="center"/>
                </w:tcPr>
                <w:p w14:paraId="06716EB6">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车间沉降粉尘</w:t>
                  </w:r>
                </w:p>
              </w:tc>
              <w:tc>
                <w:tcPr>
                  <w:tcW w:w="2555" w:type="dxa"/>
                  <w:noWrap w:val="0"/>
                  <w:vAlign w:val="center"/>
                </w:tcPr>
                <w:p w14:paraId="58244CCE">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25.823</w:t>
                  </w:r>
                </w:p>
              </w:tc>
            </w:tr>
            <w:tr w14:paraId="4BDA5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continue"/>
                  <w:noWrap w:val="0"/>
                  <w:vAlign w:val="center"/>
                </w:tcPr>
                <w:p w14:paraId="794EDF09">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p>
              </w:tc>
              <w:tc>
                <w:tcPr>
                  <w:tcW w:w="1245" w:type="dxa"/>
                  <w:vMerge w:val="continue"/>
                  <w:noWrap w:val="0"/>
                  <w:vAlign w:val="center"/>
                </w:tcPr>
                <w:p w14:paraId="2F6DEEAE">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p>
              </w:tc>
              <w:tc>
                <w:tcPr>
                  <w:tcW w:w="3000" w:type="dxa"/>
                  <w:noWrap w:val="0"/>
                  <w:vAlign w:val="center"/>
                </w:tcPr>
                <w:p w14:paraId="1AB7C16C">
                  <w:pPr>
                    <w:adjustRightInd w:val="0"/>
                    <w:snapToGrid w:val="0"/>
                    <w:jc w:val="center"/>
                    <w:rPr>
                      <w:rFonts w:hint="default" w:ascii="Times New Roman" w:hAnsi="Times New Roman" w:eastAsia="宋体" w:cs="Times New Roman"/>
                      <w:b w:val="0"/>
                      <w:bCs w:val="0"/>
                      <w:color w:val="000000" w:themeColor="text1"/>
                      <w:szCs w:val="21"/>
                      <w:highlight w:val="none"/>
                      <w:lang w:val="en-US"/>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废铁等金属</w:t>
                  </w:r>
                </w:p>
              </w:tc>
              <w:tc>
                <w:tcPr>
                  <w:tcW w:w="2555" w:type="dxa"/>
                  <w:noWrap w:val="0"/>
                  <w:vAlign w:val="center"/>
                </w:tcPr>
                <w:p w14:paraId="5593D5E6">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25.785</w:t>
                  </w:r>
                </w:p>
              </w:tc>
            </w:tr>
            <w:tr w14:paraId="31C66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vMerge w:val="continue"/>
                  <w:noWrap w:val="0"/>
                  <w:vAlign w:val="center"/>
                </w:tcPr>
                <w:p w14:paraId="4CE48119">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p>
              </w:tc>
              <w:tc>
                <w:tcPr>
                  <w:tcW w:w="1245" w:type="dxa"/>
                  <w:vMerge w:val="continue"/>
                  <w:noWrap w:val="0"/>
                  <w:vAlign w:val="center"/>
                </w:tcPr>
                <w:p w14:paraId="372F1826">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p>
              </w:tc>
              <w:tc>
                <w:tcPr>
                  <w:tcW w:w="3000" w:type="dxa"/>
                  <w:noWrap w:val="0"/>
                  <w:vAlign w:val="center"/>
                </w:tcPr>
                <w:p w14:paraId="30F291D3">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不可燃物</w:t>
                  </w:r>
                </w:p>
              </w:tc>
              <w:tc>
                <w:tcPr>
                  <w:tcW w:w="2555" w:type="dxa"/>
                  <w:noWrap w:val="0"/>
                  <w:vAlign w:val="center"/>
                </w:tcPr>
                <w:p w14:paraId="02995CB6">
                  <w:pPr>
                    <w:adjustRightInd w:val="0"/>
                    <w:snapToGrid w:val="0"/>
                    <w:jc w:val="center"/>
                    <w:rPr>
                      <w:rFonts w:hint="eastAsia" w:cs="Times New Roman"/>
                      <w:b w:val="0"/>
                      <w:bCs w:val="0"/>
                      <w:color w:val="000000" w:themeColor="text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1.27</w:t>
                  </w:r>
                </w:p>
              </w:tc>
            </w:tr>
            <w:tr w14:paraId="6B0B6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2" w:type="dxa"/>
                  <w:noWrap w:val="0"/>
                  <w:vAlign w:val="center"/>
                </w:tcPr>
                <w:p w14:paraId="23136088">
                  <w:pPr>
                    <w:adjustRightInd w:val="0"/>
                    <w:snapToGrid w:val="0"/>
                    <w:jc w:val="cente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cs="宋体"/>
                      <w:b w:val="0"/>
                      <w:bCs w:val="0"/>
                      <w:color w:val="000000" w:themeColor="text1"/>
                      <w:szCs w:val="21"/>
                      <w:highlight w:val="none"/>
                      <w:lang w:val="en-US" w:eastAsia="zh-CN"/>
                      <w14:textFill>
                        <w14:solidFill>
                          <w14:schemeClr w14:val="tx1"/>
                        </w14:solidFill>
                      </w14:textFill>
                    </w:rPr>
                    <w:t>合计</w:t>
                  </w:r>
                </w:p>
              </w:tc>
              <w:tc>
                <w:tcPr>
                  <w:tcW w:w="1245" w:type="dxa"/>
                  <w:noWrap w:val="0"/>
                  <w:vAlign w:val="center"/>
                </w:tcPr>
                <w:p w14:paraId="4247478E">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180100</w:t>
                  </w:r>
                </w:p>
              </w:tc>
              <w:tc>
                <w:tcPr>
                  <w:tcW w:w="3000" w:type="dxa"/>
                  <w:noWrap w:val="0"/>
                  <w:vAlign w:val="center"/>
                </w:tcPr>
                <w:p w14:paraId="03A48488">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w:t>
                  </w:r>
                </w:p>
              </w:tc>
              <w:tc>
                <w:tcPr>
                  <w:tcW w:w="2555" w:type="dxa"/>
                  <w:noWrap w:val="0"/>
                  <w:vAlign w:val="center"/>
                </w:tcPr>
                <w:p w14:paraId="777326CD">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180100</w:t>
                  </w:r>
                </w:p>
              </w:tc>
            </w:tr>
          </w:tbl>
          <w:p w14:paraId="47FD808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pPr>
            <w:r>
              <w:rPr>
                <w:rFonts w:hint="eastAsia" w:cs="Times New Roman"/>
                <w:b/>
                <w:bCs/>
                <w:color w:val="000000" w:themeColor="text1"/>
                <w:kern w:val="2"/>
                <w:sz w:val="24"/>
                <w:szCs w:val="24"/>
                <w:highlight w:val="none"/>
                <w:lang w:val="en-US" w:eastAsia="zh-CN" w:bidi="ar-SA"/>
                <w14:textFill>
                  <w14:solidFill>
                    <w14:schemeClr w14:val="tx1"/>
                  </w14:solidFill>
                </w14:textFill>
              </w:rPr>
              <w:t>6</w:t>
            </w: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t>主要生产设备</w:t>
            </w:r>
          </w:p>
          <w:p w14:paraId="65B05AE6">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4"/>
                <w:szCs w:val="24"/>
                <w:highlight w:val="none"/>
                <w:lang w:val="en-US" w:eastAsia="zh-CN"/>
                <w14:textFill>
                  <w14:solidFill>
                    <w14:schemeClr w14:val="tx1"/>
                  </w14:solidFill>
                </w14:textFill>
              </w:rPr>
              <w:t>本项目主要设备见下表。</w:t>
            </w:r>
          </w:p>
          <w:p w14:paraId="28C249E0">
            <w:pPr>
              <w:numPr>
                <w:ilvl w:val="0"/>
                <w:numId w:val="0"/>
              </w:numPr>
              <w:adjustRightInd w:val="0"/>
              <w:snapToGrid w:val="0"/>
              <w:spacing w:line="240" w:lineRule="auto"/>
              <w:jc w:val="center"/>
              <w:rPr>
                <w:rFonts w:hint="default" w:ascii="Times New Roman" w:hAnsi="Times New Roman" w:cs="Times New Roman"/>
                <w:b/>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val="0"/>
                <w:color w:val="000000" w:themeColor="text1"/>
                <w:sz w:val="21"/>
                <w:szCs w:val="21"/>
                <w:highlight w:val="none"/>
                <w:lang w:val="en-US" w:eastAsia="zh-CN"/>
                <w14:textFill>
                  <w14:solidFill>
                    <w14:schemeClr w14:val="tx1"/>
                  </w14:solidFill>
                </w14:textFill>
              </w:rPr>
              <w:t>表2-</w:t>
            </w:r>
            <w:r>
              <w:rPr>
                <w:rFonts w:hint="eastAsia" w:cs="Times New Roman"/>
                <w:b/>
                <w:bCs w:val="0"/>
                <w:color w:val="000000" w:themeColor="text1"/>
                <w:sz w:val="21"/>
                <w:szCs w:val="21"/>
                <w:highlight w:val="none"/>
                <w:lang w:val="en-US" w:eastAsia="zh-CN"/>
                <w14:textFill>
                  <w14:solidFill>
                    <w14:schemeClr w14:val="tx1"/>
                  </w14:solidFill>
                </w14:textFill>
              </w:rPr>
              <w:t xml:space="preserve">5 </w:t>
            </w:r>
            <w:r>
              <w:rPr>
                <w:rFonts w:hint="default" w:ascii="Times New Roman" w:hAnsi="Times New Roman" w:cs="Times New Roman"/>
                <w:b/>
                <w:bCs w:val="0"/>
                <w:color w:val="000000" w:themeColor="text1"/>
                <w:sz w:val="21"/>
                <w:szCs w:val="21"/>
                <w:highlight w:val="none"/>
                <w:lang w:val="en-US" w:eastAsia="zh-CN"/>
                <w14:textFill>
                  <w14:solidFill>
                    <w14:schemeClr w14:val="tx1"/>
                  </w14:solidFill>
                </w14:textFill>
              </w:rPr>
              <w:t>主要设备一览表</w:t>
            </w:r>
          </w:p>
          <w:tbl>
            <w:tblPr>
              <w:tblStyle w:val="25"/>
              <w:tblW w:w="8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929"/>
              <w:gridCol w:w="2081"/>
              <w:gridCol w:w="1432"/>
              <w:gridCol w:w="2190"/>
            </w:tblGrid>
            <w:tr w14:paraId="2697C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0AE387E8">
                  <w:pPr>
                    <w:widowControl/>
                    <w:jc w:val="center"/>
                    <w:textAlignment w:val="center"/>
                    <w:rPr>
                      <w:rFonts w:hint="eastAsia" w:ascii="宋体" w:hAnsi="宋体" w:eastAsia="宋体" w:cs="宋体"/>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序号</w:t>
                  </w:r>
                </w:p>
              </w:tc>
              <w:tc>
                <w:tcPr>
                  <w:tcW w:w="1929" w:type="dxa"/>
                  <w:noWrap w:val="0"/>
                  <w:vAlign w:val="center"/>
                </w:tcPr>
                <w:p w14:paraId="6B4F453E">
                  <w:pPr>
                    <w:widowControl/>
                    <w:jc w:val="center"/>
                    <w:textAlignment w:val="center"/>
                    <w:rPr>
                      <w:rFonts w:hint="eastAsia" w:ascii="宋体" w:hAnsi="宋体" w:eastAsia="宋体" w:cs="宋体"/>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名称</w:t>
                  </w:r>
                </w:p>
              </w:tc>
              <w:tc>
                <w:tcPr>
                  <w:tcW w:w="2081" w:type="dxa"/>
                  <w:noWrap w:val="0"/>
                  <w:vAlign w:val="center"/>
                </w:tcPr>
                <w:p w14:paraId="6972E76C">
                  <w:pPr>
                    <w:widowControl/>
                    <w:jc w:val="center"/>
                    <w:textAlignment w:val="center"/>
                    <w:rPr>
                      <w:rFonts w:hint="eastAsia" w:ascii="宋体" w:hAnsi="宋体" w:eastAsia="宋体" w:cs="宋体"/>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规格型号</w:t>
                  </w:r>
                </w:p>
              </w:tc>
              <w:tc>
                <w:tcPr>
                  <w:tcW w:w="1432" w:type="dxa"/>
                  <w:noWrap w:val="0"/>
                  <w:vAlign w:val="center"/>
                </w:tcPr>
                <w:p w14:paraId="49B7164D">
                  <w:pPr>
                    <w:widowControl/>
                    <w:jc w:val="center"/>
                    <w:textAlignment w:val="center"/>
                    <w:rPr>
                      <w:rFonts w:hint="eastAsia" w:ascii="宋体" w:hAnsi="宋体" w:eastAsia="宋体" w:cs="宋体"/>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bidi="ar"/>
                      <w14:textFill>
                        <w14:solidFill>
                          <w14:schemeClr w14:val="tx1"/>
                        </w14:solidFill>
                      </w14:textFill>
                    </w:rPr>
                    <w:t>数量/台</w:t>
                  </w:r>
                </w:p>
              </w:tc>
              <w:tc>
                <w:tcPr>
                  <w:tcW w:w="2190" w:type="dxa"/>
                  <w:noWrap w:val="0"/>
                  <w:vAlign w:val="center"/>
                </w:tcPr>
                <w:p w14:paraId="1680BABF">
                  <w:pPr>
                    <w:widowControl/>
                    <w:jc w:val="center"/>
                    <w:textAlignment w:val="center"/>
                    <w:rPr>
                      <w:rFonts w:hint="eastAsia" w:ascii="宋体" w:hAnsi="宋体" w:eastAsia="宋体" w:cs="宋体"/>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lang w:val="en-US" w:eastAsia="zh-CN" w:bidi="ar"/>
                      <w14:textFill>
                        <w14:solidFill>
                          <w14:schemeClr w14:val="tx1"/>
                        </w14:solidFill>
                      </w14:textFill>
                    </w:rPr>
                    <w:t>备注</w:t>
                  </w:r>
                </w:p>
              </w:tc>
            </w:tr>
            <w:tr w14:paraId="4DAF2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47973AA9">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1</w:t>
                  </w:r>
                </w:p>
              </w:tc>
              <w:tc>
                <w:tcPr>
                  <w:tcW w:w="1929" w:type="dxa"/>
                  <w:noWrap w:val="0"/>
                  <w:vAlign w:val="center"/>
                </w:tcPr>
                <w:p w14:paraId="28B040A8">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上料爪机</w:t>
                  </w:r>
                </w:p>
              </w:tc>
              <w:tc>
                <w:tcPr>
                  <w:tcW w:w="2081" w:type="dxa"/>
                  <w:noWrap w:val="0"/>
                  <w:vAlign w:val="center"/>
                </w:tcPr>
                <w:p w14:paraId="603DBBEB">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kern w:val="0"/>
                      <w:szCs w:val="21"/>
                      <w:highlight w:val="none"/>
                      <w:lang w:val="en-US" w:eastAsia="zh-CN"/>
                      <w14:textFill>
                        <w14:solidFill>
                          <w14:schemeClr w14:val="tx1"/>
                        </w14:solidFill>
                      </w14:textFill>
                    </w:rPr>
                    <w:t>/</w:t>
                  </w:r>
                </w:p>
              </w:tc>
              <w:tc>
                <w:tcPr>
                  <w:tcW w:w="1432" w:type="dxa"/>
                  <w:noWrap w:val="0"/>
                  <w:vAlign w:val="center"/>
                </w:tcPr>
                <w:p w14:paraId="7DC0C287">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p>
              </w:tc>
              <w:tc>
                <w:tcPr>
                  <w:tcW w:w="2190" w:type="dxa"/>
                  <w:vMerge w:val="restart"/>
                  <w:noWrap w:val="0"/>
                  <w:vAlign w:val="center"/>
                </w:tcPr>
                <w:p w14:paraId="16AEE769">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上料工序</w:t>
                  </w:r>
                </w:p>
              </w:tc>
            </w:tr>
            <w:tr w14:paraId="45E09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DEE9A0A">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2</w:t>
                  </w:r>
                </w:p>
              </w:tc>
              <w:tc>
                <w:tcPr>
                  <w:tcW w:w="1929" w:type="dxa"/>
                  <w:noWrap w:val="0"/>
                  <w:vAlign w:val="center"/>
                </w:tcPr>
                <w:p w14:paraId="1B6019B2">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链板上料机</w:t>
                  </w:r>
                </w:p>
              </w:tc>
              <w:tc>
                <w:tcPr>
                  <w:tcW w:w="2081" w:type="dxa"/>
                  <w:noWrap w:val="0"/>
                  <w:vAlign w:val="center"/>
                </w:tcPr>
                <w:p w14:paraId="246A7B1A">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GLL-12-11</w:t>
                  </w:r>
                </w:p>
              </w:tc>
              <w:tc>
                <w:tcPr>
                  <w:tcW w:w="1432" w:type="dxa"/>
                  <w:noWrap w:val="0"/>
                  <w:vAlign w:val="center"/>
                </w:tcPr>
                <w:p w14:paraId="2F00D319">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1</w:t>
                  </w:r>
                </w:p>
              </w:tc>
              <w:tc>
                <w:tcPr>
                  <w:tcW w:w="2190" w:type="dxa"/>
                  <w:vMerge w:val="continue"/>
                  <w:noWrap w:val="0"/>
                  <w:vAlign w:val="center"/>
                </w:tcPr>
                <w:p w14:paraId="1CC6D7B7">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p>
              </w:tc>
            </w:tr>
            <w:tr w14:paraId="4F779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0D76347">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3</w:t>
                  </w:r>
                </w:p>
              </w:tc>
              <w:tc>
                <w:tcPr>
                  <w:tcW w:w="1929" w:type="dxa"/>
                  <w:noWrap w:val="0"/>
                  <w:vAlign w:val="center"/>
                </w:tcPr>
                <w:p w14:paraId="5636E55A">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一破撕碎机</w:t>
                  </w:r>
                </w:p>
              </w:tc>
              <w:tc>
                <w:tcPr>
                  <w:tcW w:w="2081" w:type="dxa"/>
                  <w:noWrap w:val="0"/>
                  <w:vAlign w:val="center"/>
                </w:tcPr>
                <w:p w14:paraId="58F9CA97">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GLS-16-06</w:t>
                  </w:r>
                </w:p>
              </w:tc>
              <w:tc>
                <w:tcPr>
                  <w:tcW w:w="1432" w:type="dxa"/>
                  <w:noWrap w:val="0"/>
                  <w:vAlign w:val="center"/>
                </w:tcPr>
                <w:p w14:paraId="1CDCC6D8">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1</w:t>
                  </w:r>
                </w:p>
              </w:tc>
              <w:tc>
                <w:tcPr>
                  <w:tcW w:w="2190" w:type="dxa"/>
                  <w:noWrap w:val="0"/>
                  <w:vAlign w:val="center"/>
                </w:tcPr>
                <w:p w14:paraId="3E5EDBD7">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5-7齿，破碎工序</w:t>
                  </w:r>
                </w:p>
              </w:tc>
            </w:tr>
            <w:tr w14:paraId="0336F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99C390B">
                  <w:pPr>
                    <w:adjustRightInd w:val="0"/>
                    <w:snapToGrid w:val="0"/>
                    <w:jc w:val="cente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4</w:t>
                  </w:r>
                </w:p>
              </w:tc>
              <w:tc>
                <w:tcPr>
                  <w:tcW w:w="1929" w:type="dxa"/>
                  <w:noWrap w:val="0"/>
                  <w:vAlign w:val="center"/>
                </w:tcPr>
                <w:p w14:paraId="3DBC7F66">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一破出料皮带机</w:t>
                  </w:r>
                </w:p>
              </w:tc>
              <w:tc>
                <w:tcPr>
                  <w:tcW w:w="2081" w:type="dxa"/>
                  <w:noWrap w:val="0"/>
                  <w:vAlign w:val="center"/>
                </w:tcPr>
                <w:p w14:paraId="7C20DC59">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GLC-14-05</w:t>
                  </w:r>
                </w:p>
              </w:tc>
              <w:tc>
                <w:tcPr>
                  <w:tcW w:w="1432" w:type="dxa"/>
                  <w:noWrap w:val="0"/>
                  <w:vAlign w:val="center"/>
                </w:tcPr>
                <w:p w14:paraId="725FE1B5">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p>
              </w:tc>
              <w:tc>
                <w:tcPr>
                  <w:tcW w:w="2190" w:type="dxa"/>
                  <w:noWrap w:val="0"/>
                  <w:vAlign w:val="center"/>
                </w:tcPr>
                <w:p w14:paraId="6A656D5E">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输送</w:t>
                  </w:r>
                </w:p>
              </w:tc>
            </w:tr>
            <w:tr w14:paraId="7AFDF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48D1E60E">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5</w:t>
                  </w:r>
                </w:p>
              </w:tc>
              <w:tc>
                <w:tcPr>
                  <w:tcW w:w="1929" w:type="dxa"/>
                  <w:noWrap w:val="0"/>
                  <w:vAlign w:val="center"/>
                </w:tcPr>
                <w:p w14:paraId="52B14ECA">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一破除铁皮带机</w:t>
                  </w:r>
                </w:p>
              </w:tc>
              <w:tc>
                <w:tcPr>
                  <w:tcW w:w="2081" w:type="dxa"/>
                  <w:noWrap w:val="0"/>
                  <w:vAlign w:val="center"/>
                </w:tcPr>
                <w:p w14:paraId="6E2A6B97">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GLC-14-03</w:t>
                  </w:r>
                </w:p>
              </w:tc>
              <w:tc>
                <w:tcPr>
                  <w:tcW w:w="1432" w:type="dxa"/>
                  <w:noWrap w:val="0"/>
                  <w:vAlign w:val="center"/>
                </w:tcPr>
                <w:p w14:paraId="2B23CC14">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p>
              </w:tc>
              <w:tc>
                <w:tcPr>
                  <w:tcW w:w="2190" w:type="dxa"/>
                  <w:noWrap w:val="0"/>
                  <w:vAlign w:val="center"/>
                </w:tcPr>
                <w:p w14:paraId="26C43913">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含磁滚筒，磁选</w:t>
                  </w:r>
                </w:p>
              </w:tc>
            </w:tr>
            <w:tr w14:paraId="0306C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1BB54598">
                  <w:pPr>
                    <w:adjustRightInd w:val="0"/>
                    <w:snapToGrid w:val="0"/>
                    <w:jc w:val="cente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6</w:t>
                  </w:r>
                </w:p>
              </w:tc>
              <w:tc>
                <w:tcPr>
                  <w:tcW w:w="1929" w:type="dxa"/>
                  <w:noWrap w:val="0"/>
                  <w:vAlign w:val="center"/>
                </w:tcPr>
                <w:p w14:paraId="7C205228">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二破上料皮带机</w:t>
                  </w:r>
                </w:p>
              </w:tc>
              <w:tc>
                <w:tcPr>
                  <w:tcW w:w="2081" w:type="dxa"/>
                  <w:noWrap w:val="0"/>
                  <w:vAlign w:val="center"/>
                </w:tcPr>
                <w:p w14:paraId="684E4934">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GLC-14-03</w:t>
                  </w:r>
                </w:p>
              </w:tc>
              <w:tc>
                <w:tcPr>
                  <w:tcW w:w="1432" w:type="dxa"/>
                  <w:noWrap w:val="0"/>
                  <w:vAlign w:val="center"/>
                </w:tcPr>
                <w:p w14:paraId="09D6F6C2">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p>
              </w:tc>
              <w:tc>
                <w:tcPr>
                  <w:tcW w:w="2190" w:type="dxa"/>
                  <w:noWrap w:val="0"/>
                  <w:vAlign w:val="center"/>
                </w:tcPr>
                <w:p w14:paraId="41948287">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输送</w:t>
                  </w:r>
                </w:p>
              </w:tc>
            </w:tr>
            <w:tr w14:paraId="73567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7C3DBADA">
                  <w:pPr>
                    <w:adjustRightInd w:val="0"/>
                    <w:snapToGrid w:val="0"/>
                    <w:jc w:val="cente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7</w:t>
                  </w:r>
                </w:p>
              </w:tc>
              <w:tc>
                <w:tcPr>
                  <w:tcW w:w="1929" w:type="dxa"/>
                  <w:noWrap w:val="0"/>
                  <w:vAlign w:val="center"/>
                </w:tcPr>
                <w:p w14:paraId="2071A461">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14:textFill>
                        <w14:solidFill>
                          <w14:schemeClr w14:val="tx1"/>
                        </w14:solidFill>
                      </w14:textFill>
                    </w:rPr>
                    <w:t>二破撕碎机</w:t>
                  </w:r>
                </w:p>
              </w:tc>
              <w:tc>
                <w:tcPr>
                  <w:tcW w:w="2081" w:type="dxa"/>
                  <w:noWrap w:val="0"/>
                  <w:vAlign w:val="center"/>
                </w:tcPr>
                <w:p w14:paraId="4FD7CCD3">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GLS-16-0</w:t>
                  </w: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3</w:t>
                  </w:r>
                </w:p>
              </w:tc>
              <w:tc>
                <w:tcPr>
                  <w:tcW w:w="1432" w:type="dxa"/>
                  <w:noWrap w:val="0"/>
                  <w:vAlign w:val="center"/>
                </w:tcPr>
                <w:p w14:paraId="6E0B5314">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1</w:t>
                  </w:r>
                </w:p>
              </w:tc>
              <w:tc>
                <w:tcPr>
                  <w:tcW w:w="2190" w:type="dxa"/>
                  <w:noWrap w:val="0"/>
                  <w:vAlign w:val="center"/>
                </w:tcPr>
                <w:p w14:paraId="123E4969">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19-21齿，破碎工序</w:t>
                  </w:r>
                </w:p>
              </w:tc>
            </w:tr>
            <w:tr w14:paraId="6E564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7151D609">
                  <w:pPr>
                    <w:adjustRightInd w:val="0"/>
                    <w:snapToGrid w:val="0"/>
                    <w:jc w:val="cente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8</w:t>
                  </w:r>
                </w:p>
              </w:tc>
              <w:tc>
                <w:tcPr>
                  <w:tcW w:w="1929" w:type="dxa"/>
                  <w:noWrap w:val="0"/>
                  <w:vAlign w:val="center"/>
                </w:tcPr>
                <w:p w14:paraId="72477D89">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二破出料皮带机</w:t>
                  </w:r>
                </w:p>
              </w:tc>
              <w:tc>
                <w:tcPr>
                  <w:tcW w:w="2081" w:type="dxa"/>
                  <w:noWrap w:val="0"/>
                  <w:vAlign w:val="center"/>
                </w:tcPr>
                <w:p w14:paraId="519FDD1B">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GLC-14-05</w:t>
                  </w:r>
                </w:p>
              </w:tc>
              <w:tc>
                <w:tcPr>
                  <w:tcW w:w="1432" w:type="dxa"/>
                  <w:noWrap w:val="0"/>
                  <w:vAlign w:val="center"/>
                </w:tcPr>
                <w:p w14:paraId="0AA32D2F">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p>
              </w:tc>
              <w:tc>
                <w:tcPr>
                  <w:tcW w:w="2190" w:type="dxa"/>
                  <w:noWrap w:val="0"/>
                  <w:vAlign w:val="center"/>
                </w:tcPr>
                <w:p w14:paraId="77DD0AA7">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输送</w:t>
                  </w:r>
                </w:p>
              </w:tc>
            </w:tr>
            <w:tr w14:paraId="5FF1D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45639A99">
                  <w:pPr>
                    <w:adjustRightInd w:val="0"/>
                    <w:snapToGrid w:val="0"/>
                    <w:jc w:val="cente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9</w:t>
                  </w:r>
                </w:p>
              </w:tc>
              <w:tc>
                <w:tcPr>
                  <w:tcW w:w="1929" w:type="dxa"/>
                  <w:noWrap w:val="0"/>
                  <w:vAlign w:val="center"/>
                </w:tcPr>
                <w:p w14:paraId="4DA02E49">
                  <w:pPr>
                    <w:adjustRightInd w:val="0"/>
                    <w:snapToGrid w:val="0"/>
                    <w:jc w:val="center"/>
                    <w:rPr>
                      <w:rFonts w:hint="eastAsia" w:ascii="宋体" w:hAnsi="宋体" w:eastAsia="宋体" w:cs="宋体"/>
                      <w:b w:val="0"/>
                      <w:bCs w:val="0"/>
                      <w:color w:val="000000" w:themeColor="text1"/>
                      <w:szCs w:val="21"/>
                      <w:highlight w:val="none"/>
                      <w:lang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三破上料皮带机</w:t>
                  </w:r>
                </w:p>
              </w:tc>
              <w:tc>
                <w:tcPr>
                  <w:tcW w:w="2081" w:type="dxa"/>
                  <w:noWrap w:val="0"/>
                  <w:vAlign w:val="center"/>
                </w:tcPr>
                <w:p w14:paraId="481FB246">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GLC-14-08</w:t>
                  </w:r>
                </w:p>
              </w:tc>
              <w:tc>
                <w:tcPr>
                  <w:tcW w:w="1432" w:type="dxa"/>
                  <w:noWrap w:val="0"/>
                  <w:vAlign w:val="center"/>
                </w:tcPr>
                <w:p w14:paraId="4B3AFF2A">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p>
              </w:tc>
              <w:tc>
                <w:tcPr>
                  <w:tcW w:w="2190" w:type="dxa"/>
                  <w:noWrap w:val="0"/>
                  <w:vAlign w:val="center"/>
                </w:tcPr>
                <w:p w14:paraId="61EF271E">
                  <w:pPr>
                    <w:adjustRightInd w:val="0"/>
                    <w:snapToGrid w:val="0"/>
                    <w:jc w:val="center"/>
                    <w:rPr>
                      <w:rFonts w:hint="default" w:ascii="Times New Roman" w:hAnsi="Times New Roman" w:eastAsia="宋体" w:cs="Times New Roman"/>
                      <w:b w:val="0"/>
                      <w:bC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含磁滚筒，磁选</w:t>
                  </w:r>
                </w:p>
              </w:tc>
            </w:tr>
            <w:tr w14:paraId="60181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5038B096">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10</w:t>
                  </w:r>
                </w:p>
              </w:tc>
              <w:tc>
                <w:tcPr>
                  <w:tcW w:w="1929" w:type="dxa"/>
                  <w:noWrap w:val="0"/>
                  <w:vAlign w:val="center"/>
                </w:tcPr>
                <w:p w14:paraId="56BE36CD">
                  <w:pPr>
                    <w:adjustRightInd w:val="0"/>
                    <w:snapToGrid w:val="0"/>
                    <w:jc w:val="center"/>
                    <w:rPr>
                      <w:rFonts w:hint="eastAsia" w:ascii="宋体" w:hAnsi="宋体" w:eastAsia="宋体" w:cs="宋体"/>
                      <w:b w:val="0"/>
                      <w:bCs w:val="0"/>
                      <w:color w:val="000000" w:themeColor="text1"/>
                      <w:szCs w:val="21"/>
                      <w:highlight w:val="none"/>
                      <w14:textFill>
                        <w14:solidFill>
                          <w14:schemeClr w14:val="tx1"/>
                        </w14:solidFill>
                      </w14:textFill>
                    </w:rPr>
                  </w:pPr>
                  <w:r>
                    <w:rPr>
                      <w:rFonts w:hint="eastAsia" w:ascii="宋体" w:hAnsi="宋体" w:eastAsia="宋体" w:cs="宋体"/>
                      <w:b w:val="0"/>
                      <w:bCs w:val="0"/>
                      <w:color w:val="000000" w:themeColor="text1"/>
                      <w:szCs w:val="21"/>
                      <w:highlight w:val="none"/>
                      <w14:textFill>
                        <w14:solidFill>
                          <w14:schemeClr w14:val="tx1"/>
                        </w14:solidFill>
                      </w14:textFill>
                    </w:rPr>
                    <w:t>三破撕碎机</w:t>
                  </w:r>
                </w:p>
              </w:tc>
              <w:tc>
                <w:tcPr>
                  <w:tcW w:w="2081" w:type="dxa"/>
                  <w:noWrap w:val="0"/>
                  <w:vAlign w:val="center"/>
                </w:tcPr>
                <w:p w14:paraId="70763853">
                  <w:pPr>
                    <w:adjustRightInd w:val="0"/>
                    <w:snapToGrid w:val="0"/>
                    <w:jc w:val="center"/>
                    <w:rPr>
                      <w:rFonts w:hint="eastAsia" w:ascii="Times New Roman" w:hAnsi="Times New Roman" w:eastAsia="宋体" w:cs="Times New Roman"/>
                      <w:b w:val="0"/>
                      <w:bC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GLS-16-03</w:t>
                  </w:r>
                </w:p>
              </w:tc>
              <w:tc>
                <w:tcPr>
                  <w:tcW w:w="1432" w:type="dxa"/>
                  <w:noWrap w:val="0"/>
                  <w:vAlign w:val="center"/>
                </w:tcPr>
                <w:p w14:paraId="3100E26C">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p>
              </w:tc>
              <w:tc>
                <w:tcPr>
                  <w:tcW w:w="2190" w:type="dxa"/>
                  <w:noWrap w:val="0"/>
                  <w:vAlign w:val="center"/>
                </w:tcPr>
                <w:p w14:paraId="21BE6C1A">
                  <w:pPr>
                    <w:adjustRightInd w:val="0"/>
                    <w:snapToGrid w:val="0"/>
                    <w:jc w:val="center"/>
                    <w:rPr>
                      <w:rFonts w:hint="default" w:ascii="Times New Roman" w:hAnsi="Times New Roman" w:eastAsia="宋体" w:cs="Times New Roman"/>
                      <w:b w:val="0"/>
                      <w:bCs w:val="0"/>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26-29齿，破碎工序</w:t>
                  </w:r>
                </w:p>
              </w:tc>
            </w:tr>
            <w:tr w14:paraId="2CD84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6E0A93E7">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11</w:t>
                  </w:r>
                </w:p>
              </w:tc>
              <w:tc>
                <w:tcPr>
                  <w:tcW w:w="1929" w:type="dxa"/>
                  <w:noWrap w:val="0"/>
                  <w:vAlign w:val="center"/>
                </w:tcPr>
                <w:p w14:paraId="63BFD280">
                  <w:pPr>
                    <w:adjustRightInd w:val="0"/>
                    <w:snapToGrid w:val="0"/>
                    <w:jc w:val="center"/>
                    <w:rPr>
                      <w:rFonts w:hint="eastAsia" w:ascii="宋体" w:hAnsi="宋体" w:eastAsia="宋体" w:cs="宋体"/>
                      <w:b w:val="0"/>
                      <w:bCs w:val="0"/>
                      <w:color w:val="000000" w:themeColor="text1"/>
                      <w:szCs w:val="21"/>
                      <w:highlight w:val="none"/>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三破下料皮带机</w:t>
                  </w:r>
                </w:p>
              </w:tc>
              <w:tc>
                <w:tcPr>
                  <w:tcW w:w="2081" w:type="dxa"/>
                  <w:noWrap w:val="0"/>
                  <w:vAlign w:val="center"/>
                </w:tcPr>
                <w:p w14:paraId="1A47698D">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GLC-14-08</w:t>
                  </w:r>
                </w:p>
              </w:tc>
              <w:tc>
                <w:tcPr>
                  <w:tcW w:w="1432" w:type="dxa"/>
                  <w:noWrap w:val="0"/>
                  <w:vAlign w:val="center"/>
                </w:tcPr>
                <w:p w14:paraId="4E3211F2">
                  <w:pPr>
                    <w:adjustRightInd w:val="0"/>
                    <w:snapToGrid w:val="0"/>
                    <w:jc w:val="cente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1</w:t>
                  </w:r>
                </w:p>
              </w:tc>
              <w:tc>
                <w:tcPr>
                  <w:tcW w:w="2190" w:type="dxa"/>
                  <w:noWrap w:val="0"/>
                  <w:vAlign w:val="center"/>
                </w:tcPr>
                <w:p w14:paraId="0EB38112">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输送</w:t>
                  </w:r>
                </w:p>
              </w:tc>
            </w:tr>
            <w:tr w14:paraId="0F172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4837321">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12</w:t>
                  </w:r>
                </w:p>
              </w:tc>
              <w:tc>
                <w:tcPr>
                  <w:tcW w:w="1929" w:type="dxa"/>
                  <w:noWrap w:val="0"/>
                  <w:vAlign w:val="center"/>
                </w:tcPr>
                <w:p w14:paraId="3F351D5D">
                  <w:pPr>
                    <w:adjustRightInd w:val="0"/>
                    <w:snapToGrid w:val="0"/>
                    <w:jc w:val="cente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磁选出料皮带机</w:t>
                  </w:r>
                </w:p>
              </w:tc>
              <w:tc>
                <w:tcPr>
                  <w:tcW w:w="2081" w:type="dxa"/>
                  <w:noWrap w:val="0"/>
                  <w:vAlign w:val="center"/>
                </w:tcPr>
                <w:p w14:paraId="3E56DA79">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GLC-08-06</w:t>
                  </w:r>
                </w:p>
              </w:tc>
              <w:tc>
                <w:tcPr>
                  <w:tcW w:w="1432" w:type="dxa"/>
                  <w:noWrap w:val="0"/>
                  <w:vAlign w:val="center"/>
                </w:tcPr>
                <w:p w14:paraId="5E00BC6F">
                  <w:pPr>
                    <w:adjustRightInd w:val="0"/>
                    <w:snapToGrid w:val="0"/>
                    <w:jc w:val="cente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2</w:t>
                  </w:r>
                </w:p>
              </w:tc>
              <w:tc>
                <w:tcPr>
                  <w:tcW w:w="2190" w:type="dxa"/>
                  <w:noWrap w:val="0"/>
                  <w:vAlign w:val="center"/>
                </w:tcPr>
                <w:p w14:paraId="1E4002B8">
                  <w:pPr>
                    <w:adjustRightInd w:val="0"/>
                    <w:snapToGrid w:val="0"/>
                    <w:jc w:val="cente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输送，两次磁选出料</w:t>
                  </w:r>
                </w:p>
              </w:tc>
            </w:tr>
            <w:tr w14:paraId="5FFCA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34768DA3">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13</w:t>
                  </w:r>
                </w:p>
              </w:tc>
              <w:tc>
                <w:tcPr>
                  <w:tcW w:w="1929" w:type="dxa"/>
                  <w:noWrap w:val="0"/>
                  <w:vAlign w:val="center"/>
                </w:tcPr>
                <w:p w14:paraId="316DA799">
                  <w:pPr>
                    <w:adjustRightInd w:val="0"/>
                    <w:snapToGrid w:val="0"/>
                    <w:jc w:val="cente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叉车夹抱机</w:t>
                  </w:r>
                  <w:r>
                    <w:rPr>
                      <w:rFonts w:hint="eastAsia" w:ascii="宋体" w:hAnsi="宋体" w:cs="宋体"/>
                      <w:b w:val="0"/>
                      <w:bCs w:val="0"/>
                      <w:color w:val="000000" w:themeColor="text1"/>
                      <w:szCs w:val="21"/>
                      <w:highlight w:val="none"/>
                      <w:lang w:val="en-US" w:eastAsia="zh-CN"/>
                      <w14:textFill>
                        <w14:solidFill>
                          <w14:schemeClr w14:val="tx1"/>
                        </w14:solidFill>
                      </w14:textFill>
                    </w:rPr>
                    <w:t>（电车）</w:t>
                  </w:r>
                </w:p>
              </w:tc>
              <w:tc>
                <w:tcPr>
                  <w:tcW w:w="2081" w:type="dxa"/>
                  <w:noWrap w:val="0"/>
                  <w:vAlign w:val="center"/>
                </w:tcPr>
                <w:p w14:paraId="31DFC69C">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highlight w:val="none"/>
                      <w:lang w:val="en-US" w:eastAsia="zh-CN"/>
                      <w14:textFill>
                        <w14:solidFill>
                          <w14:schemeClr w14:val="tx1"/>
                        </w14:solidFill>
                      </w14:textFill>
                    </w:rPr>
                    <w:t>承重</w:t>
                  </w:r>
                  <w:r>
                    <w:rPr>
                      <w:rFonts w:hint="default" w:ascii="Times New Roman" w:hAnsi="Times New Roman" w:eastAsia="宋体" w:cs="Times New Roman"/>
                      <w:b w:val="0"/>
                      <w:bCs w:val="0"/>
                      <w:color w:val="000000" w:themeColor="text1"/>
                      <w:highlight w:val="none"/>
                      <w:lang w:val="en-US" w:eastAsia="zh-CN"/>
                      <w14:textFill>
                        <w14:solidFill>
                          <w14:schemeClr w14:val="tx1"/>
                        </w14:solidFill>
                      </w14:textFill>
                    </w:rPr>
                    <w:t>3吨</w:t>
                  </w:r>
                </w:p>
              </w:tc>
              <w:tc>
                <w:tcPr>
                  <w:tcW w:w="1432" w:type="dxa"/>
                  <w:noWrap w:val="0"/>
                  <w:vAlign w:val="center"/>
                </w:tcPr>
                <w:p w14:paraId="09E3BD0F">
                  <w:pPr>
                    <w:adjustRightInd w:val="0"/>
                    <w:snapToGrid w:val="0"/>
                    <w:jc w:val="cente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2</w:t>
                  </w:r>
                </w:p>
              </w:tc>
              <w:tc>
                <w:tcPr>
                  <w:tcW w:w="2190" w:type="dxa"/>
                  <w:noWrap w:val="0"/>
                  <w:vAlign w:val="center"/>
                </w:tcPr>
                <w:p w14:paraId="3C39807C">
                  <w:pPr>
                    <w:adjustRightInd w:val="0"/>
                    <w:snapToGrid w:val="0"/>
                    <w:jc w:val="cente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打包工序</w:t>
                  </w:r>
                </w:p>
              </w:tc>
            </w:tr>
            <w:tr w14:paraId="13817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15E3ED1">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14</w:t>
                  </w:r>
                </w:p>
              </w:tc>
              <w:tc>
                <w:tcPr>
                  <w:tcW w:w="1929" w:type="dxa"/>
                  <w:noWrap w:val="0"/>
                  <w:vAlign w:val="center"/>
                </w:tcPr>
                <w:p w14:paraId="55AEC6E4">
                  <w:pPr>
                    <w:adjustRightInd w:val="0"/>
                    <w:snapToGrid w:val="0"/>
                    <w:jc w:val="cente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行车抓斗</w:t>
                  </w:r>
                </w:p>
              </w:tc>
              <w:tc>
                <w:tcPr>
                  <w:tcW w:w="2081" w:type="dxa"/>
                  <w:noWrap w:val="0"/>
                  <w:vAlign w:val="center"/>
                </w:tcPr>
                <w:p w14:paraId="747A257A">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highlight w:val="none"/>
                      <w:lang w:val="en-US" w:eastAsia="zh-CN"/>
                      <w14:textFill>
                        <w14:solidFill>
                          <w14:schemeClr w14:val="tx1"/>
                        </w14:solidFill>
                      </w14:textFill>
                    </w:rPr>
                    <w:t>/</w:t>
                  </w:r>
                </w:p>
              </w:tc>
              <w:tc>
                <w:tcPr>
                  <w:tcW w:w="1432" w:type="dxa"/>
                  <w:noWrap w:val="0"/>
                  <w:vAlign w:val="center"/>
                </w:tcPr>
                <w:p w14:paraId="61BE6BA5">
                  <w:pPr>
                    <w:adjustRightInd w:val="0"/>
                    <w:snapToGrid w:val="0"/>
                    <w:jc w:val="cente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p>
              </w:tc>
              <w:tc>
                <w:tcPr>
                  <w:tcW w:w="2190" w:type="dxa"/>
                  <w:noWrap w:val="0"/>
                  <w:vAlign w:val="center"/>
                </w:tcPr>
                <w:p w14:paraId="6AEF55F4">
                  <w:pPr>
                    <w:adjustRightInd w:val="0"/>
                    <w:snapToGrid w:val="0"/>
                    <w:jc w:val="cente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上料工序</w:t>
                  </w:r>
                </w:p>
              </w:tc>
            </w:tr>
            <w:tr w14:paraId="596C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2D0964B9">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r>
                    <w:rPr>
                      <w:rFonts w:hint="eastAsia" w:cs="Times New Roman"/>
                      <w:b w:val="0"/>
                      <w:bCs w:val="0"/>
                      <w:color w:val="000000" w:themeColor="text1"/>
                      <w:szCs w:val="21"/>
                      <w:highlight w:val="none"/>
                      <w:lang w:val="en-US" w:eastAsia="zh-CN"/>
                      <w14:textFill>
                        <w14:solidFill>
                          <w14:schemeClr w14:val="tx1"/>
                        </w14:solidFill>
                      </w14:textFill>
                    </w:rPr>
                    <w:t>5</w:t>
                  </w:r>
                </w:p>
              </w:tc>
              <w:tc>
                <w:tcPr>
                  <w:tcW w:w="1929" w:type="dxa"/>
                  <w:noWrap w:val="0"/>
                  <w:vAlign w:val="center"/>
                </w:tcPr>
                <w:p w14:paraId="659C2292">
                  <w:pPr>
                    <w:autoSpaceDE w:val="0"/>
                    <w:autoSpaceDN w:val="0"/>
                    <w:adjustRightIn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抓机</w:t>
                  </w:r>
                </w:p>
              </w:tc>
              <w:tc>
                <w:tcPr>
                  <w:tcW w:w="2081" w:type="dxa"/>
                  <w:noWrap w:val="0"/>
                  <w:vAlign w:val="center"/>
                </w:tcPr>
                <w:p w14:paraId="2414C2AA">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highlight w:val="none"/>
                      <w:lang w:val="en-US" w:eastAsia="zh-CN"/>
                      <w14:textFill>
                        <w14:solidFill>
                          <w14:schemeClr w14:val="tx1"/>
                        </w14:solidFill>
                      </w14:textFill>
                    </w:rPr>
                    <w:t>/</w:t>
                  </w:r>
                </w:p>
              </w:tc>
              <w:tc>
                <w:tcPr>
                  <w:tcW w:w="1432" w:type="dxa"/>
                  <w:noWrap w:val="0"/>
                  <w:vAlign w:val="center"/>
                </w:tcPr>
                <w:p w14:paraId="061D5BFB">
                  <w:pPr>
                    <w:adjustRightInd w:val="0"/>
                    <w:snapToGrid w:val="0"/>
                    <w:jc w:val="center"/>
                    <w:rPr>
                      <w:rFonts w:hint="default" w:ascii="Times New Roman" w:hAnsi="Times New Roman" w:eastAsia="宋体" w:cs="Times New Roman"/>
                      <w:b w:val="0"/>
                      <w:bCs w:val="0"/>
                      <w:color w:val="000000" w:themeColor="text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Cs w:val="21"/>
                      <w:highlight w:val="none"/>
                      <w14:textFill>
                        <w14:solidFill>
                          <w14:schemeClr w14:val="tx1"/>
                        </w14:solidFill>
                      </w14:textFill>
                    </w:rPr>
                    <w:t>1</w:t>
                  </w:r>
                </w:p>
              </w:tc>
              <w:tc>
                <w:tcPr>
                  <w:tcW w:w="2190" w:type="dxa"/>
                  <w:noWrap w:val="0"/>
                  <w:vAlign w:val="center"/>
                </w:tcPr>
                <w:p w14:paraId="0421BD13">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原料转移</w:t>
                  </w:r>
                </w:p>
              </w:tc>
            </w:tr>
            <w:tr w14:paraId="54050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32FE1C9B">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r>
                    <w:rPr>
                      <w:rFonts w:hint="eastAsia" w:cs="Times New Roman"/>
                      <w:b w:val="0"/>
                      <w:bCs w:val="0"/>
                      <w:color w:val="000000" w:themeColor="text1"/>
                      <w:szCs w:val="21"/>
                      <w:highlight w:val="none"/>
                      <w:lang w:val="en-US" w:eastAsia="zh-CN"/>
                      <w14:textFill>
                        <w14:solidFill>
                          <w14:schemeClr w14:val="tx1"/>
                        </w14:solidFill>
                      </w14:textFill>
                    </w:rPr>
                    <w:t>6</w:t>
                  </w:r>
                </w:p>
              </w:tc>
              <w:tc>
                <w:tcPr>
                  <w:tcW w:w="1929" w:type="dxa"/>
                  <w:noWrap w:val="0"/>
                  <w:vAlign w:val="center"/>
                </w:tcPr>
                <w:p w14:paraId="13F83428">
                  <w:pPr>
                    <w:autoSpaceDE w:val="0"/>
                    <w:autoSpaceDN w:val="0"/>
                    <w:adjustRightInd w:val="0"/>
                    <w:jc w:val="cente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cs="宋体"/>
                      <w:b w:val="0"/>
                      <w:bCs w:val="0"/>
                      <w:color w:val="000000" w:themeColor="text1"/>
                      <w:szCs w:val="21"/>
                      <w:highlight w:val="none"/>
                      <w:lang w:val="en-US" w:eastAsia="zh-CN"/>
                      <w14:textFill>
                        <w14:solidFill>
                          <w14:schemeClr w14:val="tx1"/>
                        </w14:solidFill>
                      </w14:textFill>
                    </w:rPr>
                    <w:t>袋式</w:t>
                  </w: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除尘器</w:t>
                  </w:r>
                </w:p>
              </w:tc>
              <w:tc>
                <w:tcPr>
                  <w:tcW w:w="2081" w:type="dxa"/>
                  <w:noWrap w:val="0"/>
                  <w:vAlign w:val="center"/>
                </w:tcPr>
                <w:p w14:paraId="42DD195C">
                  <w:pPr>
                    <w:adjustRightInd w:val="0"/>
                    <w:snapToGrid w:val="0"/>
                    <w:jc w:val="center"/>
                    <w:rPr>
                      <w:rFonts w:hint="default" w:ascii="Times New Roman" w:hAnsi="Times New Roman" w:eastAsia="宋体" w:cs="Times New Roman"/>
                      <w:b w:val="0"/>
                      <w:bCs w:val="0"/>
                      <w:color w:val="000000" w:themeColor="text1"/>
                      <w:highlight w:val="none"/>
                      <w:lang w:val="en-US" w:eastAsia="zh-CN"/>
                      <w14:textFill>
                        <w14:solidFill>
                          <w14:schemeClr w14:val="tx1"/>
                        </w14:solidFill>
                      </w14:textFill>
                    </w:rPr>
                  </w:pPr>
                  <w:r>
                    <w:rPr>
                      <w:rFonts w:hint="eastAsia" w:cs="Times New Roman"/>
                      <w:b w:val="0"/>
                      <w:bCs w:val="0"/>
                      <w:color w:val="000000" w:themeColor="text1"/>
                      <w:highlight w:val="none"/>
                      <w:lang w:val="en-US" w:eastAsia="zh-CN"/>
                      <w14:textFill>
                        <w14:solidFill>
                          <w14:schemeClr w14:val="tx1"/>
                        </w14:solidFill>
                      </w14:textFill>
                    </w:rPr>
                    <w:t>/</w:t>
                  </w:r>
                </w:p>
              </w:tc>
              <w:tc>
                <w:tcPr>
                  <w:tcW w:w="1432" w:type="dxa"/>
                  <w:noWrap w:val="0"/>
                  <w:vAlign w:val="center"/>
                </w:tcPr>
                <w:p w14:paraId="25202228">
                  <w:pPr>
                    <w:adjustRightInd w:val="0"/>
                    <w:snapToGrid w:val="0"/>
                    <w:jc w:val="cente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Cs w:val="21"/>
                      <w:highlight w:val="none"/>
                      <w:lang w:val="en-US" w:eastAsia="zh-CN"/>
                      <w14:textFill>
                        <w14:solidFill>
                          <w14:schemeClr w14:val="tx1"/>
                        </w14:solidFill>
                      </w14:textFill>
                    </w:rPr>
                    <w:t>1</w:t>
                  </w:r>
                </w:p>
              </w:tc>
              <w:tc>
                <w:tcPr>
                  <w:tcW w:w="2190" w:type="dxa"/>
                  <w:vMerge w:val="restart"/>
                  <w:noWrap w:val="0"/>
                  <w:vAlign w:val="center"/>
                </w:tcPr>
                <w:p w14:paraId="0BAA44CA">
                  <w:pPr>
                    <w:adjustRightInd w:val="0"/>
                    <w:snapToGrid w:val="0"/>
                    <w:jc w:val="cente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废气治理</w:t>
                  </w:r>
                </w:p>
              </w:tc>
            </w:tr>
            <w:tr w14:paraId="571E0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6" w:type="dxa"/>
                  <w:noWrap w:val="0"/>
                  <w:vAlign w:val="center"/>
                </w:tcPr>
                <w:p w14:paraId="608BE5CA">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17</w:t>
                  </w:r>
                </w:p>
              </w:tc>
              <w:tc>
                <w:tcPr>
                  <w:tcW w:w="1929" w:type="dxa"/>
                  <w:noWrap w:val="0"/>
                  <w:vAlign w:val="center"/>
                </w:tcPr>
                <w:p w14:paraId="5C902E69">
                  <w:pPr>
                    <w:autoSpaceDE w:val="0"/>
                    <w:autoSpaceDN w:val="0"/>
                    <w:adjustRightInd w:val="0"/>
                    <w:jc w:val="center"/>
                    <w:rPr>
                      <w:rFonts w:hint="default"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cs="宋体"/>
                      <w:b w:val="0"/>
                      <w:bCs w:val="0"/>
                      <w:color w:val="000000" w:themeColor="text1"/>
                      <w:szCs w:val="21"/>
                      <w:highlight w:val="none"/>
                      <w:lang w:val="en-US" w:eastAsia="zh-CN"/>
                      <w14:textFill>
                        <w14:solidFill>
                          <w14:schemeClr w14:val="tx1"/>
                        </w14:solidFill>
                      </w14:textFill>
                    </w:rPr>
                    <w:t>风机</w:t>
                  </w:r>
                </w:p>
              </w:tc>
              <w:tc>
                <w:tcPr>
                  <w:tcW w:w="2081" w:type="dxa"/>
                  <w:noWrap w:val="0"/>
                  <w:vAlign w:val="center"/>
                </w:tcPr>
                <w:p w14:paraId="39AD81D5">
                  <w:pPr>
                    <w:adjustRightInd w:val="0"/>
                    <w:snapToGrid w:val="0"/>
                    <w:jc w:val="center"/>
                    <w:rPr>
                      <w:rFonts w:hint="eastAsia" w:ascii="Times New Roman" w:hAnsi="Times New Roman" w:eastAsia="宋体" w:cs="Times New Roman"/>
                      <w:b w:val="0"/>
                      <w:bC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highlight w:val="none"/>
                      <w:lang w:val="en-US" w:eastAsia="zh-CN"/>
                      <w14:textFill>
                        <w14:solidFill>
                          <w14:schemeClr w14:val="tx1"/>
                        </w14:solidFill>
                      </w14:textFill>
                    </w:rPr>
                    <w:t>风量</w:t>
                  </w:r>
                  <w:r>
                    <w:rPr>
                      <w:rFonts w:hint="eastAsia" w:cs="Times New Roman"/>
                      <w:b w:val="0"/>
                      <w:bCs w:val="0"/>
                      <w:color w:val="000000" w:themeColor="text1"/>
                      <w:highlight w:val="none"/>
                      <w:lang w:val="en-US" w:eastAsia="zh-CN"/>
                      <w14:textFill>
                        <w14:solidFill>
                          <w14:schemeClr w14:val="tx1"/>
                        </w14:solidFill>
                      </w14:textFill>
                    </w:rPr>
                    <w:t>10000m</w:t>
                  </w:r>
                  <w:r>
                    <w:rPr>
                      <w:rFonts w:hint="eastAsia" w:cs="Times New Roman"/>
                      <w:b w:val="0"/>
                      <w:bCs w:val="0"/>
                      <w:color w:val="000000" w:themeColor="text1"/>
                      <w:highlight w:val="none"/>
                      <w:vertAlign w:val="superscript"/>
                      <w:lang w:val="en-US" w:eastAsia="zh-CN"/>
                      <w14:textFill>
                        <w14:solidFill>
                          <w14:schemeClr w14:val="tx1"/>
                        </w14:solidFill>
                      </w14:textFill>
                    </w:rPr>
                    <w:t>3</w:t>
                  </w:r>
                  <w:r>
                    <w:rPr>
                      <w:rFonts w:hint="eastAsia" w:cs="Times New Roman"/>
                      <w:b w:val="0"/>
                      <w:bCs w:val="0"/>
                      <w:color w:val="000000" w:themeColor="text1"/>
                      <w:highlight w:val="none"/>
                      <w:lang w:val="en-US" w:eastAsia="zh-CN"/>
                      <w14:textFill>
                        <w14:solidFill>
                          <w14:schemeClr w14:val="tx1"/>
                        </w14:solidFill>
                      </w14:textFill>
                    </w:rPr>
                    <w:t>/h</w:t>
                  </w:r>
                </w:p>
              </w:tc>
              <w:tc>
                <w:tcPr>
                  <w:tcW w:w="1432" w:type="dxa"/>
                  <w:noWrap w:val="0"/>
                  <w:vAlign w:val="center"/>
                </w:tcPr>
                <w:p w14:paraId="547AECDF">
                  <w:pPr>
                    <w:adjustRightInd w:val="0"/>
                    <w:snapToGrid w:val="0"/>
                    <w:jc w:val="cente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1</w:t>
                  </w:r>
                </w:p>
              </w:tc>
              <w:tc>
                <w:tcPr>
                  <w:tcW w:w="2190" w:type="dxa"/>
                  <w:vMerge w:val="continue"/>
                  <w:noWrap w:val="0"/>
                  <w:vAlign w:val="center"/>
                </w:tcPr>
                <w:p w14:paraId="6FA0B77A">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p>
              </w:tc>
            </w:tr>
          </w:tbl>
          <w:p w14:paraId="0F212402">
            <w:pPr>
              <w:numPr>
                <w:ilvl w:val="0"/>
                <w:numId w:val="0"/>
              </w:numPr>
              <w:adjustRightInd w:val="0"/>
              <w:snapToGrid w:val="0"/>
              <w:spacing w:line="360" w:lineRule="auto"/>
              <w:jc w:val="both"/>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pPr>
            <w:r>
              <w:rPr>
                <w:rFonts w:hint="eastAsia" w:cs="Times New Roman"/>
                <w:b/>
                <w:bCs/>
                <w:color w:val="000000" w:themeColor="text1"/>
                <w:kern w:val="2"/>
                <w:sz w:val="24"/>
                <w:szCs w:val="24"/>
                <w:highlight w:val="none"/>
                <w:lang w:val="en-US" w:eastAsia="zh-CN" w:bidi="ar-SA"/>
                <w14:textFill>
                  <w14:solidFill>
                    <w14:schemeClr w14:val="tx1"/>
                  </w14:solidFill>
                </w14:textFill>
              </w:rPr>
              <w:t>7</w:t>
            </w: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t>公用工程</w:t>
            </w:r>
          </w:p>
          <w:p w14:paraId="0F59B135">
            <w:pPr>
              <w:numPr>
                <w:ilvl w:val="0"/>
                <w:numId w:val="0"/>
              </w:numPr>
              <w:adjustRightInd w:val="0"/>
              <w:snapToGrid w:val="0"/>
              <w:spacing w:line="360" w:lineRule="auto"/>
              <w:jc w:val="both"/>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kern w:val="2"/>
                <w:sz w:val="24"/>
                <w:szCs w:val="24"/>
                <w:highlight w:val="none"/>
                <w:lang w:val="en-US" w:eastAsia="zh-CN" w:bidi="ar-SA"/>
                <w14:textFill>
                  <w14:solidFill>
                    <w14:schemeClr w14:val="tx1"/>
                  </w14:solidFill>
                </w14:textFill>
              </w:rPr>
              <w:t>（1）</w:t>
            </w:r>
            <w: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t>给水</w:t>
            </w:r>
          </w:p>
          <w:p w14:paraId="5F515858">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4"/>
                <w:szCs w:val="24"/>
                <w:highlight w:val="none"/>
                <w:lang w:val="en-US" w:eastAsia="zh-CN"/>
                <w14:textFill>
                  <w14:solidFill>
                    <w14:schemeClr w14:val="tx1"/>
                  </w14:solidFill>
                </w14:textFill>
              </w:rPr>
              <w:t>本项目给水由市政供水管网供给，主要为生活用水。</w:t>
            </w:r>
          </w:p>
          <w:p w14:paraId="3631DA2D">
            <w:pPr>
              <w:numPr>
                <w:ilvl w:val="0"/>
                <w:numId w:val="0"/>
              </w:numPr>
              <w:adjustRightInd w:val="0"/>
              <w:snapToGrid w:val="0"/>
              <w:spacing w:line="360" w:lineRule="auto"/>
              <w:ind w:firstLine="480" w:firstLineChars="200"/>
              <w:jc w:val="both"/>
              <w:rPr>
                <w:rFonts w:hint="default" w:ascii="Times New Roman" w:hAnsi="Times New Roman" w:eastAsia="宋体" w:cs="Times New Roman"/>
                <w:color w:val="000000" w:themeColor="text1"/>
                <w:kern w:val="0"/>
                <w:sz w:val="24"/>
                <w:szCs w:val="22"/>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4"/>
                <w:szCs w:val="24"/>
                <w:highlight w:val="none"/>
                <w:lang w:val="en-US" w:eastAsia="zh-CN"/>
                <w14:textFill>
                  <w14:solidFill>
                    <w14:schemeClr w14:val="tx1"/>
                  </w14:solidFill>
                </w14:textFill>
              </w:rPr>
              <w:t>项目劳动定员为</w:t>
            </w:r>
            <w:r>
              <w:rPr>
                <w:rFonts w:hint="eastAsia" w:ascii="Times New Roman" w:hAnsi="Times New Roman" w:cs="Times New Roman"/>
                <w:b w:val="0"/>
                <w:bCs/>
                <w:color w:val="000000" w:themeColor="text1"/>
                <w:sz w:val="24"/>
                <w:szCs w:val="24"/>
                <w:highlight w:val="none"/>
                <w:lang w:val="en-US" w:eastAsia="zh-CN"/>
                <w14:textFill>
                  <w14:solidFill>
                    <w14:schemeClr w14:val="tx1"/>
                  </w14:solidFill>
                </w14:textFill>
              </w:rPr>
              <w:t>20</w:t>
            </w:r>
            <w:r>
              <w:rPr>
                <w:rFonts w:hint="default" w:ascii="Times New Roman" w:hAnsi="Times New Roman" w:cs="Times New Roman"/>
                <w:b w:val="0"/>
                <w:bCs/>
                <w:color w:val="000000" w:themeColor="text1"/>
                <w:sz w:val="24"/>
                <w:szCs w:val="24"/>
                <w:highlight w:val="none"/>
                <w:lang w:val="en-US" w:eastAsia="zh-CN"/>
                <w14:textFill>
                  <w14:solidFill>
                    <w14:schemeClr w14:val="tx1"/>
                  </w14:solidFill>
                </w14:textFill>
              </w:rPr>
              <w:t>人，厂区内不提供食宿，年工作</w:t>
            </w:r>
            <w:r>
              <w:rPr>
                <w:rFonts w:hint="eastAsia" w:ascii="Times New Roman" w:hAnsi="Times New Roman" w:cs="Times New Roman"/>
                <w:b w:val="0"/>
                <w:bCs/>
                <w:color w:val="000000" w:themeColor="text1"/>
                <w:sz w:val="24"/>
                <w:szCs w:val="24"/>
                <w:highlight w:val="none"/>
                <w:lang w:val="en-US" w:eastAsia="zh-CN"/>
                <w14:textFill>
                  <w14:solidFill>
                    <w14:schemeClr w14:val="tx1"/>
                  </w14:solidFill>
                </w14:textFill>
              </w:rPr>
              <w:t>330</w:t>
            </w:r>
            <w:r>
              <w:rPr>
                <w:rFonts w:hint="default" w:ascii="Times New Roman" w:hAnsi="Times New Roman" w:cs="Times New Roman"/>
                <w:b w:val="0"/>
                <w:bCs/>
                <w:color w:val="000000" w:themeColor="text1"/>
                <w:sz w:val="24"/>
                <w:szCs w:val="24"/>
                <w:highlight w:val="none"/>
                <w:lang w:val="en-US" w:eastAsia="zh-CN"/>
                <w14:textFill>
                  <w14:solidFill>
                    <w14:schemeClr w14:val="tx1"/>
                  </w14:solidFill>
                </w14:textFill>
              </w:rPr>
              <w:t>天。</w:t>
            </w:r>
            <w:r>
              <w:rPr>
                <w:rFonts w:hint="default" w:ascii="Times New Roman" w:hAnsi="Times New Roman" w:cs="Times New Roman"/>
                <w:color w:val="000000" w:themeColor="text1"/>
                <w:kern w:val="0"/>
                <w:sz w:val="24"/>
                <w:szCs w:val="22"/>
                <w:highlight w:val="none"/>
                <w14:textFill>
                  <w14:solidFill>
                    <w14:schemeClr w14:val="tx1"/>
                  </w14:solidFill>
                </w14:textFill>
              </w:rPr>
              <w:t>根据《行业用水定额》</w:t>
            </w:r>
            <w:r>
              <w:rPr>
                <w:rFonts w:hint="eastAsia" w:ascii="Times New Roman" w:hAnsi="Times New Roman" w:cs="Times New Roman"/>
                <w:color w:val="000000" w:themeColor="text1"/>
                <w:kern w:val="0"/>
                <w:sz w:val="24"/>
                <w:szCs w:val="22"/>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kern w:val="0"/>
                <w:sz w:val="24"/>
                <w:szCs w:val="22"/>
                <w:highlight w:val="none"/>
                <w14:textFill>
                  <w14:solidFill>
                    <w14:schemeClr w14:val="tx1"/>
                  </w14:solidFill>
                </w14:textFill>
              </w:rPr>
              <w:t>（DB61/T943-2020），生活用水量按行政办公</w:t>
            </w:r>
            <w:r>
              <w:rPr>
                <w:rFonts w:hint="eastAsia" w:ascii="Times New Roman" w:hAnsi="Times New Roman" w:cs="Times New Roman"/>
                <w:color w:val="000000" w:themeColor="text1"/>
                <w:kern w:val="0"/>
                <w:sz w:val="24"/>
                <w:szCs w:val="22"/>
                <w:highlight w:val="none"/>
                <w:lang w:val="en-US" w:eastAsia="zh-CN"/>
                <w14:textFill>
                  <w14:solidFill>
                    <w14:schemeClr w14:val="tx1"/>
                  </w14:solidFill>
                </w14:textFill>
              </w:rPr>
              <w:t>通用</w:t>
            </w:r>
            <w:r>
              <w:rPr>
                <w:rFonts w:hint="default" w:ascii="Times New Roman" w:hAnsi="Times New Roman" w:cs="Times New Roman"/>
                <w:color w:val="000000" w:themeColor="text1"/>
                <w:kern w:val="0"/>
                <w:sz w:val="24"/>
                <w:szCs w:val="22"/>
                <w:highlight w:val="none"/>
                <w14:textFill>
                  <w14:solidFill>
                    <w14:schemeClr w14:val="tx1"/>
                  </w14:solidFill>
                </w14:textFill>
              </w:rPr>
              <w:t>值计</w:t>
            </w:r>
            <w:r>
              <w:rPr>
                <w:rFonts w:hint="eastAsia" w:ascii="Times New Roman" w:hAnsi="Times New Roman" w:cs="Times New Roman"/>
                <w:color w:val="000000" w:themeColor="text1"/>
                <w:kern w:val="0"/>
                <w:sz w:val="24"/>
                <w:szCs w:val="22"/>
                <w:highlight w:val="none"/>
                <w:lang w:eastAsia="zh-CN"/>
                <w14:textFill>
                  <w14:solidFill>
                    <w14:schemeClr w14:val="tx1"/>
                  </w14:solidFill>
                </w14:textFill>
              </w:rPr>
              <w:t>，</w:t>
            </w:r>
            <w:r>
              <w:rPr>
                <w:rFonts w:hint="default" w:ascii="Times New Roman" w:hAnsi="Times New Roman" w:cs="Times New Roman"/>
                <w:color w:val="000000" w:themeColor="text1"/>
                <w:kern w:val="0"/>
                <w:sz w:val="24"/>
                <w:szCs w:val="22"/>
                <w:highlight w:val="none"/>
                <w14:textFill>
                  <w14:solidFill>
                    <w14:schemeClr w14:val="tx1"/>
                  </w14:solidFill>
                </w14:textFill>
              </w:rPr>
              <w:t>为</w:t>
            </w:r>
            <w:r>
              <w:rPr>
                <w:rFonts w:hint="eastAsia" w:ascii="Times New Roman" w:hAnsi="Times New Roman" w:cs="Times New Roman"/>
                <w:color w:val="000000" w:themeColor="text1"/>
                <w:kern w:val="0"/>
                <w:sz w:val="24"/>
                <w:szCs w:val="22"/>
                <w:highlight w:val="none"/>
                <w:lang w:val="en-US" w:eastAsia="zh-CN"/>
                <w14:textFill>
                  <w14:solidFill>
                    <w14:schemeClr w14:val="tx1"/>
                  </w14:solidFill>
                </w14:textFill>
              </w:rPr>
              <w:t>25</w:t>
            </w:r>
            <w:r>
              <w:rPr>
                <w:rFonts w:hint="default" w:ascii="Times New Roman" w:hAnsi="Times New Roman" w:cs="Times New Roman"/>
                <w:color w:val="000000" w:themeColor="text1"/>
                <w:kern w:val="0"/>
                <w:sz w:val="24"/>
                <w:szCs w:val="22"/>
                <w:highlight w:val="none"/>
                <w:lang w:val="en-US" w:eastAsia="zh-CN"/>
                <w14:textFill>
                  <w14:solidFill>
                    <w14:schemeClr w14:val="tx1"/>
                  </w14:solidFill>
                </w14:textFill>
              </w:rPr>
              <w:t>m</w:t>
            </w:r>
            <w:r>
              <w:rPr>
                <w:rFonts w:hint="default" w:ascii="Times New Roman" w:hAnsi="Times New Roman" w:cs="Times New Roman"/>
                <w:color w:val="000000" w:themeColor="text1"/>
                <w:kern w:val="0"/>
                <w:sz w:val="24"/>
                <w:szCs w:val="22"/>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kern w:val="0"/>
                <w:sz w:val="24"/>
                <w:szCs w:val="22"/>
                <w:highlight w:val="none"/>
                <w14:textFill>
                  <w14:solidFill>
                    <w14:schemeClr w14:val="tx1"/>
                  </w14:solidFill>
                </w14:textFill>
              </w:rPr>
              <w:t>/（人·</w:t>
            </w:r>
            <w:r>
              <w:rPr>
                <w:rFonts w:hint="default" w:ascii="Times New Roman" w:hAnsi="Times New Roman" w:cs="Times New Roman"/>
                <w:color w:val="000000" w:themeColor="text1"/>
                <w:kern w:val="0"/>
                <w:sz w:val="24"/>
                <w:szCs w:val="22"/>
                <w:highlight w:val="none"/>
                <w:lang w:val="en-US" w:eastAsia="zh-CN"/>
                <w14:textFill>
                  <w14:solidFill>
                    <w14:schemeClr w14:val="tx1"/>
                  </w14:solidFill>
                </w14:textFill>
              </w:rPr>
              <w:t>a</w:t>
            </w:r>
            <w:r>
              <w:rPr>
                <w:rFonts w:hint="default" w:ascii="Times New Roman" w:hAnsi="Times New Roman" w:cs="Times New Roman"/>
                <w:color w:val="000000" w:themeColor="text1"/>
                <w:kern w:val="0"/>
                <w:sz w:val="24"/>
                <w:szCs w:val="22"/>
                <w:highlight w:val="none"/>
                <w14:textFill>
                  <w14:solidFill>
                    <w14:schemeClr w14:val="tx1"/>
                  </w14:solidFill>
                </w14:textFill>
              </w:rPr>
              <w:t>）</w:t>
            </w:r>
            <w:r>
              <w:rPr>
                <w:rFonts w:hint="default" w:ascii="Times New Roman" w:hAnsi="Times New Roman" w:cs="Times New Roman"/>
                <w:color w:val="000000" w:themeColor="text1"/>
                <w:kern w:val="0"/>
                <w:sz w:val="24"/>
                <w:szCs w:val="22"/>
                <w:highlight w:val="none"/>
                <w:lang w:val="zh-TW"/>
                <w14:textFill>
                  <w14:solidFill>
                    <w14:schemeClr w14:val="tx1"/>
                  </w14:solidFill>
                </w14:textFill>
              </w:rPr>
              <w:t>，</w:t>
            </w:r>
            <w:r>
              <w:rPr>
                <w:rFonts w:hint="default" w:ascii="Times New Roman" w:hAnsi="Times New Roman" w:cs="Times New Roman"/>
                <w:color w:val="000000" w:themeColor="text1"/>
                <w:kern w:val="0"/>
                <w:sz w:val="24"/>
                <w:szCs w:val="22"/>
                <w:highlight w:val="none"/>
                <w:lang w:val="en-US" w:eastAsia="zh-CN"/>
                <w14:textFill>
                  <w14:solidFill>
                    <w14:schemeClr w14:val="tx1"/>
                  </w14:solidFill>
                </w14:textFill>
              </w:rPr>
              <w:t>则生活用水量为</w:t>
            </w:r>
            <w:r>
              <w:rPr>
                <w:rFonts w:hint="eastAsia" w:ascii="Times New Roman" w:hAnsi="Times New Roman" w:cs="Times New Roman"/>
                <w:color w:val="000000" w:themeColor="text1"/>
                <w:kern w:val="0"/>
                <w:sz w:val="24"/>
                <w:szCs w:val="22"/>
                <w:highlight w:val="none"/>
                <w:lang w:val="en-US" w:eastAsia="zh-CN"/>
                <w14:textFill>
                  <w14:solidFill>
                    <w14:schemeClr w14:val="tx1"/>
                  </w14:solidFill>
                </w14:textFill>
              </w:rPr>
              <w:t>1.515</w:t>
            </w:r>
            <w:r>
              <w:rPr>
                <w:rFonts w:hint="default" w:ascii="Times New Roman" w:hAnsi="Times New Roman" w:cs="Times New Roman"/>
                <w:color w:val="000000" w:themeColor="text1"/>
                <w:kern w:val="0"/>
                <w:sz w:val="24"/>
                <w:szCs w:val="22"/>
                <w:highlight w:val="none"/>
                <w14:textFill>
                  <w14:solidFill>
                    <w14:schemeClr w14:val="tx1"/>
                  </w14:solidFill>
                </w14:textFill>
              </w:rPr>
              <w:t>m</w:t>
            </w:r>
            <w:r>
              <w:rPr>
                <w:rFonts w:hint="default" w:ascii="Times New Roman" w:hAnsi="Times New Roman" w:cs="Times New Roman"/>
                <w:color w:val="000000" w:themeColor="text1"/>
                <w:kern w:val="0"/>
                <w:sz w:val="24"/>
                <w:szCs w:val="22"/>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4"/>
                <w:szCs w:val="22"/>
                <w:highlight w:val="none"/>
                <w14:textFill>
                  <w14:solidFill>
                    <w14:schemeClr w14:val="tx1"/>
                  </w14:solidFill>
                </w14:textFill>
              </w:rPr>
              <w:t>/d</w:t>
            </w:r>
            <w:r>
              <w:rPr>
                <w:rFonts w:hint="default" w:ascii="Times New Roman" w:hAnsi="Times New Roman" w:cs="Times New Roman"/>
                <w:color w:val="000000" w:themeColor="text1"/>
                <w:kern w:val="0"/>
                <w:sz w:val="24"/>
                <w:szCs w:val="22"/>
                <w:highlight w:val="none"/>
                <w:lang w:eastAsia="zh-CN"/>
                <w14:textFill>
                  <w14:solidFill>
                    <w14:schemeClr w14:val="tx1"/>
                  </w14:solidFill>
                </w14:textFill>
              </w:rPr>
              <w:t>，</w:t>
            </w:r>
            <w:r>
              <w:rPr>
                <w:rFonts w:hint="eastAsia" w:ascii="Times New Roman" w:hAnsi="Times New Roman" w:cs="Times New Roman"/>
                <w:color w:val="000000" w:themeColor="text1"/>
                <w:kern w:val="0"/>
                <w:sz w:val="24"/>
                <w:szCs w:val="22"/>
                <w:highlight w:val="none"/>
                <w:lang w:val="en-US" w:eastAsia="zh-CN"/>
                <w14:textFill>
                  <w14:solidFill>
                    <w14:schemeClr w14:val="tx1"/>
                  </w14:solidFill>
                </w14:textFill>
              </w:rPr>
              <w:t>500</w:t>
            </w:r>
            <w:r>
              <w:rPr>
                <w:rFonts w:hint="default" w:ascii="Times New Roman" w:hAnsi="Times New Roman" w:cs="Times New Roman"/>
                <w:color w:val="000000" w:themeColor="text1"/>
                <w:kern w:val="0"/>
                <w:sz w:val="24"/>
                <w:szCs w:val="22"/>
                <w:highlight w:val="none"/>
                <w14:textFill>
                  <w14:solidFill>
                    <w14:schemeClr w14:val="tx1"/>
                  </w14:solidFill>
                </w14:textFill>
              </w:rPr>
              <w:t>m</w:t>
            </w:r>
            <w:r>
              <w:rPr>
                <w:rFonts w:hint="default" w:ascii="Times New Roman" w:hAnsi="Times New Roman" w:cs="Times New Roman"/>
                <w:color w:val="000000" w:themeColor="text1"/>
                <w:kern w:val="0"/>
                <w:sz w:val="24"/>
                <w:szCs w:val="22"/>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4"/>
                <w:szCs w:val="22"/>
                <w:highlight w:val="none"/>
                <w14:textFill>
                  <w14:solidFill>
                    <w14:schemeClr w14:val="tx1"/>
                  </w14:solidFill>
                </w14:textFill>
              </w:rPr>
              <w:t>/</w:t>
            </w:r>
            <w:r>
              <w:rPr>
                <w:rFonts w:hint="default" w:ascii="Times New Roman" w:hAnsi="Times New Roman" w:eastAsia="宋体" w:cs="Times New Roman"/>
                <w:color w:val="000000" w:themeColor="text1"/>
                <w:kern w:val="0"/>
                <w:sz w:val="24"/>
                <w:szCs w:val="22"/>
                <w:highlight w:val="none"/>
                <w:lang w:val="en-US" w:eastAsia="zh-CN"/>
                <w14:textFill>
                  <w14:solidFill>
                    <w14:schemeClr w14:val="tx1"/>
                  </w14:solidFill>
                </w14:textFill>
              </w:rPr>
              <w:t>a。</w:t>
            </w:r>
          </w:p>
          <w:p w14:paraId="47EC4018">
            <w:pPr>
              <w:numPr>
                <w:ilvl w:val="0"/>
                <w:numId w:val="0"/>
              </w:numPr>
              <w:adjustRightInd w:val="0"/>
              <w:snapToGrid w:val="0"/>
              <w:spacing w:line="360" w:lineRule="auto"/>
              <w:jc w:val="both"/>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t>排水</w:t>
            </w:r>
          </w:p>
          <w:p w14:paraId="54061ABA">
            <w:pPr>
              <w:numPr>
                <w:ilvl w:val="0"/>
                <w:numId w:val="0"/>
              </w:numPr>
              <w:adjustRightInd w:val="0"/>
              <w:snapToGrid w:val="0"/>
              <w:spacing w:line="360" w:lineRule="auto"/>
              <w:ind w:firstLine="480" w:firstLineChars="200"/>
              <w:jc w:val="both"/>
              <w:rPr>
                <w:rFonts w:hint="default" w:ascii="Times New Roman" w:hAnsi="Times New Roman" w:eastAsia="宋体" w:cs="Times New Roman"/>
                <w:color w:val="000000" w:themeColor="text1"/>
                <w:kern w:val="0"/>
                <w:sz w:val="24"/>
                <w:szCs w:val="22"/>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2"/>
                <w:highlight w:val="none"/>
                <w:lang w:val="en-US" w:eastAsia="zh-CN"/>
                <w14:textFill>
                  <w14:solidFill>
                    <w14:schemeClr w14:val="tx1"/>
                  </w14:solidFill>
                </w14:textFill>
              </w:rPr>
              <w:t>排水系统采用雨污分流。</w:t>
            </w:r>
          </w:p>
          <w:p w14:paraId="406A1369">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4"/>
                <w:szCs w:val="24"/>
                <w:highlight w:val="none"/>
                <w:lang w:val="en-US" w:eastAsia="zh-CN"/>
                <w14:textFill>
                  <w14:solidFill>
                    <w14:schemeClr w14:val="tx1"/>
                  </w14:solidFill>
                </w14:textFill>
              </w:rPr>
              <w:t>本项目生活污水产生量以生活用水量的80%计，则生活污水产生量为</w:t>
            </w:r>
            <w:r>
              <w:rPr>
                <w:rFonts w:hint="eastAsia" w:ascii="Times New Roman" w:hAnsi="Times New Roman" w:cs="Times New Roman"/>
                <w:color w:val="000000" w:themeColor="text1"/>
                <w:sz w:val="24"/>
                <w:highlight w:val="none"/>
                <w:lang w:val="en-US" w:eastAsia="zh-CN"/>
                <w14:textFill>
                  <w14:solidFill>
                    <w14:schemeClr w14:val="tx1"/>
                  </w14:solidFill>
                </w14:textFill>
              </w:rPr>
              <w:t>1.212</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/d</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400</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/a</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生活污水依托</w:t>
            </w:r>
            <w:r>
              <w:rPr>
                <w:rFonts w:hint="eastAsia" w:ascii="Times New Roman" w:hAnsi="Times New Roman" w:cs="Times New Roman"/>
                <w:color w:val="000000" w:themeColor="text1"/>
                <w:sz w:val="24"/>
                <w:highlight w:val="none"/>
                <w:lang w:val="en-US" w:eastAsia="zh-CN"/>
                <w14:textFill>
                  <w14:solidFill>
                    <w14:schemeClr w14:val="tx1"/>
                  </w14:solidFill>
                </w14:textFill>
              </w:rPr>
              <w:t>陕西国坤时代科技有限公司化粪池</w:t>
            </w:r>
            <w:r>
              <w:rPr>
                <w:rFonts w:hint="default" w:ascii="Times New Roman" w:hAnsi="Times New Roman" w:cs="Times New Roman"/>
                <w:color w:val="000000" w:themeColor="text1"/>
                <w:sz w:val="24"/>
                <w:highlight w:val="none"/>
                <w:lang w:val="en-US" w:eastAsia="zh-CN"/>
                <w14:textFill>
                  <w14:solidFill>
                    <w14:schemeClr w14:val="tx1"/>
                  </w14:solidFill>
                </w14:textFill>
              </w:rPr>
              <w:t>处理后经市政污水管网，最终排入泾河新城第二污水处理厂</w:t>
            </w:r>
            <w:r>
              <w:rPr>
                <w:rFonts w:hint="eastAsia" w:ascii="Times New Roman" w:hAnsi="Times New Roman" w:cs="Times New Roman"/>
                <w:color w:val="000000" w:themeColor="text1"/>
                <w:sz w:val="24"/>
                <w:highlight w:val="none"/>
                <w:lang w:val="en-US" w:eastAsia="zh-CN"/>
                <w14:textFill>
                  <w14:solidFill>
                    <w14:schemeClr w14:val="tx1"/>
                  </w14:solidFill>
                </w14:textFill>
              </w:rPr>
              <w:t>进一步</w:t>
            </w:r>
            <w:r>
              <w:rPr>
                <w:rFonts w:hint="default" w:ascii="Times New Roman" w:hAnsi="Times New Roman" w:cs="Times New Roman"/>
                <w:color w:val="000000" w:themeColor="text1"/>
                <w:sz w:val="24"/>
                <w:highlight w:val="none"/>
                <w:lang w:val="en-US" w:eastAsia="zh-CN"/>
                <w14:textFill>
                  <w14:solidFill>
                    <w14:schemeClr w14:val="tx1"/>
                  </w14:solidFill>
                </w14:textFill>
              </w:rPr>
              <w:t>处理。</w:t>
            </w:r>
          </w:p>
          <w:p w14:paraId="014DF5D9">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项目用水、排水情况见表</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2-6，</w:t>
            </w:r>
            <w:r>
              <w:rPr>
                <w:rFonts w:hint="default"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项目水平衡图见图 2-1。</w:t>
            </w:r>
          </w:p>
          <w:p w14:paraId="118361FC">
            <w:pPr>
              <w:numPr>
                <w:ilvl w:val="0"/>
                <w:numId w:val="0"/>
              </w:numPr>
              <w:adjustRightInd w:val="0"/>
              <w:snapToGrid w:val="0"/>
              <w:spacing w:line="240" w:lineRule="auto"/>
              <w:jc w:val="cente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z w:val="21"/>
                <w:szCs w:val="21"/>
                <w:highlight w:val="none"/>
                <w:lang w:val="en-US" w:eastAsia="zh-CN"/>
                <w14:textFill>
                  <w14:solidFill>
                    <w14:schemeClr w14:val="tx1"/>
                  </w14:solidFill>
                </w14:textFill>
              </w:rPr>
              <w:t>表2-</w:t>
            </w:r>
            <w:r>
              <w:rPr>
                <w:rFonts w:hint="eastAsia" w:ascii="Times New Roman" w:hAnsi="Times New Roman" w:cs="Times New Roman"/>
                <w:b/>
                <w:bCs w:val="0"/>
                <w:color w:val="000000" w:themeColor="text1"/>
                <w:sz w:val="21"/>
                <w:szCs w:val="21"/>
                <w:highlight w:val="none"/>
                <w:lang w:val="en-US" w:eastAsia="zh-CN"/>
                <w14:textFill>
                  <w14:solidFill>
                    <w14:schemeClr w14:val="tx1"/>
                  </w14:solidFill>
                </w14:textFill>
              </w:rPr>
              <w:t>6</w:t>
            </w:r>
            <w:r>
              <w:rPr>
                <w:rFonts w:hint="default" w:ascii="Times New Roman" w:hAnsi="Times New Roman" w:cs="Times New Roman"/>
                <w:b/>
                <w:bCs w:val="0"/>
                <w:color w:val="000000" w:themeColor="text1"/>
                <w:sz w:val="21"/>
                <w:szCs w:val="21"/>
                <w:highlight w:val="none"/>
                <w:lang w:val="en-US" w:eastAsia="zh-CN"/>
                <w14:textFill>
                  <w14:solidFill>
                    <w14:schemeClr w14:val="tx1"/>
                  </w14:solidFill>
                </w14:textFill>
              </w:rPr>
              <w:t xml:space="preserve"> 项目给排水量一览表</w:t>
            </w:r>
          </w:p>
          <w:tbl>
            <w:tblPr>
              <w:tblStyle w:val="25"/>
              <w:tblW w:w="504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170"/>
              <w:gridCol w:w="1547"/>
              <w:gridCol w:w="1333"/>
              <w:gridCol w:w="1514"/>
              <w:gridCol w:w="2125"/>
            </w:tblGrid>
            <w:tr w14:paraId="3C7F9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noWrap w:val="0"/>
                  <w:vAlign w:val="center"/>
                </w:tcPr>
                <w:p w14:paraId="29C413FE">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000000" w:themeColor="text1"/>
                      <w:sz w:val="21"/>
                      <w:szCs w:val="21"/>
                      <w:highlight w:val="none"/>
                      <w14:textFill>
                        <w14:solidFill>
                          <w14:schemeClr w14:val="tx1"/>
                        </w14:solidFill>
                      </w14:textFill>
                    </w:rPr>
                  </w:pPr>
                  <w:r>
                    <w:rPr>
                      <w:rFonts w:hint="default" w:ascii="Times New Roman" w:hAnsi="Times New Roman" w:cs="Times New Roman"/>
                      <w:b/>
                      <w:bCs w:val="0"/>
                      <w:color w:val="000000" w:themeColor="text1"/>
                      <w:sz w:val="21"/>
                      <w:szCs w:val="21"/>
                      <w:highlight w:val="none"/>
                      <w14:textFill>
                        <w14:solidFill>
                          <w14:schemeClr w14:val="tx1"/>
                        </w14:solidFill>
                      </w14:textFill>
                    </w:rPr>
                    <w:t>序号</w:t>
                  </w:r>
                </w:p>
              </w:tc>
              <w:tc>
                <w:tcPr>
                  <w:tcW w:w="697" w:type="pct"/>
                  <w:tcBorders>
                    <w:tl2br w:val="nil"/>
                    <w:tr2bl w:val="nil"/>
                  </w:tcBorders>
                  <w:noWrap w:val="0"/>
                  <w:vAlign w:val="center"/>
                </w:tcPr>
                <w:p w14:paraId="6081851B">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000000" w:themeColor="text1"/>
                      <w:sz w:val="21"/>
                      <w:szCs w:val="21"/>
                      <w:highlight w:val="none"/>
                      <w14:textFill>
                        <w14:solidFill>
                          <w14:schemeClr w14:val="tx1"/>
                        </w14:solidFill>
                      </w14:textFill>
                    </w:rPr>
                  </w:pPr>
                  <w:r>
                    <w:rPr>
                      <w:rFonts w:hint="default" w:ascii="Times New Roman" w:hAnsi="Times New Roman" w:cs="Times New Roman"/>
                      <w:b/>
                      <w:bCs w:val="0"/>
                      <w:color w:val="000000" w:themeColor="text1"/>
                      <w:sz w:val="21"/>
                      <w:szCs w:val="21"/>
                      <w:highlight w:val="none"/>
                      <w14:textFill>
                        <w14:solidFill>
                          <w14:schemeClr w14:val="tx1"/>
                        </w14:solidFill>
                      </w14:textFill>
                    </w:rPr>
                    <w:t>类别</w:t>
                  </w:r>
                </w:p>
              </w:tc>
              <w:tc>
                <w:tcPr>
                  <w:tcW w:w="922" w:type="pct"/>
                  <w:tcBorders>
                    <w:tl2br w:val="nil"/>
                    <w:tr2bl w:val="nil"/>
                  </w:tcBorders>
                  <w:noWrap w:val="0"/>
                  <w:vAlign w:val="center"/>
                </w:tcPr>
                <w:p w14:paraId="0FB60F8B">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000000" w:themeColor="text1"/>
                      <w:sz w:val="21"/>
                      <w:szCs w:val="21"/>
                      <w:highlight w:val="none"/>
                      <w14:textFill>
                        <w14:solidFill>
                          <w14:schemeClr w14:val="tx1"/>
                        </w14:solidFill>
                      </w14:textFill>
                    </w:rPr>
                  </w:pPr>
                  <w:r>
                    <w:rPr>
                      <w:rFonts w:hint="default" w:ascii="Times New Roman" w:hAnsi="Times New Roman" w:cs="Times New Roman"/>
                      <w:b/>
                      <w:bCs w:val="0"/>
                      <w:color w:val="000000" w:themeColor="text1"/>
                      <w:sz w:val="21"/>
                      <w:szCs w:val="21"/>
                      <w:highlight w:val="none"/>
                      <w14:textFill>
                        <w14:solidFill>
                          <w14:schemeClr w14:val="tx1"/>
                        </w14:solidFill>
                      </w14:textFill>
                    </w:rPr>
                    <w:t>用水量m</w:t>
                  </w:r>
                  <w:r>
                    <w:rPr>
                      <w:rFonts w:hint="default" w:ascii="Times New Roman" w:hAnsi="Times New Roman" w:cs="Times New Roman"/>
                      <w:b/>
                      <w:bCs w:val="0"/>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b/>
                      <w:bCs w:val="0"/>
                      <w:color w:val="000000" w:themeColor="text1"/>
                      <w:sz w:val="21"/>
                      <w:szCs w:val="21"/>
                      <w:highlight w:val="none"/>
                      <w14:textFill>
                        <w14:solidFill>
                          <w14:schemeClr w14:val="tx1"/>
                        </w14:solidFill>
                      </w14:textFill>
                    </w:rPr>
                    <w:t>/d</w:t>
                  </w:r>
                </w:p>
              </w:tc>
              <w:tc>
                <w:tcPr>
                  <w:tcW w:w="794" w:type="pct"/>
                  <w:tcBorders>
                    <w:tl2br w:val="nil"/>
                    <w:tr2bl w:val="nil"/>
                  </w:tcBorders>
                  <w:noWrap w:val="0"/>
                  <w:vAlign w:val="center"/>
                </w:tcPr>
                <w:p w14:paraId="0B9D4D3A">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000000" w:themeColor="text1"/>
                      <w:sz w:val="21"/>
                      <w:szCs w:val="21"/>
                      <w:highlight w:val="none"/>
                      <w14:textFill>
                        <w14:solidFill>
                          <w14:schemeClr w14:val="tx1"/>
                        </w14:solidFill>
                      </w14:textFill>
                    </w:rPr>
                  </w:pPr>
                  <w:r>
                    <w:rPr>
                      <w:rFonts w:hint="default" w:ascii="Times New Roman" w:hAnsi="Times New Roman" w:cs="Times New Roman"/>
                      <w:b/>
                      <w:bCs w:val="0"/>
                      <w:color w:val="000000" w:themeColor="text1"/>
                      <w:sz w:val="21"/>
                      <w:szCs w:val="21"/>
                      <w:highlight w:val="none"/>
                      <w14:textFill>
                        <w14:solidFill>
                          <w14:schemeClr w14:val="tx1"/>
                        </w14:solidFill>
                      </w14:textFill>
                    </w:rPr>
                    <w:t>损耗量m</w:t>
                  </w:r>
                  <w:r>
                    <w:rPr>
                      <w:rFonts w:hint="default" w:ascii="Times New Roman" w:hAnsi="Times New Roman" w:cs="Times New Roman"/>
                      <w:b/>
                      <w:bCs w:val="0"/>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b/>
                      <w:bCs w:val="0"/>
                      <w:color w:val="000000" w:themeColor="text1"/>
                      <w:sz w:val="21"/>
                      <w:szCs w:val="21"/>
                      <w:highlight w:val="none"/>
                      <w14:textFill>
                        <w14:solidFill>
                          <w14:schemeClr w14:val="tx1"/>
                        </w14:solidFill>
                      </w14:textFill>
                    </w:rPr>
                    <w:t>/d</w:t>
                  </w:r>
                </w:p>
              </w:tc>
              <w:tc>
                <w:tcPr>
                  <w:tcW w:w="902" w:type="pct"/>
                  <w:tcBorders>
                    <w:tl2br w:val="nil"/>
                    <w:tr2bl w:val="nil"/>
                  </w:tcBorders>
                  <w:noWrap w:val="0"/>
                  <w:vAlign w:val="center"/>
                </w:tcPr>
                <w:p w14:paraId="0B044A30">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b/>
                      <w:bCs w:val="0"/>
                      <w:color w:val="000000" w:themeColor="text1"/>
                      <w:sz w:val="21"/>
                      <w:szCs w:val="21"/>
                      <w:highlight w:val="none"/>
                      <w:lang w:eastAsia="zh-CN"/>
                      <w14:textFill>
                        <w14:solidFill>
                          <w14:schemeClr w14:val="tx1"/>
                        </w14:solidFill>
                      </w14:textFill>
                    </w:rPr>
                  </w:pPr>
                  <w:r>
                    <w:rPr>
                      <w:rFonts w:hint="default" w:ascii="Times New Roman" w:hAnsi="Times New Roman" w:cs="Times New Roman"/>
                      <w:b/>
                      <w:bCs w:val="0"/>
                      <w:color w:val="000000" w:themeColor="text1"/>
                      <w:sz w:val="21"/>
                      <w:szCs w:val="21"/>
                      <w:highlight w:val="none"/>
                      <w14:textFill>
                        <w14:solidFill>
                          <w14:schemeClr w14:val="tx1"/>
                        </w14:solidFill>
                      </w14:textFill>
                    </w:rPr>
                    <w:t>排水量m</w:t>
                  </w:r>
                  <w:r>
                    <w:rPr>
                      <w:rFonts w:hint="default" w:ascii="Times New Roman" w:hAnsi="Times New Roman" w:cs="Times New Roman"/>
                      <w:b/>
                      <w:bCs w:val="0"/>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b/>
                      <w:bCs w:val="0"/>
                      <w:color w:val="000000" w:themeColor="text1"/>
                      <w:sz w:val="21"/>
                      <w:szCs w:val="21"/>
                      <w:highlight w:val="none"/>
                      <w14:textFill>
                        <w14:solidFill>
                          <w14:schemeClr w14:val="tx1"/>
                        </w14:solidFill>
                      </w14:textFill>
                    </w:rPr>
                    <w:t>/d</w:t>
                  </w:r>
                </w:p>
              </w:tc>
              <w:tc>
                <w:tcPr>
                  <w:tcW w:w="1266" w:type="pct"/>
                  <w:tcBorders>
                    <w:tl2br w:val="nil"/>
                    <w:tr2bl w:val="nil"/>
                  </w:tcBorders>
                  <w:noWrap w:val="0"/>
                  <w:vAlign w:val="center"/>
                </w:tcPr>
                <w:p w14:paraId="55857B49">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bCs w:val="0"/>
                      <w:color w:val="000000" w:themeColor="text1"/>
                      <w:sz w:val="21"/>
                      <w:szCs w:val="21"/>
                      <w:highlight w:val="none"/>
                      <w14:textFill>
                        <w14:solidFill>
                          <w14:schemeClr w14:val="tx1"/>
                        </w14:solidFill>
                      </w14:textFill>
                    </w:rPr>
                  </w:pPr>
                  <w:r>
                    <w:rPr>
                      <w:rFonts w:hint="default" w:ascii="Times New Roman" w:hAnsi="Times New Roman" w:cs="Times New Roman"/>
                      <w:b/>
                      <w:bCs w:val="0"/>
                      <w:color w:val="000000" w:themeColor="text1"/>
                      <w:sz w:val="21"/>
                      <w:szCs w:val="21"/>
                      <w:highlight w:val="none"/>
                      <w14:textFill>
                        <w14:solidFill>
                          <w14:schemeClr w14:val="tx1"/>
                        </w14:solidFill>
                      </w14:textFill>
                    </w:rPr>
                    <w:t>备注</w:t>
                  </w:r>
                </w:p>
              </w:tc>
            </w:tr>
            <w:tr w14:paraId="666FC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noWrap w:val="0"/>
                  <w:vAlign w:val="center"/>
                </w:tcPr>
                <w:p w14:paraId="3C658AA2">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val="0"/>
                      <w:bCs/>
                      <w:color w:val="000000" w:themeColor="text1"/>
                      <w:sz w:val="21"/>
                      <w:szCs w:val="21"/>
                      <w:highlight w:val="none"/>
                      <w14:textFill>
                        <w14:solidFill>
                          <w14:schemeClr w14:val="tx1"/>
                        </w14:solidFill>
                      </w14:textFill>
                    </w:rPr>
                  </w:pPr>
                  <w:r>
                    <w:rPr>
                      <w:rFonts w:hint="default" w:ascii="Times New Roman" w:hAnsi="Times New Roman" w:cs="Times New Roman"/>
                      <w:b w:val="0"/>
                      <w:bCs/>
                      <w:color w:val="000000" w:themeColor="text1"/>
                      <w:sz w:val="21"/>
                      <w:szCs w:val="21"/>
                      <w:highlight w:val="none"/>
                      <w14:textFill>
                        <w14:solidFill>
                          <w14:schemeClr w14:val="tx1"/>
                        </w14:solidFill>
                      </w14:textFill>
                    </w:rPr>
                    <w:t>1</w:t>
                  </w:r>
                </w:p>
              </w:tc>
              <w:tc>
                <w:tcPr>
                  <w:tcW w:w="697" w:type="pct"/>
                  <w:tcBorders>
                    <w:tl2br w:val="nil"/>
                    <w:tr2bl w:val="nil"/>
                  </w:tcBorders>
                  <w:noWrap w:val="0"/>
                  <w:vAlign w:val="center"/>
                </w:tcPr>
                <w:p w14:paraId="251AC55F">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val="0"/>
                      <w:bCs/>
                      <w:color w:val="000000" w:themeColor="text1"/>
                      <w:sz w:val="21"/>
                      <w:szCs w:val="21"/>
                      <w:highlight w:val="none"/>
                      <w14:textFill>
                        <w14:solidFill>
                          <w14:schemeClr w14:val="tx1"/>
                        </w14:solidFill>
                      </w14:textFill>
                    </w:rPr>
                  </w:pPr>
                  <w:r>
                    <w:rPr>
                      <w:rFonts w:hint="default" w:ascii="Times New Roman" w:hAnsi="Times New Roman" w:cs="Times New Roman"/>
                      <w:b w:val="0"/>
                      <w:bCs/>
                      <w:color w:val="000000" w:themeColor="text1"/>
                      <w:sz w:val="21"/>
                      <w:szCs w:val="21"/>
                      <w:highlight w:val="none"/>
                      <w14:textFill>
                        <w14:solidFill>
                          <w14:schemeClr w14:val="tx1"/>
                        </w14:solidFill>
                      </w14:textFill>
                    </w:rPr>
                    <w:t>生活用水</w:t>
                  </w:r>
                </w:p>
              </w:tc>
              <w:tc>
                <w:tcPr>
                  <w:tcW w:w="922" w:type="pct"/>
                  <w:tcBorders>
                    <w:tl2br w:val="nil"/>
                    <w:tr2bl w:val="nil"/>
                  </w:tcBorders>
                  <w:noWrap w:val="0"/>
                  <w:vAlign w:val="center"/>
                </w:tcPr>
                <w:p w14:paraId="018CB47C">
                  <w:pPr>
                    <w:keepNext w:val="0"/>
                    <w:keepLines w:val="0"/>
                    <w:widowControl/>
                    <w:suppressLineNumbers w:val="0"/>
                    <w:jc w:val="center"/>
                    <w:textAlignment w:val="bottom"/>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等线" w:cs="Times New Roman"/>
                      <w:i w:val="0"/>
                      <w:iCs w:val="0"/>
                      <w:color w:val="000000" w:themeColor="text1"/>
                      <w:kern w:val="0"/>
                      <w:sz w:val="21"/>
                      <w:szCs w:val="21"/>
                      <w:highlight w:val="none"/>
                      <w:u w:val="none"/>
                      <w:lang w:val="en-US" w:eastAsia="zh-CN" w:bidi="ar"/>
                      <w14:textFill>
                        <w14:solidFill>
                          <w14:schemeClr w14:val="tx1"/>
                        </w14:solidFill>
                      </w14:textFill>
                    </w:rPr>
                    <w:t>1.515</w:t>
                  </w:r>
                </w:p>
              </w:tc>
              <w:tc>
                <w:tcPr>
                  <w:tcW w:w="794" w:type="pct"/>
                  <w:tcBorders>
                    <w:tl2br w:val="nil"/>
                    <w:tr2bl w:val="nil"/>
                  </w:tcBorders>
                  <w:noWrap w:val="0"/>
                  <w:vAlign w:val="center"/>
                </w:tcPr>
                <w:p w14:paraId="54E73D84">
                  <w:pPr>
                    <w:keepNext w:val="0"/>
                    <w:keepLines w:val="0"/>
                    <w:widowControl/>
                    <w:suppressLineNumbers w:val="0"/>
                    <w:jc w:val="center"/>
                    <w:textAlignment w:val="bottom"/>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等线" w:cs="Times New Roman"/>
                      <w:i w:val="0"/>
                      <w:iCs w:val="0"/>
                      <w:color w:val="000000" w:themeColor="text1"/>
                      <w:kern w:val="0"/>
                      <w:sz w:val="21"/>
                      <w:szCs w:val="21"/>
                      <w:highlight w:val="none"/>
                      <w:u w:val="none"/>
                      <w:lang w:val="en-US" w:eastAsia="zh-CN" w:bidi="ar"/>
                      <w14:textFill>
                        <w14:solidFill>
                          <w14:schemeClr w14:val="tx1"/>
                        </w14:solidFill>
                      </w14:textFill>
                    </w:rPr>
                    <w:t>0.303</w:t>
                  </w:r>
                </w:p>
              </w:tc>
              <w:tc>
                <w:tcPr>
                  <w:tcW w:w="902" w:type="pct"/>
                  <w:tcBorders>
                    <w:tl2br w:val="nil"/>
                    <w:tr2bl w:val="nil"/>
                  </w:tcBorders>
                  <w:noWrap w:val="0"/>
                  <w:vAlign w:val="center"/>
                </w:tcPr>
                <w:p w14:paraId="3B826037">
                  <w:pPr>
                    <w:keepNext w:val="0"/>
                    <w:keepLines w:val="0"/>
                    <w:widowControl/>
                    <w:suppressLineNumbers w:val="0"/>
                    <w:jc w:val="center"/>
                    <w:textAlignment w:val="bottom"/>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等线" w:cs="Times New Roman"/>
                      <w:i w:val="0"/>
                      <w:iCs w:val="0"/>
                      <w:color w:val="000000" w:themeColor="text1"/>
                      <w:kern w:val="0"/>
                      <w:sz w:val="21"/>
                      <w:szCs w:val="21"/>
                      <w:highlight w:val="none"/>
                      <w:u w:val="none"/>
                      <w:lang w:val="en-US" w:eastAsia="zh-CN" w:bidi="ar"/>
                      <w14:textFill>
                        <w14:solidFill>
                          <w14:schemeClr w14:val="tx1"/>
                        </w14:solidFill>
                      </w14:textFill>
                    </w:rPr>
                    <w:t>1.212</w:t>
                  </w:r>
                </w:p>
              </w:tc>
              <w:tc>
                <w:tcPr>
                  <w:tcW w:w="1266" w:type="pct"/>
                  <w:tcBorders>
                    <w:tl2br w:val="nil"/>
                    <w:tr2bl w:val="nil"/>
                  </w:tcBorders>
                  <w:noWrap w:val="0"/>
                  <w:vAlign w:val="center"/>
                </w:tcPr>
                <w:p w14:paraId="610B7B93">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cs="Times New Roman"/>
                      <w:b w:val="0"/>
                      <w:bCs/>
                      <w:color w:val="000000" w:themeColor="text1"/>
                      <w:sz w:val="21"/>
                      <w:szCs w:val="21"/>
                      <w:highlight w:val="none"/>
                      <w14:textFill>
                        <w14:solidFill>
                          <w14:schemeClr w14:val="tx1"/>
                        </w14:solidFill>
                      </w14:textFill>
                    </w:rPr>
                  </w:pPr>
                  <w:r>
                    <w:rPr>
                      <w:rFonts w:hint="default" w:ascii="Times New Roman" w:hAnsi="Times New Roman" w:cs="Times New Roman"/>
                      <w:b w:val="0"/>
                      <w:bCs/>
                      <w:color w:val="000000" w:themeColor="text1"/>
                      <w:sz w:val="21"/>
                      <w:szCs w:val="21"/>
                      <w:highlight w:val="none"/>
                      <w14:textFill>
                        <w14:solidFill>
                          <w14:schemeClr w14:val="tx1"/>
                        </w14:solidFill>
                      </w14:textFill>
                    </w:rPr>
                    <w:t>排放系数按0.8计</w:t>
                  </w:r>
                </w:p>
              </w:tc>
            </w:tr>
            <w:tr w14:paraId="5ECC3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4" w:type="pct"/>
                  <w:gridSpan w:val="2"/>
                  <w:tcBorders>
                    <w:tl2br w:val="nil"/>
                    <w:tr2bl w:val="nil"/>
                  </w:tcBorders>
                  <w:noWrap w:val="0"/>
                  <w:vAlign w:val="center"/>
                </w:tcPr>
                <w:p w14:paraId="607E00C8">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t>合计</w:t>
                  </w:r>
                </w:p>
              </w:tc>
              <w:tc>
                <w:tcPr>
                  <w:tcW w:w="1547" w:type="dxa"/>
                  <w:tcBorders>
                    <w:tl2br w:val="nil"/>
                    <w:tr2bl w:val="nil"/>
                  </w:tcBorders>
                  <w:noWrap w:val="0"/>
                  <w:vAlign w:val="center"/>
                </w:tcPr>
                <w:p w14:paraId="55D5F8B6">
                  <w:pPr>
                    <w:keepNext w:val="0"/>
                    <w:keepLines w:val="0"/>
                    <w:widowControl/>
                    <w:suppressLineNumbers w:val="0"/>
                    <w:jc w:val="center"/>
                    <w:textAlignment w:val="bottom"/>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等线" w:cs="Times New Roman"/>
                      <w:i w:val="0"/>
                      <w:iCs w:val="0"/>
                      <w:color w:val="000000" w:themeColor="text1"/>
                      <w:kern w:val="0"/>
                      <w:sz w:val="21"/>
                      <w:szCs w:val="21"/>
                      <w:highlight w:val="none"/>
                      <w:u w:val="none"/>
                      <w:lang w:val="en-US" w:eastAsia="zh-CN" w:bidi="ar"/>
                      <w14:textFill>
                        <w14:solidFill>
                          <w14:schemeClr w14:val="tx1"/>
                        </w14:solidFill>
                      </w14:textFill>
                    </w:rPr>
                    <w:t>1.515</w:t>
                  </w:r>
                </w:p>
              </w:tc>
              <w:tc>
                <w:tcPr>
                  <w:tcW w:w="1333" w:type="dxa"/>
                  <w:tcBorders>
                    <w:tl2br w:val="nil"/>
                    <w:tr2bl w:val="nil"/>
                  </w:tcBorders>
                  <w:noWrap w:val="0"/>
                  <w:vAlign w:val="center"/>
                </w:tcPr>
                <w:p w14:paraId="3517E685">
                  <w:pPr>
                    <w:keepNext w:val="0"/>
                    <w:keepLines w:val="0"/>
                    <w:widowControl/>
                    <w:suppressLineNumbers w:val="0"/>
                    <w:jc w:val="center"/>
                    <w:textAlignment w:val="bottom"/>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等线" w:cs="Times New Roman"/>
                      <w:i w:val="0"/>
                      <w:iCs w:val="0"/>
                      <w:color w:val="000000" w:themeColor="text1"/>
                      <w:kern w:val="0"/>
                      <w:sz w:val="21"/>
                      <w:szCs w:val="21"/>
                      <w:highlight w:val="none"/>
                      <w:u w:val="none"/>
                      <w:lang w:val="en-US" w:eastAsia="zh-CN" w:bidi="ar"/>
                      <w14:textFill>
                        <w14:solidFill>
                          <w14:schemeClr w14:val="tx1"/>
                        </w14:solidFill>
                      </w14:textFill>
                    </w:rPr>
                    <w:t>0.303</w:t>
                  </w:r>
                </w:p>
              </w:tc>
              <w:tc>
                <w:tcPr>
                  <w:tcW w:w="1514" w:type="dxa"/>
                  <w:tcBorders>
                    <w:tl2br w:val="nil"/>
                    <w:tr2bl w:val="nil"/>
                  </w:tcBorders>
                  <w:noWrap w:val="0"/>
                  <w:vAlign w:val="center"/>
                </w:tcPr>
                <w:p w14:paraId="3CD094A2">
                  <w:pPr>
                    <w:keepNext w:val="0"/>
                    <w:keepLines w:val="0"/>
                    <w:widowControl/>
                    <w:suppressLineNumbers w:val="0"/>
                    <w:jc w:val="center"/>
                    <w:textAlignment w:val="bottom"/>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等线" w:cs="Times New Roman"/>
                      <w:i w:val="0"/>
                      <w:iCs w:val="0"/>
                      <w:color w:val="000000" w:themeColor="text1"/>
                      <w:kern w:val="0"/>
                      <w:sz w:val="21"/>
                      <w:szCs w:val="21"/>
                      <w:highlight w:val="none"/>
                      <w:u w:val="none"/>
                      <w:lang w:val="en-US" w:eastAsia="zh-CN" w:bidi="ar"/>
                      <w14:textFill>
                        <w14:solidFill>
                          <w14:schemeClr w14:val="tx1"/>
                        </w14:solidFill>
                      </w14:textFill>
                    </w:rPr>
                    <w:t>1.212</w:t>
                  </w:r>
                </w:p>
              </w:tc>
              <w:tc>
                <w:tcPr>
                  <w:tcW w:w="1266" w:type="pct"/>
                  <w:tcBorders>
                    <w:tl2br w:val="nil"/>
                    <w:tr2bl w:val="nil"/>
                  </w:tcBorders>
                  <w:noWrap w:val="0"/>
                  <w:vAlign w:val="center"/>
                </w:tcPr>
                <w:p w14:paraId="25777240">
                  <w:pPr>
                    <w:pStyle w:val="6"/>
                    <w:keepNext w:val="0"/>
                    <w:keepLines w:val="0"/>
                    <w:pageBreakBefore w:val="0"/>
                    <w:widowControl w:val="0"/>
                    <w:kinsoku/>
                    <w:wordWrap/>
                    <w:overflowPunct/>
                    <w:topLinePunct w:val="0"/>
                    <w:autoSpaceDE/>
                    <w:autoSpaceDN/>
                    <w:bidi w:val="0"/>
                    <w:adjustRightInd w:val="0"/>
                    <w:snapToGrid w:val="0"/>
                    <w:spacing w:before="0" w:after="0" w:line="240" w:lineRule="auto"/>
                    <w:ind w:right="0"/>
                    <w:jc w:val="center"/>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w:t>
                  </w:r>
                </w:p>
              </w:tc>
            </w:tr>
          </w:tbl>
          <w:p w14:paraId="139C621B">
            <w:pPr>
              <w:numPr>
                <w:ilvl w:val="0"/>
                <w:numId w:val="0"/>
              </w:numPr>
              <w:adjustRightInd w:val="0"/>
              <w:snapToGrid w:val="0"/>
              <w:spacing w:line="360" w:lineRule="auto"/>
              <w:jc w:val="cente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1"/>
                <w:highlight w:val="none"/>
                <w14:textFill>
                  <w14:solidFill>
                    <w14:schemeClr w14:val="tx1"/>
                  </w14:solidFill>
                </w14:textFill>
              </w:rPr>
              <mc:AlternateContent>
                <mc:Choice Requires="wpc">
                  <w:drawing>
                    <wp:inline distT="0" distB="0" distL="114300" distR="114300">
                      <wp:extent cx="5267325" cy="755015"/>
                      <wp:effectExtent l="0" t="0" r="0" b="0"/>
                      <wp:docPr id="79" name="画布 79"/>
                      <wp:cNvGraphicFramePr/>
                      <a:graphic xmlns:a="http://schemas.openxmlformats.org/drawingml/2006/main">
                        <a:graphicData uri="http://schemas.microsoft.com/office/word/2010/wordprocessingCanvas">
                          <wpc:wpc>
                            <wpc:bg>
                              <a:noFill/>
                            </wpc:bg>
                            <wpc:whole>
                              <a:ln>
                                <a:noFill/>
                              </a:ln>
                            </wpc:whole>
                            <wps:wsp>
                              <wps:cNvPr id="2" name="矩形 68"/>
                              <wps:cNvSpPr/>
                              <wps:spPr>
                                <a:xfrm>
                                  <a:off x="37465" y="337820"/>
                                  <a:ext cx="593725" cy="2794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46C8782">
                                    <w:pPr>
                                      <w:adjustRightInd w:val="0"/>
                                      <w:snapToGrid w:val="0"/>
                                      <w:jc w:val="center"/>
                                      <w:rPr>
                                        <w:rFonts w:hint="default"/>
                                        <w:lang w:val="en-US"/>
                                      </w:rPr>
                                    </w:pPr>
                                    <w:r>
                                      <w:rPr>
                                        <w:rFonts w:hint="eastAsia"/>
                                        <w:lang w:val="en-US" w:eastAsia="zh-CN"/>
                                      </w:rPr>
                                      <w:t>新鲜水</w:t>
                                    </w:r>
                                  </w:p>
                                </w:txbxContent>
                              </wps:txbx>
                              <wps:bodyPr upright="1"/>
                            </wps:wsp>
                            <wps:wsp>
                              <wps:cNvPr id="3" name="直接连接符 69"/>
                              <wps:cNvCnPr/>
                              <wps:spPr>
                                <a:xfrm>
                                  <a:off x="634365" y="474980"/>
                                  <a:ext cx="410210" cy="0"/>
                                </a:xfrm>
                                <a:prstGeom prst="line">
                                  <a:avLst/>
                                </a:prstGeom>
                                <a:ln w="9525" cap="flat" cmpd="sng">
                                  <a:solidFill>
                                    <a:srgbClr val="000000"/>
                                  </a:solidFill>
                                  <a:prstDash val="solid"/>
                                  <a:headEnd type="none" w="med" len="med"/>
                                  <a:tailEnd type="triangle" w="med" len="med"/>
                                </a:ln>
                                <a:effectLst/>
                              </wps:spPr>
                              <wps:bodyPr upright="1"/>
                            </wps:wsp>
                            <wps:wsp>
                              <wps:cNvPr id="4" name="矩形 70"/>
                              <wps:cNvSpPr/>
                              <wps:spPr>
                                <a:xfrm>
                                  <a:off x="577850" y="276225"/>
                                  <a:ext cx="509905" cy="265430"/>
                                </a:xfrm>
                                <a:prstGeom prst="rect">
                                  <a:avLst/>
                                </a:prstGeom>
                                <a:noFill/>
                                <a:ln>
                                  <a:noFill/>
                                </a:ln>
                                <a:effectLst/>
                              </wps:spPr>
                              <wps:txbx>
                                <w:txbxContent>
                                  <w:p w14:paraId="76541D4C">
                                    <w:pPr>
                                      <w:adjustRightInd w:val="0"/>
                                      <w:snapToGrid w:val="0"/>
                                      <w:rPr>
                                        <w:rFonts w:hint="default" w:eastAsia="宋体"/>
                                        <w:lang w:val="en-US" w:eastAsia="zh-CN"/>
                                      </w:rPr>
                                    </w:pPr>
                                    <w:r>
                                      <w:rPr>
                                        <w:rFonts w:hint="eastAsia"/>
                                        <w:lang w:val="en-US" w:eastAsia="zh-CN"/>
                                      </w:rPr>
                                      <w:t>1.5155</w:t>
                                    </w:r>
                                  </w:p>
                                </w:txbxContent>
                              </wps:txbx>
                              <wps:bodyPr upright="1"/>
                            </wps:wsp>
                            <wps:wsp>
                              <wps:cNvPr id="5" name="矩形 71"/>
                              <wps:cNvSpPr/>
                              <wps:spPr>
                                <a:xfrm>
                                  <a:off x="1047750" y="318135"/>
                                  <a:ext cx="1029335" cy="2851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1F88784">
                                    <w:pPr>
                                      <w:jc w:val="center"/>
                                      <w:rPr>
                                        <w:rFonts w:hint="eastAsia"/>
                                      </w:rPr>
                                    </w:pPr>
                                    <w:r>
                                      <w:rPr>
                                        <w:rFonts w:hint="eastAsia"/>
                                        <w:b w:val="0"/>
                                        <w:bCs/>
                                        <w:color w:val="000000"/>
                                        <w:sz w:val="21"/>
                                        <w:szCs w:val="21"/>
                                        <w:lang w:eastAsia="zh-CN"/>
                                      </w:rPr>
                                      <w:t>办公</w:t>
                                    </w:r>
                                    <w:r>
                                      <w:rPr>
                                        <w:rFonts w:ascii="Times New Roman" w:hAnsi="Times New Roman"/>
                                        <w:b w:val="0"/>
                                        <w:bCs/>
                                        <w:color w:val="000000"/>
                                        <w:sz w:val="21"/>
                                        <w:szCs w:val="21"/>
                                      </w:rPr>
                                      <w:t>生活用水</w:t>
                                    </w:r>
                                  </w:p>
                                </w:txbxContent>
                              </wps:txbx>
                              <wps:bodyPr upright="1"/>
                            </wps:wsp>
                            <wps:wsp>
                              <wps:cNvPr id="6" name="直接连接符 72"/>
                              <wps:cNvCnPr/>
                              <wps:spPr>
                                <a:xfrm flipV="1">
                                  <a:off x="1266825" y="198120"/>
                                  <a:ext cx="255270" cy="120015"/>
                                </a:xfrm>
                                <a:prstGeom prst="line">
                                  <a:avLst/>
                                </a:prstGeom>
                                <a:ln w="9525" cap="rnd" cmpd="sng">
                                  <a:solidFill>
                                    <a:srgbClr val="000000"/>
                                  </a:solidFill>
                                  <a:prstDash val="sysDot"/>
                                  <a:headEnd type="none" w="med" len="med"/>
                                  <a:tailEnd type="triangle" w="med" len="med"/>
                                </a:ln>
                                <a:effectLst/>
                              </wps:spPr>
                              <wps:bodyPr upright="1"/>
                            </wps:wsp>
                            <wps:wsp>
                              <wps:cNvPr id="7" name="矩形 73"/>
                              <wps:cNvSpPr/>
                              <wps:spPr>
                                <a:xfrm>
                                  <a:off x="1429385" y="49530"/>
                                  <a:ext cx="797560" cy="304165"/>
                                </a:xfrm>
                                <a:prstGeom prst="rect">
                                  <a:avLst/>
                                </a:prstGeom>
                                <a:noFill/>
                                <a:ln>
                                  <a:noFill/>
                                </a:ln>
                                <a:effectLst/>
                              </wps:spPr>
                              <wps:txbx>
                                <w:txbxContent>
                                  <w:p w14:paraId="47A53893">
                                    <w:pPr>
                                      <w:adjustRightInd w:val="0"/>
                                      <w:snapToGrid w:val="0"/>
                                      <w:rPr>
                                        <w:rFonts w:hint="default" w:eastAsia="宋体"/>
                                        <w:lang w:val="en-US" w:eastAsia="zh-CN"/>
                                      </w:rPr>
                                    </w:pPr>
                                    <w:r>
                                      <w:rPr>
                                        <w:rFonts w:hint="eastAsia"/>
                                      </w:rPr>
                                      <w:t>消耗</w:t>
                                    </w:r>
                                    <w:r>
                                      <w:rPr>
                                        <w:rFonts w:hint="eastAsia"/>
                                        <w:lang w:val="en-US" w:eastAsia="zh-CN"/>
                                      </w:rPr>
                                      <w:t>0.303</w:t>
                                    </w:r>
                                  </w:p>
                                </w:txbxContent>
                              </wps:txbx>
                              <wps:bodyPr upright="1"/>
                            </wps:wsp>
                            <wps:wsp>
                              <wps:cNvPr id="8" name="直接连接符 74"/>
                              <wps:cNvCnPr/>
                              <wps:spPr>
                                <a:xfrm>
                                  <a:off x="2082165" y="468630"/>
                                  <a:ext cx="457835" cy="6350"/>
                                </a:xfrm>
                                <a:prstGeom prst="line">
                                  <a:avLst/>
                                </a:prstGeom>
                                <a:ln w="9525" cap="flat" cmpd="sng">
                                  <a:solidFill>
                                    <a:srgbClr val="000000"/>
                                  </a:solidFill>
                                  <a:prstDash val="solid"/>
                                  <a:headEnd type="none" w="med" len="med"/>
                                  <a:tailEnd type="triangle" w="med" len="med"/>
                                </a:ln>
                                <a:effectLst/>
                              </wps:spPr>
                              <wps:bodyPr upright="1"/>
                            </wps:wsp>
                            <wps:wsp>
                              <wps:cNvPr id="9" name="矩形 75"/>
                              <wps:cNvSpPr/>
                              <wps:spPr>
                                <a:xfrm>
                                  <a:off x="2542540" y="318770"/>
                                  <a:ext cx="1003300" cy="2794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9583245">
                                    <w:pPr>
                                      <w:adjustRightInd w:val="0"/>
                                      <w:snapToGrid w:val="0"/>
                                      <w:jc w:val="center"/>
                                      <w:rPr>
                                        <w:rFonts w:hint="eastAsia"/>
                                      </w:rPr>
                                    </w:pPr>
                                    <w:r>
                                      <w:rPr>
                                        <w:rFonts w:hint="eastAsia"/>
                                        <w:lang w:val="en-US" w:eastAsia="zh-CN"/>
                                      </w:rPr>
                                      <w:t>园区</w:t>
                                    </w:r>
                                    <w:r>
                                      <w:rPr>
                                        <w:rFonts w:hint="eastAsia"/>
                                      </w:rPr>
                                      <w:t>化粪池</w:t>
                                    </w:r>
                                  </w:p>
                                </w:txbxContent>
                              </wps:txbx>
                              <wps:bodyPr upright="1"/>
                            </wps:wsp>
                            <wps:wsp>
                              <wps:cNvPr id="10" name="直接连接符 76"/>
                              <wps:cNvCnPr/>
                              <wps:spPr>
                                <a:xfrm flipV="1">
                                  <a:off x="3561080" y="456565"/>
                                  <a:ext cx="447675" cy="8890"/>
                                </a:xfrm>
                                <a:prstGeom prst="line">
                                  <a:avLst/>
                                </a:prstGeom>
                                <a:ln w="9525" cap="flat" cmpd="sng">
                                  <a:solidFill>
                                    <a:srgbClr val="000000"/>
                                  </a:solidFill>
                                  <a:prstDash val="solid"/>
                                  <a:round/>
                                  <a:headEnd type="none" w="med" len="med"/>
                                  <a:tailEnd type="triangle" w="med" len="med"/>
                                </a:ln>
                              </wps:spPr>
                              <wps:bodyPr upright="1"/>
                            </wps:wsp>
                            <wps:wsp>
                              <wps:cNvPr id="11" name="矩形 77"/>
                              <wps:cNvSpPr/>
                              <wps:spPr>
                                <a:xfrm>
                                  <a:off x="3488055" y="255905"/>
                                  <a:ext cx="511810" cy="241300"/>
                                </a:xfrm>
                                <a:prstGeom prst="rect">
                                  <a:avLst/>
                                </a:prstGeom>
                                <a:noFill/>
                                <a:ln>
                                  <a:noFill/>
                                </a:ln>
                                <a:effectLst/>
                              </wps:spPr>
                              <wps:txbx>
                                <w:txbxContent>
                                  <w:p w14:paraId="1C9AE4B9">
                                    <w:pPr>
                                      <w:adjustRightInd w:val="0"/>
                                      <w:snapToGrid w:val="0"/>
                                      <w:rPr>
                                        <w:rFonts w:hint="default" w:eastAsia="宋体"/>
                                        <w:lang w:val="en-US" w:eastAsia="zh-CN"/>
                                      </w:rPr>
                                    </w:pPr>
                                    <w:r>
                                      <w:rPr>
                                        <w:rFonts w:hint="eastAsia"/>
                                        <w:lang w:val="en-US" w:eastAsia="zh-CN"/>
                                      </w:rPr>
                                      <w:t>1.212</w:t>
                                    </w:r>
                                  </w:p>
                                </w:txbxContent>
                              </wps:txbx>
                              <wps:bodyPr upright="1"/>
                            </wps:wsp>
                            <wps:wsp>
                              <wps:cNvPr id="12" name="矩形 78"/>
                              <wps:cNvSpPr/>
                              <wps:spPr>
                                <a:xfrm>
                                  <a:off x="4008755" y="227330"/>
                                  <a:ext cx="1094740" cy="4572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A163F9">
                                    <w:pPr>
                                      <w:adjustRightInd w:val="0"/>
                                      <w:snapToGrid w:val="0"/>
                                      <w:jc w:val="center"/>
                                      <w:rPr>
                                        <w:rFonts w:hint="eastAsia" w:ascii="Times New Roman" w:hAnsi="Times New Roman" w:eastAsia="宋体" w:cs="Times New Roman"/>
                                        <w:color w:val="auto"/>
                                        <w:sz w:val="21"/>
                                        <w:szCs w:val="21"/>
                                        <w:lang w:val="en-US" w:eastAsia="zh-CN"/>
                                      </w:rPr>
                                    </w:pPr>
                                    <w:r>
                                      <w:rPr>
                                        <w:rFonts w:hint="eastAsia"/>
                                        <w:color w:val="auto"/>
                                        <w:sz w:val="21"/>
                                        <w:szCs w:val="21"/>
                                        <w:lang w:val="en-US" w:eastAsia="zh-CN"/>
                                      </w:rPr>
                                      <w:t>排</w:t>
                                    </w:r>
                                    <w:r>
                                      <w:rPr>
                                        <w:rFonts w:hint="eastAsia"/>
                                        <w:color w:val="auto"/>
                                        <w:sz w:val="21"/>
                                        <w:szCs w:val="21"/>
                                      </w:rPr>
                                      <w:t>入</w:t>
                                    </w:r>
                                    <w:r>
                                      <w:rPr>
                                        <w:rFonts w:hint="eastAsia" w:ascii="Times New Roman" w:hAnsi="Times New Roman" w:eastAsia="宋体" w:cs="Times New Roman"/>
                                        <w:color w:val="auto"/>
                                        <w:sz w:val="21"/>
                                        <w:szCs w:val="21"/>
                                        <w:lang w:val="en-US" w:eastAsia="zh-CN"/>
                                      </w:rPr>
                                      <w:t>泾河新城</w:t>
                                    </w:r>
                                  </w:p>
                                  <w:p w14:paraId="4E0A1B07">
                                    <w:pPr>
                                      <w:adjustRightInd w:val="0"/>
                                      <w:snapToGrid w:val="0"/>
                                      <w:jc w:val="center"/>
                                      <w:rPr>
                                        <w:rFonts w:hint="eastAsia"/>
                                        <w:color w:val="auto"/>
                                        <w:sz w:val="21"/>
                                        <w:szCs w:val="21"/>
                                      </w:rPr>
                                    </w:pPr>
                                    <w:r>
                                      <w:rPr>
                                        <w:rFonts w:hint="eastAsia" w:ascii="Times New Roman" w:hAnsi="Times New Roman" w:eastAsia="宋体" w:cs="Times New Roman"/>
                                        <w:color w:val="auto"/>
                                        <w:sz w:val="21"/>
                                        <w:szCs w:val="21"/>
                                        <w:lang w:val="en-US" w:eastAsia="zh-CN"/>
                                      </w:rPr>
                                      <w:t>第二污水处理厂</w:t>
                                    </w:r>
                                  </w:p>
                                </w:txbxContent>
                              </wps:txbx>
                              <wps:bodyPr lIns="36000" tIns="36000" rIns="36000" bIns="36000" upright="1"/>
                            </wps:wsp>
                            <wps:wsp>
                              <wps:cNvPr id="13" name="矩形 80"/>
                              <wps:cNvSpPr/>
                              <wps:spPr>
                                <a:xfrm>
                                  <a:off x="2027555" y="265430"/>
                                  <a:ext cx="503555" cy="265430"/>
                                </a:xfrm>
                                <a:prstGeom prst="rect">
                                  <a:avLst/>
                                </a:prstGeom>
                                <a:noFill/>
                                <a:ln>
                                  <a:noFill/>
                                </a:ln>
                                <a:effectLst/>
                              </wps:spPr>
                              <wps:txbx>
                                <w:txbxContent>
                                  <w:p w14:paraId="70077162">
                                    <w:pPr>
                                      <w:adjustRightInd w:val="0"/>
                                      <w:snapToGrid w:val="0"/>
                                      <w:rPr>
                                        <w:rFonts w:hint="default" w:eastAsia="宋体"/>
                                        <w:lang w:val="en-US" w:eastAsia="zh-CN"/>
                                      </w:rPr>
                                    </w:pPr>
                                    <w:r>
                                      <w:rPr>
                                        <w:rFonts w:hint="eastAsia"/>
                                        <w:lang w:val="en-US" w:eastAsia="zh-CN"/>
                                      </w:rPr>
                                      <w:t>1.2125</w:t>
                                    </w:r>
                                  </w:p>
                                </w:txbxContent>
                              </wps:txbx>
                              <wps:bodyPr upright="1"/>
                            </wps:wsp>
                          </wpc:wpc>
                        </a:graphicData>
                      </a:graphic>
                    </wp:inline>
                  </w:drawing>
                </mc:Choice>
                <mc:Fallback>
                  <w:pict>
                    <v:group id="_x0000_s1026" o:spid="_x0000_s1026" o:spt="203" style="height:59.45pt;width:414.75pt;" coordsize="5267325,755015" editas="canvas"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">
                      <o:lock v:ext="edit" aspectratio="f"/>
                      <v:shape id="_x0000_s1026" o:spid="_x0000_s1026" style="position:absolute;left:0;top:0;height:755015;width:5267325;" filled="f" stroked="f" coordsize="21600,21600"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">
                        <v:fill on="f" focussize="0,0"/>
                        <v:stroke on="f"/>
                        <v:imagedata o:title=""/>
                        <o:lock v:ext="edit" aspectratio="f"/>
                      </v:shape>
                      <v:rect id="矩形 68" o:spid="_x0000_s1026" o:spt="1" style="position:absolute;left:37465;top:337820;height:279400;width:593725;" fillcolor="#FFFFFF" filled="t" stroked="t" coordsize="21600,21600" o:gfxdata="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HoPkwtQAAAAFAQAADwAAAAAAAAABACAA&#10;AAAiAAAAZHJzL2Rvd25yZXYueG1sUEsBAhQAFAAAAAgAh07iQCSZiV0RAgAAQAQAAA4AAAAAAAAA&#10;AQAgAAAAIwEAAGRycy9lMm9Eb2MueG1sUEsFBgAAAAAGAAYAWQEAAKYFAAAAAA==&#10;">
                        <v:fill on="t" focussize="0,0"/>
                        <v:stroke color="#000000" joinstyle="miter"/>
                        <v:imagedata o:title=""/>
                        <o:lock v:ext="edit" aspectratio="f"/>
                        <v:textbox>
                          <w:txbxContent>
                            <w:p w14:paraId="546C8782">
                              <w:pPr>
                                <w:adjustRightInd w:val="0"/>
                                <w:snapToGrid w:val="0"/>
                                <w:jc w:val="center"/>
                                <w:rPr>
                                  <w:rFonts w:hint="default"/>
                                  <w:lang w:val="en-US"/>
                                </w:rPr>
                              </w:pPr>
                              <w:r>
                                <w:rPr>
                                  <w:rFonts w:hint="eastAsia"/>
                                  <w:lang w:val="en-US" w:eastAsia="zh-CN"/>
                                </w:rPr>
                                <w:t>新鲜水</w:t>
                              </w:r>
                            </w:p>
                          </w:txbxContent>
                        </v:textbox>
                      </v:rect>
                      <v:line id="直接连接符 69" o:spid="_x0000_s1026" o:spt="20" style="position:absolute;left:634365;top:474980;height:0;width:410210;" filled="f" stroked="t" coordsize="21600,21600" o:gfxdata="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Wk2MI1gAAAAUBAAAPAAAAAAAAAAEAIAAA&#10;ACIAAABkcnMvZG93bnJldi54bWxQSwECFAAUAAAACACHTuJAVas4oQ4CAAAABAAADgAAAAAAAAAB&#10;ACAAAAAlAQAAZHJzL2Uyb0RvYy54bWxQSwUGAAAAAAYABgBZAQAApQUAAAAA&#10;">
                        <v:fill on="f" focussize="0,0"/>
                        <v:stroke color="#000000" joinstyle="round" endarrow="block"/>
                        <v:imagedata o:title=""/>
                        <o:lock v:ext="edit" aspectratio="f"/>
                      </v:line>
                      <v:rect id="矩形 70" o:spid="_x0000_s1026" o:spt="1" style="position:absolute;left:577850;top:276225;height:265430;width:509905;" filled="f" stroked="f" coordsize="21600,21600"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vj&#10;/hfXAAAABQEAAA8AAAAAAAAAAQAgAAAAIgAAAGRycy9kb3ducmV2LnhtbFBLAQIUABQAAAAIAIdO&#10;4kBrqVxAsgEAAFkDAAAOAAAAAAAAAAEAIAAAACYBAABkcnMvZTJvRG9jLnhtbFBLBQYAAAAABgAG&#10;AFkBAABKBQAAAAA=&#10;">
                        <v:fill on="f" focussize="0,0"/>
                        <v:stroke on="f"/>
                        <v:imagedata o:title=""/>
                        <o:lock v:ext="edit" aspectratio="f"/>
                        <v:textbox>
                          <w:txbxContent>
                            <w:p w14:paraId="76541D4C">
                              <w:pPr>
                                <w:adjustRightInd w:val="0"/>
                                <w:snapToGrid w:val="0"/>
                                <w:rPr>
                                  <w:rFonts w:hint="default" w:eastAsia="宋体"/>
                                  <w:lang w:val="en-US" w:eastAsia="zh-CN"/>
                                </w:rPr>
                              </w:pPr>
                              <w:r>
                                <w:rPr>
                                  <w:rFonts w:hint="eastAsia"/>
                                  <w:lang w:val="en-US" w:eastAsia="zh-CN"/>
                                </w:rPr>
                                <w:t>1.5155</w:t>
                              </w:r>
                            </w:p>
                          </w:txbxContent>
                        </v:textbox>
                      </v:rect>
                      <v:rect id="矩形 71" o:spid="_x0000_s1026" o:spt="1" style="position:absolute;left:1047750;top:318135;height:285115;width:1029335;" fillcolor="#FFFFFF" filled="t" stroked="t" coordsize="21600,21600" o:gfxdata="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eg+TC1AAAAAUBAAAPAAAAAAAAAAEA&#10;IAAAACIAAABkcnMvZG93bnJldi54bWxQSwECFAAUAAAACACHTuJATkA0FBMCAABDBAAADgAAAAAA&#10;AAABACAAAAAjAQAAZHJzL2Uyb0RvYy54bWxQSwUGAAAAAAYABgBZAQAAqAUAAAAA&#10;">
                        <v:fill on="t" focussize="0,0"/>
                        <v:stroke color="#000000" joinstyle="miter"/>
                        <v:imagedata o:title=""/>
                        <o:lock v:ext="edit" aspectratio="f"/>
                        <v:textbox>
                          <w:txbxContent>
                            <w:p w14:paraId="21F88784">
                              <w:pPr>
                                <w:jc w:val="center"/>
                                <w:rPr>
                                  <w:rFonts w:hint="eastAsia"/>
                                </w:rPr>
                              </w:pPr>
                              <w:r>
                                <w:rPr>
                                  <w:rFonts w:hint="eastAsia"/>
                                  <w:b w:val="0"/>
                                  <w:bCs/>
                                  <w:color w:val="000000"/>
                                  <w:sz w:val="21"/>
                                  <w:szCs w:val="21"/>
                                  <w:lang w:eastAsia="zh-CN"/>
                                </w:rPr>
                                <w:t>办公</w:t>
                              </w:r>
                              <w:r>
                                <w:rPr>
                                  <w:rFonts w:ascii="Times New Roman" w:hAnsi="Times New Roman"/>
                                  <w:b w:val="0"/>
                                  <w:bCs/>
                                  <w:color w:val="000000"/>
                                  <w:sz w:val="21"/>
                                  <w:szCs w:val="21"/>
                                </w:rPr>
                                <w:t>生活用水</w:t>
                              </w:r>
                            </w:p>
                          </w:txbxContent>
                        </v:textbox>
                      </v:rect>
                      <v:line id="直接连接符 72" o:spid="_x0000_s1026" o:spt="20" style="position:absolute;left:1266825;top:198120;flip:y;height:120015;width:255270;" filled="f" stroked="t" coordsize="21600,21600" o:gfxdata="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IimfEdQAAAAFAQAADwAAAAAA&#10;AAABACAAAAAiAAAAZHJzL2Rvd25yZXYueG1sUEsBAhQAFAAAAAgAh07iQGKc/UEXAgAAEAQAAA4A&#10;AAAAAAAAAQAgAAAAIwEAAGRycy9lMm9Eb2MueG1sUEsFBgAAAAAGAAYAWQEAAKwFAAAAAA==&#10;">
                        <v:fill on="f" focussize="0,0"/>
                        <v:stroke color="#000000" joinstyle="round" dashstyle="1 1" endcap="round" endarrow="block"/>
                        <v:imagedata o:title=""/>
                        <o:lock v:ext="edit" aspectratio="f"/>
                      </v:line>
                      <v:rect id="矩形 73" o:spid="_x0000_s1026" o:spt="1" style="position:absolute;left:1429385;top:49530;height:304165;width:797560;" filled="f" stroked="f" coordsize="21600,21600"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vj&#10;/hfXAAAABQEAAA8AAAAAAAAAAQAgAAAAIgAAAGRycy9kb3ducmV2LnhtbFBLAQIUABQAAAAIAIdO&#10;4kDL+oRUsgEAAFkDAAAOAAAAAAAAAAEAIAAAACYBAABkcnMvZTJvRG9jLnhtbFBLBQYAAAAABgAG&#10;AFkBAABKBQAAAAA=&#10;">
                        <v:fill on="f" focussize="0,0"/>
                        <v:stroke on="f"/>
                        <v:imagedata o:title=""/>
                        <o:lock v:ext="edit" aspectratio="f"/>
                        <v:textbox>
                          <w:txbxContent>
                            <w:p w14:paraId="47A53893">
                              <w:pPr>
                                <w:adjustRightInd w:val="0"/>
                                <w:snapToGrid w:val="0"/>
                                <w:rPr>
                                  <w:rFonts w:hint="default" w:eastAsia="宋体"/>
                                  <w:lang w:val="en-US" w:eastAsia="zh-CN"/>
                                </w:rPr>
                              </w:pPr>
                              <w:r>
                                <w:rPr>
                                  <w:rFonts w:hint="eastAsia"/>
                                </w:rPr>
                                <w:t>消耗</w:t>
                              </w:r>
                              <w:r>
                                <w:rPr>
                                  <w:rFonts w:hint="eastAsia"/>
                                  <w:lang w:val="en-US" w:eastAsia="zh-CN"/>
                                </w:rPr>
                                <w:t>0.303</w:t>
                              </w:r>
                            </w:p>
                          </w:txbxContent>
                        </v:textbox>
                      </v:rect>
                      <v:line id="直接连接符 74" o:spid="_x0000_s1026" o:spt="20" style="position:absolute;left:2082165;top:468630;height:6350;width:457835;" filled="f" stroked="t" coordsize="21600,21600" o:gfxdata="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VpNjCNYAAAAFAQAADwAAAAAAAAABACAA&#10;AAAiAAAAZHJzL2Rvd25yZXYueG1sUEsBAhQAFAAAAAgAh07iQEcWGQAPAgAABAQAAA4AAAAAAAAA&#10;AQAgAAAAJQEAAGRycy9lMm9Eb2MueG1sUEsFBgAAAAAGAAYAWQEAAKYFAAAAAA==&#10;">
                        <v:fill on="f" focussize="0,0"/>
                        <v:stroke color="#000000" joinstyle="round" endarrow="block"/>
                        <v:imagedata o:title=""/>
                        <o:lock v:ext="edit" aspectratio="f"/>
                      </v:line>
                      <v:rect id="矩形 75" o:spid="_x0000_s1026" o:spt="1" style="position:absolute;left:2542540;top:318770;height:279400;width:1003300;" fillcolor="#FFFFFF" filled="t" stroked="t" coordsize="21600,21600" o:gfxdata="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eg+TC1AAAAAUBAAAPAAAAAAAAAAEAIAAA&#10;ACIAAABkcnMvZG93bnJldi54bWxQSwECFAAUAAAACACHTuJAHw3QgRACAABDBAAADgAAAAAAAAAB&#10;ACAAAAAjAQAAZHJzL2Uyb0RvYy54bWxQSwUGAAAAAAYABgBZAQAApQUAAAAA&#10;">
                        <v:fill on="t" focussize="0,0"/>
                        <v:stroke color="#000000" joinstyle="miter"/>
                        <v:imagedata o:title=""/>
                        <o:lock v:ext="edit" aspectratio="f"/>
                        <v:textbox>
                          <w:txbxContent>
                            <w:p w14:paraId="49583245">
                              <w:pPr>
                                <w:adjustRightInd w:val="0"/>
                                <w:snapToGrid w:val="0"/>
                                <w:jc w:val="center"/>
                                <w:rPr>
                                  <w:rFonts w:hint="eastAsia"/>
                                </w:rPr>
                              </w:pPr>
                              <w:r>
                                <w:rPr>
                                  <w:rFonts w:hint="eastAsia"/>
                                  <w:lang w:val="en-US" w:eastAsia="zh-CN"/>
                                </w:rPr>
                                <w:t>园区</w:t>
                              </w:r>
                              <w:r>
                                <w:rPr>
                                  <w:rFonts w:hint="eastAsia"/>
                                </w:rPr>
                                <w:t>化粪池</w:t>
                              </w:r>
                            </w:p>
                          </w:txbxContent>
                        </v:textbox>
                      </v:rect>
                      <v:line id="直接连接符 76" o:spid="_x0000_s1026" o:spt="20" style="position:absolute;left:3561080;top:456565;flip:y;height:8890;width:447675;" filled="f" stroked="t" coordsize="21600,21600" o:gfxdata="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779lvWAAAABQEAAA8A&#10;AAAAAAAAAQAgAAAAIgAAAGRycy9kb3ducmV2LnhtbFBLAQIUABQAAAAIAIdO4kBDPk8tGQIAAAsE&#10;AAAOAAAAAAAAAAEAIAAAACUBAABkcnMvZTJvRG9jLnhtbFBLBQYAAAAABgAGAFkBAACwBQAAAAA=&#10;">
                        <v:fill on="f" focussize="0,0"/>
                        <v:stroke color="#000000" joinstyle="round" endarrow="block"/>
                        <v:imagedata o:title=""/>
                        <o:lock v:ext="edit" aspectratio="f"/>
                      </v:line>
                      <v:rect id="矩形 77" o:spid="_x0000_s1026" o:spt="1" style="position:absolute;left:3488055;top:255905;height:241300;width:511810;" filled="f" stroked="f" coordsize="21600,21600"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2+P+F9cAAAAFAQAADwAAAAAAAAABACAAAAAiAAAAZHJzL2Rvd25yZXYueG1sUEsBAhQAFAAAAAgA&#10;h07iQCw2gdK0AQAAWwMAAA4AAAAAAAAAAQAgAAAAJgEAAGRycy9lMm9Eb2MueG1sUEsFBgAAAAAG&#10;AAYAWQEAAEwFAAAAAA==&#10;">
                        <v:fill on="f" focussize="0,0"/>
                        <v:stroke on="f"/>
                        <v:imagedata o:title=""/>
                        <o:lock v:ext="edit" aspectratio="f"/>
                        <v:textbox>
                          <w:txbxContent>
                            <w:p w14:paraId="1C9AE4B9">
                              <w:pPr>
                                <w:adjustRightInd w:val="0"/>
                                <w:snapToGrid w:val="0"/>
                                <w:rPr>
                                  <w:rFonts w:hint="default" w:eastAsia="宋体"/>
                                  <w:lang w:val="en-US" w:eastAsia="zh-CN"/>
                                </w:rPr>
                              </w:pPr>
                              <w:r>
                                <w:rPr>
                                  <w:rFonts w:hint="eastAsia"/>
                                  <w:lang w:val="en-US" w:eastAsia="zh-CN"/>
                                </w:rPr>
                                <w:t>1.212</w:t>
                              </w:r>
                            </w:p>
                          </w:txbxContent>
                        </v:textbox>
                      </v:rect>
                      <v:rect id="矩形 78" o:spid="_x0000_s1026" o:spt="1" style="position:absolute;left:4008755;top:227330;height:457200;width:1094740;" fillcolor="#FFFFFF" filled="t" stroked="t" coordsize="21600,21600" o:gfxdata="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mPX/CNUA&#10;AAAFAQAADwAAAAAAAAABACAAAAAiAAAAZHJzL2Rvd25yZXYueG1sUEsBAhQAFAAAAAgAh07iQCc/&#10;ajQiAgAAagQAAA4AAAAAAAAAAQAgAAAAJAEAAGRycy9lMm9Eb2MueG1sUEsFBgAAAAAGAAYAWQEA&#10;ALgFAAAAAA==&#10;">
                        <v:fill on="t" focussize="0,0"/>
                        <v:stroke color="#000000" joinstyle="miter"/>
                        <v:imagedata o:title=""/>
                        <o:lock v:ext="edit" aspectratio="f"/>
                        <v:textbox inset="1mm,1mm,1mm,1mm">
                          <w:txbxContent>
                            <w:p w14:paraId="4CA163F9">
                              <w:pPr>
                                <w:adjustRightInd w:val="0"/>
                                <w:snapToGrid w:val="0"/>
                                <w:jc w:val="center"/>
                                <w:rPr>
                                  <w:rFonts w:hint="eastAsia" w:ascii="Times New Roman" w:hAnsi="Times New Roman" w:eastAsia="宋体" w:cs="Times New Roman"/>
                                  <w:color w:val="auto"/>
                                  <w:sz w:val="21"/>
                                  <w:szCs w:val="21"/>
                                  <w:lang w:val="en-US" w:eastAsia="zh-CN"/>
                                </w:rPr>
                              </w:pPr>
                              <w:r>
                                <w:rPr>
                                  <w:rFonts w:hint="eastAsia"/>
                                  <w:color w:val="auto"/>
                                  <w:sz w:val="21"/>
                                  <w:szCs w:val="21"/>
                                  <w:lang w:val="en-US" w:eastAsia="zh-CN"/>
                                </w:rPr>
                                <w:t>排</w:t>
                              </w:r>
                              <w:r>
                                <w:rPr>
                                  <w:rFonts w:hint="eastAsia"/>
                                  <w:color w:val="auto"/>
                                  <w:sz w:val="21"/>
                                  <w:szCs w:val="21"/>
                                </w:rPr>
                                <w:t>入</w:t>
                              </w:r>
                              <w:r>
                                <w:rPr>
                                  <w:rFonts w:hint="eastAsia" w:ascii="Times New Roman" w:hAnsi="Times New Roman" w:eastAsia="宋体" w:cs="Times New Roman"/>
                                  <w:color w:val="auto"/>
                                  <w:sz w:val="21"/>
                                  <w:szCs w:val="21"/>
                                  <w:lang w:val="en-US" w:eastAsia="zh-CN"/>
                                </w:rPr>
                                <w:t>泾河新城</w:t>
                              </w:r>
                            </w:p>
                            <w:p w14:paraId="4E0A1B07">
                              <w:pPr>
                                <w:adjustRightInd w:val="0"/>
                                <w:snapToGrid w:val="0"/>
                                <w:jc w:val="center"/>
                                <w:rPr>
                                  <w:rFonts w:hint="eastAsia"/>
                                  <w:color w:val="auto"/>
                                  <w:sz w:val="21"/>
                                  <w:szCs w:val="21"/>
                                </w:rPr>
                              </w:pPr>
                              <w:r>
                                <w:rPr>
                                  <w:rFonts w:hint="eastAsia" w:ascii="Times New Roman" w:hAnsi="Times New Roman" w:eastAsia="宋体" w:cs="Times New Roman"/>
                                  <w:color w:val="auto"/>
                                  <w:sz w:val="21"/>
                                  <w:szCs w:val="21"/>
                                  <w:lang w:val="en-US" w:eastAsia="zh-CN"/>
                                </w:rPr>
                                <w:t>第二污水处理厂</w:t>
                              </w:r>
                            </w:p>
                          </w:txbxContent>
                        </v:textbox>
                      </v:rect>
                      <v:rect id="矩形 80" o:spid="_x0000_s1026" o:spt="1" style="position:absolute;left:2027555;top:265430;height:265430;width:503555;" filled="f" stroked="f" coordsize="21600,21600" o:gfxdata="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Nvj/hfXAAAA&#10;BQEAAA8AAAAAAAAAAQAgAAAAIgAAAGRycy9kb3ducmV2LnhtbFBLAQIUABQAAAAIAIdO4kBHO+vR&#10;rAEAAFsDAAAOAAAAAAAAAAEAIAAAACYBAABkcnMvZTJvRG9jLnhtbFBLBQYAAAAABgAGAFkBAABE&#10;BQAAAAA=&#10;">
                        <v:fill on="f" focussize="0,0"/>
                        <v:stroke on="f"/>
                        <v:imagedata o:title=""/>
                        <o:lock v:ext="edit" aspectratio="f"/>
                        <v:textbox>
                          <w:txbxContent>
                            <w:p w14:paraId="70077162">
                              <w:pPr>
                                <w:adjustRightInd w:val="0"/>
                                <w:snapToGrid w:val="0"/>
                                <w:rPr>
                                  <w:rFonts w:hint="default" w:eastAsia="宋体"/>
                                  <w:lang w:val="en-US" w:eastAsia="zh-CN"/>
                                </w:rPr>
                              </w:pPr>
                              <w:r>
                                <w:rPr>
                                  <w:rFonts w:hint="eastAsia"/>
                                  <w:lang w:val="en-US" w:eastAsia="zh-CN"/>
                                </w:rPr>
                                <w:t>1.2125</w:t>
                              </w:r>
                            </w:p>
                          </w:txbxContent>
                        </v:textbox>
                      </v:rect>
                      <w10:wrap type="none"/>
                      <w10:anchorlock/>
                    </v:group>
                  </w:pict>
                </mc:Fallback>
              </mc:AlternateContent>
            </w:r>
            <w:r>
              <w:rPr>
                <w:rFonts w:hint="default" w:ascii="Times New Roman" w:hAnsi="Times New Roman" w:cs="Times New Roman"/>
                <w:b/>
                <w:bCs w:val="0"/>
                <w:color w:val="000000" w:themeColor="text1"/>
                <w:sz w:val="21"/>
                <w:szCs w:val="21"/>
                <w:highlight w:val="none"/>
                <w:lang w:val="en-US" w:eastAsia="zh-CN"/>
                <w14:textFill>
                  <w14:solidFill>
                    <w14:schemeClr w14:val="tx1"/>
                  </w14:solidFill>
                </w14:textFill>
              </w:rPr>
              <w:t>图2-1 项目水平衡图 单位：m</w:t>
            </w:r>
            <w:r>
              <w:rPr>
                <w:rFonts w:hint="default" w:ascii="Times New Roman" w:hAnsi="Times New Roman" w:cs="Times New Roman"/>
                <w:b/>
                <w:bCs w:val="0"/>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b/>
                <w:bCs w:val="0"/>
                <w:color w:val="000000" w:themeColor="text1"/>
                <w:sz w:val="21"/>
                <w:szCs w:val="21"/>
                <w:highlight w:val="none"/>
                <w:lang w:val="en-US" w:eastAsia="zh-CN"/>
                <w14:textFill>
                  <w14:solidFill>
                    <w14:schemeClr w14:val="tx1"/>
                  </w14:solidFill>
                </w14:textFill>
              </w:rPr>
              <w:t>/d</w:t>
            </w:r>
          </w:p>
          <w:p w14:paraId="650A2D91">
            <w:pPr>
              <w:numPr>
                <w:ilvl w:val="0"/>
                <w:numId w:val="0"/>
              </w:numPr>
              <w:adjustRightInd w:val="0"/>
              <w:snapToGrid w:val="0"/>
              <w:spacing w:line="360" w:lineRule="auto"/>
              <w:jc w:val="both"/>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pPr>
            <w:r>
              <w:rPr>
                <w:rFonts w:hint="eastAsia" w:cs="Times New Roman"/>
                <w:b/>
                <w:bCs/>
                <w:color w:val="000000" w:themeColor="text1"/>
                <w:kern w:val="2"/>
                <w:sz w:val="24"/>
                <w:szCs w:val="24"/>
                <w:highlight w:val="none"/>
                <w:lang w:val="en-US" w:eastAsia="zh-CN" w:bidi="ar-SA"/>
                <w14:textFill>
                  <w14:solidFill>
                    <w14:schemeClr w14:val="tx1"/>
                  </w14:solidFill>
                </w14:textFill>
              </w:rPr>
              <w:t>8</w:t>
            </w: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t>劳动定员及工作制度</w:t>
            </w:r>
          </w:p>
          <w:p w14:paraId="67F0DC8A">
            <w:pPr>
              <w:numPr>
                <w:ilvl w:val="0"/>
                <w:numId w:val="0"/>
              </w:numPr>
              <w:adjustRightInd w:val="0"/>
              <w:snapToGrid w:val="0"/>
              <w:spacing w:line="360" w:lineRule="auto"/>
              <w:ind w:firstLine="480" w:firstLineChars="200"/>
              <w:jc w:val="both"/>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本项目劳动定员</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20</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人，工作制度为</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三</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班制，每班工作</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8</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小时，年工作</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330</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天，员工均不在厂区内食宿。</w:t>
            </w:r>
          </w:p>
          <w:p w14:paraId="2B80846F">
            <w:pPr>
              <w:numPr>
                <w:ilvl w:val="0"/>
                <w:numId w:val="0"/>
              </w:numPr>
              <w:adjustRightInd w:val="0"/>
              <w:snapToGrid w:val="0"/>
              <w:spacing w:line="360" w:lineRule="auto"/>
              <w:jc w:val="both"/>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pPr>
            <w:r>
              <w:rPr>
                <w:rFonts w:hint="eastAsia" w:cs="Times New Roman"/>
                <w:b/>
                <w:bCs/>
                <w:color w:val="000000" w:themeColor="text1"/>
                <w:kern w:val="2"/>
                <w:sz w:val="24"/>
                <w:szCs w:val="24"/>
                <w:highlight w:val="none"/>
                <w:lang w:val="en-US" w:eastAsia="zh-CN" w:bidi="ar-SA"/>
                <w14:textFill>
                  <w14:solidFill>
                    <w14:schemeClr w14:val="tx1"/>
                  </w14:solidFill>
                </w14:textFill>
              </w:rPr>
              <w:t>9</w:t>
            </w:r>
            <w:r>
              <w:rPr>
                <w:rFonts w:hint="default"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cs="Times New Roman"/>
                <w:b/>
                <w:bCs w:val="0"/>
                <w:color w:val="000000" w:themeColor="text1"/>
                <w:sz w:val="24"/>
                <w:szCs w:val="24"/>
                <w:highlight w:val="none"/>
                <w:lang w:val="en-US" w:eastAsia="zh-CN"/>
                <w14:textFill>
                  <w14:solidFill>
                    <w14:schemeClr w14:val="tx1"/>
                  </w14:solidFill>
                </w14:textFill>
              </w:rPr>
              <w:t>平面布置</w:t>
            </w:r>
          </w:p>
          <w:p w14:paraId="07A587FC">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本项目位于</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陕西省西咸新区泾河新城永乐工业园区南北大道陕西国坤时代科技有限公司2号厂房</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办公室</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位于</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园区西南</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角</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办公楼，用于办公</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生产车间位于园区东南角，</w:t>
            </w:r>
            <w:r>
              <w:rPr>
                <w:rFonts w:hint="eastAsia" w:ascii="Times New Roman" w:hAnsi="Times New Roman" w:eastAsia="宋体" w:cs="Times New Roman"/>
                <w:bCs/>
                <w:color w:val="000000" w:themeColor="text1"/>
                <w:sz w:val="24"/>
                <w:szCs w:val="24"/>
                <w:highlight w:val="none"/>
                <w:lang w:val="zh-CN" w:eastAsia="zh-CN"/>
                <w14:textFill>
                  <w14:solidFill>
                    <w14:schemeClr w14:val="tx1"/>
                  </w14:solidFill>
                </w14:textFill>
              </w:rPr>
              <w:t>RDF固体废物衍生燃料</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生产线位于车间内东北侧，分拣预处理区位于其西侧，原料区位于车间内西南侧，成品区位于车间内东南侧，备件库位于车间内西北侧，危废贮存库位于车间内西北侧，地磅位于车间外南侧。</w:t>
            </w:r>
          </w:p>
          <w:p w14:paraId="4A513AF9">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项目各区域衔接适当、物流通畅、布置合理，周边交通便利，可以满足日常生产需求。项目平面布置图见附图5。</w:t>
            </w:r>
          </w:p>
        </w:tc>
      </w:tr>
      <w:tr w14:paraId="40FC6A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446" w:type="dxa"/>
            <w:noWrap w:val="0"/>
            <w:vAlign w:val="center"/>
          </w:tcPr>
          <w:p w14:paraId="4DFCCB6A">
            <w:pPr>
              <w:pStyle w:val="21"/>
              <w:adjustRightInd w:val="0"/>
              <w:snapToGrid w:val="0"/>
              <w:spacing w:before="0" w:beforeAutospacing="0" w:after="0" w:afterAutospacing="0"/>
              <w:jc w:val="center"/>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val="0"/>
                <w:bCs w:val="0"/>
                <w:color w:val="000000" w:themeColor="text1"/>
                <w:sz w:val="24"/>
                <w:szCs w:val="24"/>
                <w:highlight w:val="none"/>
                <w14:textFill>
                  <w14:solidFill>
                    <w14:schemeClr w14:val="tx1"/>
                  </w14:solidFill>
                </w14:textFill>
              </w:rPr>
              <w:t>工艺流程和产排污环节</w:t>
            </w:r>
          </w:p>
        </w:tc>
        <w:tc>
          <w:tcPr>
            <w:tcW w:w="8538" w:type="dxa"/>
            <w:noWrap w:val="0"/>
            <w:vAlign w:val="top"/>
          </w:tcPr>
          <w:p w14:paraId="4B7A851D">
            <w:pPr>
              <w:numPr>
                <w:ilvl w:val="0"/>
                <w:numId w:val="0"/>
              </w:numPr>
              <w:adjustRightInd w:val="0"/>
              <w:snapToGrid w:val="0"/>
              <w:spacing w:line="360" w:lineRule="auto"/>
              <w:jc w:val="both"/>
              <w:rPr>
                <w:rFonts w:hint="default" w:ascii="Times New Roman" w:hAnsi="Times New Roman" w:eastAsia="宋体"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val="en-US" w:eastAsia="zh-CN"/>
                <w14:textFill>
                  <w14:solidFill>
                    <w14:schemeClr w14:val="tx1"/>
                  </w14:solidFill>
                </w14:textFill>
              </w:rPr>
              <w:t>一、施工期工程分析</w:t>
            </w:r>
          </w:p>
          <w:p w14:paraId="75E67477">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本项目位于</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陕西省西咸新区泾河新城永乐工业园区南北大道陕西国坤时代科技有限公司2号厂房</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，租用已建成厂房，施工期只进行生产设备和环保设施的安装及调试。施工过程中主要产生少量的设备安装废气、噪声、固废及工人产生的少量生活污水和生活垃圾等。</w:t>
            </w:r>
          </w:p>
          <w:p w14:paraId="43424F22">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项目施工期较短，工程量</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较小</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，且不涉及土建工程，施工结束后污染也随之消失，对环境影响较小，因此本次不对施工期进行影响分析。</w:t>
            </w:r>
          </w:p>
          <w:p w14:paraId="2B71F53E">
            <w:pPr>
              <w:numPr>
                <w:ilvl w:val="0"/>
                <w:numId w:val="3"/>
              </w:numPr>
              <w:adjustRightInd w:val="0"/>
              <w:snapToGrid w:val="0"/>
              <w:spacing w:line="360" w:lineRule="auto"/>
              <w:jc w:val="both"/>
              <w:rPr>
                <w:rFonts w:hint="default" w:ascii="Times New Roman" w:hAnsi="Times New Roman" w:eastAsia="宋体"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val="en-US" w:eastAsia="zh-CN"/>
                <w14:textFill>
                  <w14:solidFill>
                    <w14:schemeClr w14:val="tx1"/>
                  </w14:solidFill>
                </w14:textFill>
              </w:rPr>
              <w:t>运营期工程分析</w:t>
            </w:r>
          </w:p>
          <w:p w14:paraId="432AAB86">
            <w:pPr>
              <w:spacing w:line="360" w:lineRule="auto"/>
              <w:ind w:firstLine="480" w:firstLineChars="200"/>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该项目与产生一般固废的工业企业、科研院校、行政机关等签订一般固体废物处置协议，同时查看各企业</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、科研院校等单位的环评报告、排污许可、检测报告等，确认该类废物属于</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一般固体废物</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，不属于危险废物</w:t>
            </w:r>
            <w:r>
              <w:rPr>
                <w:rFonts w:hint="eastAsia" w:cs="Times New Roman"/>
                <w:bCs/>
                <w:color w:val="000000" w:themeColor="text1"/>
                <w:sz w:val="24"/>
                <w:szCs w:val="24"/>
                <w:highlight w:val="none"/>
                <w:lang w:val="en-US" w:eastAsia="zh-CN"/>
                <w14:textFill>
                  <w14:solidFill>
                    <w14:schemeClr w14:val="tx1"/>
                  </w14:solidFill>
                </w14:textFill>
              </w:rPr>
              <w:t>、医疗废物、城市污水处理厂污泥、工业企业污泥、</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含重金属</w:t>
            </w:r>
            <w:r>
              <w:rPr>
                <w:rFonts w:hint="eastAsia" w:cs="Times New Roman"/>
                <w:b w:val="0"/>
                <w:bCs/>
                <w:color w:val="000000" w:themeColor="text1"/>
                <w:kern w:val="2"/>
                <w:sz w:val="24"/>
                <w:szCs w:val="24"/>
                <w:highlight w:val="none"/>
                <w:lang w:val="en-US" w:eastAsia="zh-CN" w:bidi="ar-SA"/>
                <w14:textFill>
                  <w14:solidFill>
                    <w14:schemeClr w14:val="tx1"/>
                  </w14:solidFill>
                </w14:textFill>
              </w:rPr>
              <w:t>废物</w:t>
            </w: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以及产生渗滤液的固废</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w:t>
            </w:r>
          </w:p>
          <w:p w14:paraId="53001A31">
            <w:pPr>
              <w:spacing w:line="360" w:lineRule="auto"/>
              <w:ind w:firstLine="480" w:firstLineChars="200"/>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在产废单位</w:t>
            </w:r>
            <w:r>
              <w:rPr>
                <w:rFonts w:hint="eastAsia" w:cs="Times New Roman"/>
                <w:bCs/>
                <w:color w:val="000000" w:themeColor="text1"/>
                <w:sz w:val="24"/>
                <w:szCs w:val="24"/>
                <w:highlight w:val="none"/>
                <w:lang w:val="en-US" w:eastAsia="zh-CN"/>
                <w14:textFill>
                  <w14:solidFill>
                    <w14:schemeClr w14:val="tx1"/>
                  </w14:solidFill>
                </w14:textFill>
              </w:rPr>
              <w:t>对</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一般固体废物进行</w:t>
            </w:r>
            <w:r>
              <w:rPr>
                <w:rFonts w:hint="eastAsia" w:cs="Times New Roman"/>
                <w:bCs/>
                <w:color w:val="000000" w:themeColor="text1"/>
                <w:sz w:val="24"/>
                <w:szCs w:val="24"/>
                <w:highlight w:val="none"/>
                <w:lang w:val="en-US" w:eastAsia="zh-CN"/>
                <w14:textFill>
                  <w14:solidFill>
                    <w14:schemeClr w14:val="tx1"/>
                  </w14:solidFill>
                </w14:textFill>
              </w:rPr>
              <w:t>区分（分出可燃物）后，</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对</w:t>
            </w:r>
            <w:r>
              <w:rPr>
                <w:rFonts w:hint="eastAsia" w:cs="Times New Roman"/>
                <w:bCs/>
                <w:color w:val="000000" w:themeColor="text1"/>
                <w:sz w:val="24"/>
                <w:szCs w:val="24"/>
                <w:highlight w:val="none"/>
                <w:lang w:val="en-US" w:eastAsia="zh-CN"/>
                <w14:textFill>
                  <w14:solidFill>
                    <w14:schemeClr w14:val="tx1"/>
                  </w14:solidFill>
                </w14:textFill>
              </w:rPr>
              <w:t>可燃的</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一般固体废物</w:t>
            </w:r>
            <w:r>
              <w:rPr>
                <w:rFonts w:hint="eastAsia" w:cs="Times New Roman"/>
                <w:bCs/>
                <w:color w:val="000000" w:themeColor="text1"/>
                <w:sz w:val="24"/>
                <w:szCs w:val="24"/>
                <w:highlight w:val="none"/>
                <w:lang w:val="en-US" w:eastAsia="zh-CN"/>
                <w14:textFill>
                  <w14:solidFill>
                    <w14:schemeClr w14:val="tx1"/>
                  </w14:solidFill>
                </w14:textFill>
              </w:rPr>
              <w:t>完成</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转运联单的填写，</w:t>
            </w:r>
            <w:r>
              <w:rPr>
                <w:rFonts w:hint="eastAsia" w:cs="Times New Roman"/>
                <w:bCs/>
                <w:color w:val="000000" w:themeColor="text1"/>
                <w:sz w:val="24"/>
                <w:szCs w:val="24"/>
                <w:highlight w:val="none"/>
                <w:lang w:val="en-US" w:eastAsia="zh-CN"/>
                <w14:textFill>
                  <w14:solidFill>
                    <w14:schemeClr w14:val="tx1"/>
                  </w14:solidFill>
                </w14:textFill>
              </w:rPr>
              <w:t>经</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专用车辆运输回厂区后暂存于原料区。</w:t>
            </w:r>
          </w:p>
          <w:p w14:paraId="01CE4DCB">
            <w:pPr>
              <w:pStyle w:val="41"/>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textAlignment w:val="baseline"/>
              <w:rPr>
                <w:rFonts w:hint="eastAsia" w:ascii="Times New Roman" w:hAnsi="Times New Roman" w:eastAsia="宋体" w:cs="Times New Roman"/>
                <w:b/>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val="0"/>
                <w:color w:val="000000" w:themeColor="text1"/>
                <w:kern w:val="2"/>
                <w:sz w:val="24"/>
                <w:szCs w:val="24"/>
                <w:highlight w:val="none"/>
                <w:lang w:val="zh-CN" w:eastAsia="zh-CN" w:bidi="ar-SA"/>
                <w14:textFill>
                  <w14:solidFill>
                    <w14:schemeClr w14:val="tx1"/>
                  </w14:solidFill>
                </w14:textFill>
              </w:rPr>
              <w:t>RDF固体废物衍生燃料</w:t>
            </w:r>
            <w:r>
              <w:rPr>
                <w:rFonts w:hint="eastAsia" w:ascii="Times New Roman" w:hAnsi="Times New Roman" w:eastAsia="宋体" w:cs="Times New Roman"/>
                <w:b/>
                <w:bCs w:val="0"/>
                <w:color w:val="000000" w:themeColor="text1"/>
                <w:kern w:val="2"/>
                <w:sz w:val="24"/>
                <w:szCs w:val="24"/>
                <w:highlight w:val="none"/>
                <w:lang w:val="en-US" w:eastAsia="zh-CN" w:bidi="ar-SA"/>
                <w14:textFill>
                  <w14:solidFill>
                    <w14:schemeClr w14:val="tx1"/>
                  </w14:solidFill>
                </w14:textFill>
              </w:rPr>
              <w:t>生产工艺流程</w:t>
            </w:r>
          </w:p>
          <w:p w14:paraId="79886B70">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（1）上料：将收回来的</w:t>
            </w:r>
            <w:r>
              <w:rPr>
                <w:rFonts w:hint="default" w:ascii="Times New Roman" w:hAnsi="Times New Roman" w:eastAsia="宋体" w:cs="Times New Roman"/>
                <w:bCs/>
                <w:color w:val="000000" w:themeColor="text1"/>
                <w:sz w:val="24"/>
                <w:szCs w:val="24"/>
                <w:highlight w:val="none"/>
                <w:lang w:val="en-GB" w:eastAsia="zh-CN"/>
                <w14:textFill>
                  <w14:solidFill>
                    <w14:schemeClr w14:val="tx1"/>
                  </w14:solidFill>
                </w14:textFill>
              </w:rPr>
              <w:t>一般固废（工业固废、生活垃圾（废纸、废塑料、废纺织物、报废家具、园林垃圾、废包装物）、建筑垃圾中的轻浮物</w:t>
            </w:r>
            <w:r>
              <w:rPr>
                <w:rFonts w:hint="eastAsia" w:ascii="Times New Roman" w:hAnsi="Times New Roman" w:eastAsia="宋体" w:cs="Times New Roman"/>
                <w:bCs/>
                <w:color w:val="000000" w:themeColor="text1"/>
                <w:sz w:val="24"/>
                <w:szCs w:val="24"/>
                <w:highlight w:val="none"/>
                <w:lang w:val="en-GB" w:eastAsia="zh-CN"/>
                <w14:textFill>
                  <w14:solidFill>
                    <w14:schemeClr w14:val="tx1"/>
                  </w14:solidFill>
                </w14:textFill>
              </w:rPr>
              <w:t>（</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上游企业风选完的包装类塑料、装饰类塑料等</w:t>
            </w:r>
            <w:r>
              <w:rPr>
                <w:rFonts w:hint="eastAsia" w:ascii="Times New Roman" w:hAnsi="Times New Roman" w:eastAsia="宋体" w:cs="Times New Roman"/>
                <w:bCs/>
                <w:color w:val="000000" w:themeColor="text1"/>
                <w:sz w:val="24"/>
                <w:szCs w:val="24"/>
                <w:highlight w:val="none"/>
                <w:lang w:val="en-GB" w:eastAsia="zh-CN"/>
                <w14:textFill>
                  <w14:solidFill>
                    <w14:schemeClr w14:val="tx1"/>
                  </w14:solidFill>
                </w14:textFill>
              </w:rPr>
              <w:t>）</w:t>
            </w:r>
            <w:r>
              <w:rPr>
                <w:rFonts w:hint="default" w:ascii="Times New Roman" w:hAnsi="Times New Roman" w:eastAsia="宋体" w:cs="Times New Roman"/>
                <w:bCs/>
                <w:color w:val="000000" w:themeColor="text1"/>
                <w:sz w:val="24"/>
                <w:szCs w:val="24"/>
                <w:highlight w:val="none"/>
                <w:lang w:val="en-GB" w:eastAsia="zh-CN"/>
                <w14:textFill>
                  <w14:solidFill>
                    <w14:schemeClr w14:val="tx1"/>
                  </w14:solidFill>
                </w14:textFill>
              </w:rPr>
              <w:t>、农业固体废物）</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通过抓机或装载机运送至上料链板机上，通过链板机均匀并缓慢的进入到一破撕碎机内进行一破撕碎。此工序产生粉尘</w:t>
            </w:r>
            <w:r>
              <w:rPr>
                <w:rFonts w:hint="eastAsia" w:cs="Times New Roman"/>
                <w:bCs/>
                <w:color w:val="000000" w:themeColor="text1"/>
                <w:sz w:val="24"/>
                <w:szCs w:val="24"/>
                <w:highlight w:val="none"/>
                <w:lang w:val="en-US" w:eastAsia="zh-CN"/>
                <w14:textFill>
                  <w14:solidFill>
                    <w14:schemeClr w14:val="tx1"/>
                  </w14:solidFill>
                </w14:textFill>
              </w:rPr>
              <w:t>、固废</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和设备运转的噪声。</w:t>
            </w:r>
          </w:p>
          <w:p w14:paraId="3726862E">
            <w:pPr>
              <w:numPr>
                <w:ilvl w:val="0"/>
                <w:numId w:val="0"/>
              </w:numPr>
              <w:adjustRightInd w:val="0"/>
              <w:snapToGrid w:val="0"/>
              <w:spacing w:line="360" w:lineRule="auto"/>
              <w:ind w:firstLine="480" w:firstLineChars="200"/>
              <w:jc w:val="both"/>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（2）一次破碎</w:t>
            </w:r>
            <w:r>
              <w:rPr>
                <w:rFonts w:hint="eastAsia" w:cs="Times New Roman"/>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将混合在一起的物料进行粗粉碎，使物料变得更松散。此工序产生粉尘和设备运转的噪声。</w:t>
            </w:r>
          </w:p>
          <w:p w14:paraId="1F0FFD38">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（3）磁选：一破撕碎后的物料通常含有铁等金属，通过带有磁选的皮带输送机，磁选出废铁等金属。此工序产生废铁等金属。</w:t>
            </w:r>
          </w:p>
          <w:p w14:paraId="753B7EBD">
            <w:pPr>
              <w:numPr>
                <w:ilvl w:val="0"/>
                <w:numId w:val="0"/>
              </w:numPr>
              <w:adjustRightInd w:val="0"/>
              <w:snapToGrid w:val="0"/>
              <w:spacing w:line="360" w:lineRule="auto"/>
              <w:ind w:firstLine="480" w:firstLineChars="200"/>
              <w:jc w:val="both"/>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（4）二次破碎：</w:t>
            </w:r>
            <w:r>
              <w:rPr>
                <w:rFonts w:hint="eastAsia" w:cs="Times New Roman"/>
                <w:bCs/>
                <w:color w:val="000000" w:themeColor="text1"/>
                <w:sz w:val="24"/>
                <w:szCs w:val="24"/>
                <w:highlight w:val="none"/>
                <w:lang w:val="en-US" w:eastAsia="zh-CN"/>
                <w14:textFill>
                  <w14:solidFill>
                    <w14:schemeClr w14:val="tx1"/>
                  </w14:solidFill>
                </w14:textFill>
              </w:rPr>
              <w:t>磁选后的原料</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通过输送皮带进入二破撕碎机机腔内进行二次破碎，将物料破碎至10-20厘米大小状。此工序产生粉尘和设备运转的噪声。</w:t>
            </w:r>
          </w:p>
          <w:p w14:paraId="1B81FCA4">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5）磁选和三次破碎：将二次破碎后的物料再次通过带有磁选的皮带输送机，磁选出废铁等金属；再进入三破撕碎机机腔内进行三次破碎，并将物料破碎至3-5厘米大小状。此工序产生粉尘、废铁等金属和设备运转的噪声。</w:t>
            </w:r>
          </w:p>
          <w:p w14:paraId="7E8B72A7">
            <w:pPr>
              <w:numPr>
                <w:ilvl w:val="0"/>
                <w:numId w:val="0"/>
              </w:numPr>
              <w:adjustRightInd w:val="0"/>
              <w:snapToGrid w:val="0"/>
              <w:spacing w:line="360" w:lineRule="auto"/>
              <w:ind w:firstLine="480" w:firstLineChars="200"/>
              <w:jc w:val="both"/>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w:t>
            </w:r>
            <w:r>
              <w:rPr>
                <w:rFonts w:hint="eastAsia" w:cs="Times New Roman"/>
                <w:bCs/>
                <w:color w:val="000000" w:themeColor="text1"/>
                <w:sz w:val="24"/>
                <w:szCs w:val="24"/>
                <w:highlight w:val="none"/>
                <w:lang w:val="en-US" w:eastAsia="zh-CN"/>
                <w14:textFill>
                  <w14:solidFill>
                    <w14:schemeClr w14:val="tx1"/>
                  </w14:solidFill>
                </w14:textFill>
              </w:rPr>
              <w:t>6</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）打包：将三次破碎后的3-5厘米大小状的一般固体废物通过输送皮带进入卧式打包机进行打包处理，打包后的尺寸为1.5×1.2×1.1(长×宽×高)m，此处理方式主要是为了运输方便，节约成本。此工序产生粉尘</w:t>
            </w:r>
            <w:r>
              <w:rPr>
                <w:rFonts w:hint="eastAsia" w:cs="Times New Roman"/>
                <w:bCs/>
                <w:color w:val="000000" w:themeColor="text1"/>
                <w:sz w:val="24"/>
                <w:szCs w:val="24"/>
                <w:highlight w:val="none"/>
                <w:lang w:val="en-US" w:eastAsia="zh-CN"/>
                <w14:textFill>
                  <w14:solidFill>
                    <w14:schemeClr w14:val="tx1"/>
                  </w14:solidFill>
                </w14:textFill>
              </w:rPr>
              <w:t>。</w:t>
            </w:r>
          </w:p>
          <w:p w14:paraId="2EAEC90E">
            <w:pPr>
              <w:pStyle w:val="41"/>
              <w:keepNext w:val="0"/>
              <w:keepLines w:val="0"/>
              <w:pageBreakBefore w:val="0"/>
              <w:widowControl w:val="0"/>
              <w:kinsoku/>
              <w:wordWrap/>
              <w:overflowPunct/>
              <w:topLinePunct w:val="0"/>
              <w:autoSpaceDE w:val="0"/>
              <w:autoSpaceDN w:val="0"/>
              <w:bidi w:val="0"/>
              <w:adjustRightInd w:val="0"/>
              <w:snapToGrid/>
              <w:spacing w:line="360" w:lineRule="auto"/>
              <w:ind w:firstLine="482" w:firstLineChars="200"/>
              <w:textAlignment w:val="baseline"/>
              <w:rPr>
                <w:rFonts w:hint="eastAsia" w:ascii="Times New Roman" w:hAnsi="Times New Roman" w:eastAsia="宋体" w:cs="Times New Roman"/>
                <w:b/>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val="0"/>
                <w:color w:val="000000" w:themeColor="text1"/>
                <w:kern w:val="2"/>
                <w:sz w:val="24"/>
                <w:szCs w:val="24"/>
                <w:highlight w:val="none"/>
                <w:lang w:val="en-US" w:eastAsia="zh-CN" w:bidi="ar-SA"/>
                <w14:textFill>
                  <w14:solidFill>
                    <w14:schemeClr w14:val="tx1"/>
                  </w14:solidFill>
                </w14:textFill>
              </w:rPr>
              <w:t>工艺流程图如下：</w:t>
            </w:r>
          </w:p>
          <w:p w14:paraId="6AEE3ADD">
            <w:pPr>
              <w:pStyle w:val="41"/>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baseline"/>
              <w:rPr>
                <w:rFonts w:hint="default" w:ascii="Times New Roman" w:hAnsi="Times New Roman" w:cs="Times New Roman"/>
                <w:color w:val="000000" w:themeColor="text1"/>
                <w:sz w:val="21"/>
                <w:highlight w:val="none"/>
                <w14:textFill>
                  <w14:solidFill>
                    <w14:schemeClr w14:val="tx1"/>
                  </w14:solidFill>
                </w14:textFill>
              </w:rPr>
            </w:pPr>
            <w:r>
              <w:rPr>
                <w:rFonts w:hint="default" w:ascii="Times New Roman" w:hAnsi="Times New Roman" w:cs="Times New Roman"/>
                <w:color w:val="000000" w:themeColor="text1"/>
                <w:sz w:val="21"/>
                <w:highlight w:val="none"/>
                <w:lang w:val="en-US"/>
                <w14:textFill>
                  <w14:solidFill>
                    <w14:schemeClr w14:val="tx1"/>
                  </w14:solidFill>
                </w14:textFill>
              </w:rPr>
              <mc:AlternateContent>
                <mc:Choice Requires="wpc">
                  <w:drawing>
                    <wp:inline distT="0" distB="0" distL="114300" distR="114300">
                      <wp:extent cx="3735705" cy="4219575"/>
                      <wp:effectExtent l="0" t="0" r="0" b="9525"/>
                      <wp:docPr id="56" name="画布 242"/>
                      <wp:cNvGraphicFramePr/>
                      <a:graphic xmlns:a="http://schemas.openxmlformats.org/drawingml/2006/main">
                        <a:graphicData uri="http://schemas.microsoft.com/office/word/2010/wordprocessingCanvas">
                          <wpc:wpc>
                            <wpc:bg>
                              <a:noFill/>
                            </wpc:bg>
                            <wpc:whole>
                              <a:ln>
                                <a:noFill/>
                              </a:ln>
                            </wpc:whole>
                            <wps:wsp>
                              <wps:cNvPr id="23" name="文本框 244"/>
                              <wps:cNvSpPr txBox="1"/>
                              <wps:spPr>
                                <a:xfrm>
                                  <a:off x="789305" y="0"/>
                                  <a:ext cx="1715135" cy="379730"/>
                                </a:xfrm>
                                <a:prstGeom prst="rect">
                                  <a:avLst/>
                                </a:prstGeom>
                                <a:solidFill>
                                  <a:srgbClr val="FFFFFF"/>
                                </a:solidFill>
                                <a:ln>
                                  <a:noFill/>
                                </a:ln>
                              </wps:spPr>
                              <wps:txbx>
                                <w:txbxContent>
                                  <w:p w14:paraId="7DCCA5F3">
                                    <w:pPr>
                                      <w:rPr>
                                        <w:rFonts w:hint="default" w:cs="Times New Roman"/>
                                        <w:lang w:val="en-US" w:eastAsia="zh-CN"/>
                                      </w:rPr>
                                    </w:pPr>
                                    <w:r>
                                      <w:rPr>
                                        <w:rFonts w:hint="default" w:cs="Times New Roman"/>
                                        <w:lang w:val="en-GB" w:eastAsia="zh-CN"/>
                                      </w:rPr>
                                      <w:t>一般固废</w:t>
                                    </w:r>
                                    <w:r>
                                      <w:rPr>
                                        <w:rFonts w:hint="eastAsia" w:cs="Times New Roman"/>
                                        <w:lang w:val="en-US" w:eastAsia="zh-CN"/>
                                      </w:rPr>
                                      <w:t>运输回厂</w:t>
                                    </w:r>
                                  </w:p>
                                </w:txbxContent>
                              </wps:txbx>
                              <wps:bodyPr vert="horz" wrap="square" anchor="t" anchorCtr="0" upright="1"/>
                            </wps:wsp>
                            <wps:wsp>
                              <wps:cNvPr id="24" name="文本框 245"/>
                              <wps:cNvSpPr txBox="1"/>
                              <wps:spPr>
                                <a:xfrm>
                                  <a:off x="873760" y="648335"/>
                                  <a:ext cx="935356"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27B54E">
                                    <w:pPr>
                                      <w:jc w:val="center"/>
                                      <w:rPr>
                                        <w:rFonts w:hint="default" w:eastAsia="宋体"/>
                                        <w:lang w:val="en-US" w:eastAsia="zh-CN"/>
                                      </w:rPr>
                                    </w:pPr>
                                    <w:r>
                                      <w:rPr>
                                        <w:rFonts w:hint="eastAsia" w:eastAsia="宋体"/>
                                        <w:lang w:val="en-US" w:eastAsia="zh-CN"/>
                                      </w:rPr>
                                      <w:t>上料</w:t>
                                    </w:r>
                                  </w:p>
                                </w:txbxContent>
                              </wps:txbx>
                              <wps:bodyPr vert="horz" wrap="square" anchor="t" anchorCtr="0" upright="1"/>
                            </wps:wsp>
                            <wps:wsp>
                              <wps:cNvPr id="25" name="文本框 246"/>
                              <wps:cNvSpPr txBox="1"/>
                              <wps:spPr>
                                <a:xfrm>
                                  <a:off x="891540" y="1221105"/>
                                  <a:ext cx="91948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81F268">
                                    <w:pPr>
                                      <w:jc w:val="center"/>
                                      <w:rPr>
                                        <w:rFonts w:hint="default" w:eastAsia="宋体"/>
                                        <w:lang w:val="en-US" w:eastAsia="zh-CN"/>
                                      </w:rPr>
                                    </w:pPr>
                                    <w:r>
                                      <w:rPr>
                                        <w:rFonts w:hint="eastAsia" w:eastAsia="宋体"/>
                                        <w:lang w:val="en-US" w:eastAsia="zh-CN"/>
                                      </w:rPr>
                                      <w:t>一次破碎</w:t>
                                    </w:r>
                                  </w:p>
                                </w:txbxContent>
                              </wps:txbx>
                              <wps:bodyPr vert="horz" wrap="square" anchor="t" anchorCtr="0" upright="1"/>
                            </wps:wsp>
                            <wps:wsp>
                              <wps:cNvPr id="26" name="文本框 247"/>
                              <wps:cNvSpPr txBox="1"/>
                              <wps:spPr>
                                <a:xfrm>
                                  <a:off x="901700" y="1754505"/>
                                  <a:ext cx="921385" cy="2698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194F23">
                                    <w:pPr>
                                      <w:jc w:val="center"/>
                                      <w:rPr>
                                        <w:rFonts w:hint="default" w:eastAsia="宋体"/>
                                        <w:lang w:val="en-US" w:eastAsia="zh-CN"/>
                                      </w:rPr>
                                    </w:pPr>
                                    <w:r>
                                      <w:rPr>
                                        <w:rFonts w:hint="eastAsia"/>
                                        <w:lang w:val="en-US" w:eastAsia="zh-CN"/>
                                      </w:rPr>
                                      <w:t>磁选</w:t>
                                    </w:r>
                                  </w:p>
                                </w:txbxContent>
                              </wps:txbx>
                              <wps:bodyPr vert="horz" wrap="square" anchor="t" anchorCtr="0" upright="1"/>
                            </wps:wsp>
                            <wps:wsp>
                              <wps:cNvPr id="28" name="直线 252"/>
                              <wps:cNvCnPr/>
                              <wps:spPr>
                                <a:xfrm flipH="1">
                                  <a:off x="1363980" y="258445"/>
                                  <a:ext cx="635" cy="386715"/>
                                </a:xfrm>
                                <a:prstGeom prst="line">
                                  <a:avLst/>
                                </a:prstGeom>
                                <a:ln w="9525" cap="flat" cmpd="sng">
                                  <a:solidFill>
                                    <a:srgbClr val="000000"/>
                                  </a:solidFill>
                                  <a:prstDash val="solid"/>
                                  <a:headEnd type="none" w="med" len="med"/>
                                  <a:tailEnd type="triangle" w="lg" len="med"/>
                                </a:ln>
                              </wps:spPr>
                              <wps:bodyPr upright="1"/>
                            </wps:wsp>
                            <wps:wsp>
                              <wps:cNvPr id="29" name="文本框 260"/>
                              <wps:cNvSpPr txBox="1"/>
                              <wps:spPr>
                                <a:xfrm>
                                  <a:off x="2043430" y="1223010"/>
                                  <a:ext cx="921385" cy="279400"/>
                                </a:xfrm>
                                <a:prstGeom prst="rect">
                                  <a:avLst/>
                                </a:prstGeom>
                                <a:noFill/>
                                <a:ln>
                                  <a:noFill/>
                                </a:ln>
                              </wps:spPr>
                              <wps:txbx>
                                <w:txbxContent>
                                  <w:p w14:paraId="65502BD0">
                                    <w:pPr>
                                      <w:rPr>
                                        <w:rFonts w:hint="default" w:eastAsia="宋体"/>
                                        <w:lang w:val="en-US" w:eastAsia="zh-CN"/>
                                      </w:rPr>
                                    </w:pPr>
                                    <w:r>
                                      <w:rPr>
                                        <w:rFonts w:hint="eastAsia"/>
                                        <w:lang w:val="en-US" w:eastAsia="zh-CN"/>
                                      </w:rPr>
                                      <w:t>颗粒物、噪声</w:t>
                                    </w:r>
                                  </w:p>
                                </w:txbxContent>
                              </wps:txbx>
                              <wps:bodyPr vert="horz" wrap="square" anchor="t" anchorCtr="0" upright="1"/>
                            </wps:wsp>
                            <wps:wsp>
                              <wps:cNvPr id="30" name="直线 261"/>
                              <wps:cNvCnPr/>
                              <wps:spPr>
                                <a:xfrm>
                                  <a:off x="1360805" y="941705"/>
                                  <a:ext cx="635" cy="263525"/>
                                </a:xfrm>
                                <a:prstGeom prst="line">
                                  <a:avLst/>
                                </a:prstGeom>
                                <a:ln w="9525" cap="flat" cmpd="sng">
                                  <a:solidFill>
                                    <a:srgbClr val="000000"/>
                                  </a:solidFill>
                                  <a:prstDash val="solid"/>
                                  <a:headEnd type="none" w="med" len="med"/>
                                  <a:tailEnd type="triangle" w="lg" len="med"/>
                                </a:ln>
                              </wps:spPr>
                              <wps:bodyPr upright="1"/>
                            </wps:wsp>
                            <wps:wsp>
                              <wps:cNvPr id="32" name="文本框 274"/>
                              <wps:cNvSpPr txBox="1"/>
                              <wps:spPr>
                                <a:xfrm>
                                  <a:off x="2065655" y="1760855"/>
                                  <a:ext cx="532130" cy="279400"/>
                                </a:xfrm>
                                <a:prstGeom prst="rect">
                                  <a:avLst/>
                                </a:prstGeom>
                                <a:noFill/>
                                <a:ln>
                                  <a:noFill/>
                                </a:ln>
                              </wps:spPr>
                              <wps:txbx>
                                <w:txbxContent>
                                  <w:p w14:paraId="12EB685B">
                                    <w:pPr>
                                      <w:rPr>
                                        <w:rFonts w:hint="default" w:eastAsia="宋体"/>
                                        <w:lang w:val="en-US" w:eastAsia="zh-CN"/>
                                      </w:rPr>
                                    </w:pPr>
                                    <w:r>
                                      <w:rPr>
                                        <w:rFonts w:hint="eastAsia"/>
                                        <w:lang w:val="en-US" w:eastAsia="zh-CN"/>
                                      </w:rPr>
                                      <w:t>固废</w:t>
                                    </w:r>
                                  </w:p>
                                </w:txbxContent>
                              </wps:txbx>
                              <wps:bodyPr vert="horz" wrap="square" anchor="t" anchorCtr="0" upright="1"/>
                            </wps:wsp>
                            <wps:wsp>
                              <wps:cNvPr id="34" name="直线 308"/>
                              <wps:cNvCnPr/>
                              <wps:spPr>
                                <a:xfrm>
                                  <a:off x="1351280" y="1503680"/>
                                  <a:ext cx="0" cy="254000"/>
                                </a:xfrm>
                                <a:prstGeom prst="line">
                                  <a:avLst/>
                                </a:prstGeom>
                                <a:ln w="9525" cap="flat" cmpd="sng">
                                  <a:solidFill>
                                    <a:srgbClr val="000000"/>
                                  </a:solidFill>
                                  <a:prstDash val="solid"/>
                                  <a:headEnd type="none" w="med" len="med"/>
                                  <a:tailEnd type="triangle" w="lg" len="med"/>
                                </a:ln>
                              </wps:spPr>
                              <wps:bodyPr upright="1"/>
                            </wps:wsp>
                            <wps:wsp>
                              <wps:cNvPr id="36" name="直线 310"/>
                              <wps:cNvCnPr/>
                              <wps:spPr>
                                <a:xfrm>
                                  <a:off x="1360805" y="2027555"/>
                                  <a:ext cx="0" cy="254000"/>
                                </a:xfrm>
                                <a:prstGeom prst="line">
                                  <a:avLst/>
                                </a:prstGeom>
                                <a:ln w="9525" cap="flat" cmpd="sng">
                                  <a:solidFill>
                                    <a:srgbClr val="000000"/>
                                  </a:solidFill>
                                  <a:prstDash val="solid"/>
                                  <a:headEnd type="none" w="med" len="med"/>
                                  <a:tailEnd type="triangle" w="lg" len="med"/>
                                </a:ln>
                              </wps:spPr>
                              <wps:bodyPr upright="1"/>
                            </wps:wsp>
                            <wps:wsp>
                              <wps:cNvPr id="37" name="文本框 311"/>
                              <wps:cNvSpPr txBox="1"/>
                              <wps:spPr>
                                <a:xfrm>
                                  <a:off x="941705" y="2275205"/>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E3A5FAE">
                                    <w:pPr>
                                      <w:jc w:val="center"/>
                                      <w:rPr>
                                        <w:rFonts w:hint="default" w:eastAsia="宋体"/>
                                        <w:lang w:val="en-US" w:eastAsia="zh-CN"/>
                                      </w:rPr>
                                    </w:pPr>
                                    <w:r>
                                      <w:rPr>
                                        <w:rFonts w:hint="eastAsia" w:eastAsia="宋体"/>
                                        <w:lang w:val="en-US" w:eastAsia="zh-CN"/>
                                      </w:rPr>
                                      <w:t>二次破碎</w:t>
                                    </w:r>
                                  </w:p>
                                </w:txbxContent>
                              </wps:txbx>
                              <wps:bodyPr vert="horz" wrap="square" anchor="t" anchorCtr="0" upright="1"/>
                            </wps:wsp>
                            <wps:wsp>
                              <wps:cNvPr id="38" name="直线 312"/>
                              <wps:cNvCnPr/>
                              <wps:spPr>
                                <a:xfrm>
                                  <a:off x="1389380" y="2570480"/>
                                  <a:ext cx="0" cy="241300"/>
                                </a:xfrm>
                                <a:prstGeom prst="line">
                                  <a:avLst/>
                                </a:prstGeom>
                                <a:ln w="9525" cap="flat" cmpd="sng">
                                  <a:solidFill>
                                    <a:srgbClr val="000000"/>
                                  </a:solidFill>
                                  <a:prstDash val="solid"/>
                                  <a:headEnd type="none" w="med" len="med"/>
                                  <a:tailEnd type="triangle" w="lg" len="med"/>
                                </a:ln>
                              </wps:spPr>
                              <wps:bodyPr upright="1"/>
                            </wps:wsp>
                            <wps:wsp>
                              <wps:cNvPr id="39" name="文本框 313"/>
                              <wps:cNvSpPr txBox="1"/>
                              <wps:spPr>
                                <a:xfrm>
                                  <a:off x="951230" y="2808605"/>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5C6E11">
                                    <w:pPr>
                                      <w:jc w:val="center"/>
                                      <w:rPr>
                                        <w:rFonts w:hint="default" w:eastAsia="宋体"/>
                                        <w:lang w:val="en-US" w:eastAsia="zh-CN"/>
                                      </w:rPr>
                                    </w:pPr>
                                    <w:r>
                                      <w:rPr>
                                        <w:rFonts w:hint="eastAsia" w:eastAsia="宋体"/>
                                        <w:lang w:val="en-US" w:eastAsia="zh-CN"/>
                                      </w:rPr>
                                      <w:t>磁选</w:t>
                                    </w:r>
                                  </w:p>
                                </w:txbxContent>
                              </wps:txbx>
                              <wps:bodyPr vert="horz" wrap="square" anchor="t" anchorCtr="0" upright="1"/>
                            </wps:wsp>
                            <wps:wsp>
                              <wps:cNvPr id="40" name="直线 314"/>
                              <wps:cNvCnPr/>
                              <wps:spPr>
                                <a:xfrm>
                                  <a:off x="1408430" y="3113405"/>
                                  <a:ext cx="0" cy="241300"/>
                                </a:xfrm>
                                <a:prstGeom prst="line">
                                  <a:avLst/>
                                </a:prstGeom>
                                <a:ln w="9525" cap="flat" cmpd="sng">
                                  <a:solidFill>
                                    <a:srgbClr val="000000"/>
                                  </a:solidFill>
                                  <a:prstDash val="solid"/>
                                  <a:headEnd type="none" w="med" len="med"/>
                                  <a:tailEnd type="triangle" w="lg" len="med"/>
                                </a:ln>
                              </wps:spPr>
                              <wps:bodyPr upright="1"/>
                            </wps:wsp>
                            <wps:wsp>
                              <wps:cNvPr id="41" name="文本框 315"/>
                              <wps:cNvSpPr txBox="1"/>
                              <wps:spPr>
                                <a:xfrm>
                                  <a:off x="979805" y="3351530"/>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3D73E3">
                                    <w:pPr>
                                      <w:jc w:val="center"/>
                                      <w:rPr>
                                        <w:rFonts w:hint="default" w:eastAsia="宋体"/>
                                        <w:lang w:val="en-US" w:eastAsia="zh-CN"/>
                                      </w:rPr>
                                    </w:pPr>
                                    <w:r>
                                      <w:rPr>
                                        <w:rFonts w:hint="eastAsia" w:eastAsia="宋体"/>
                                        <w:lang w:val="en-US" w:eastAsia="zh-CN"/>
                                      </w:rPr>
                                      <w:t>三次破碎</w:t>
                                    </w:r>
                                  </w:p>
                                </w:txbxContent>
                              </wps:txbx>
                              <wps:bodyPr vert="horz" wrap="square" anchor="t" anchorCtr="0" upright="1"/>
                            </wps:wsp>
                            <wps:wsp>
                              <wps:cNvPr id="42" name="直线 316"/>
                              <wps:cNvCnPr/>
                              <wps:spPr>
                                <a:xfrm>
                                  <a:off x="1427480" y="3646805"/>
                                  <a:ext cx="0" cy="241300"/>
                                </a:xfrm>
                                <a:prstGeom prst="line">
                                  <a:avLst/>
                                </a:prstGeom>
                                <a:ln w="9525" cap="flat" cmpd="sng">
                                  <a:solidFill>
                                    <a:srgbClr val="000000"/>
                                  </a:solidFill>
                                  <a:prstDash val="solid"/>
                                  <a:headEnd type="none" w="med" len="med"/>
                                  <a:tailEnd type="triangle" w="lg" len="med"/>
                                </a:ln>
                              </wps:spPr>
                              <wps:bodyPr upright="1"/>
                            </wps:wsp>
                            <wps:wsp>
                              <wps:cNvPr id="43" name="文本框 317"/>
                              <wps:cNvSpPr txBox="1"/>
                              <wps:spPr>
                                <a:xfrm>
                                  <a:off x="989330" y="3884930"/>
                                  <a:ext cx="9017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FF42A5">
                                    <w:pPr>
                                      <w:jc w:val="center"/>
                                      <w:rPr>
                                        <w:rFonts w:hint="default" w:eastAsia="宋体"/>
                                        <w:lang w:val="en-US" w:eastAsia="zh-CN"/>
                                      </w:rPr>
                                    </w:pPr>
                                    <w:r>
                                      <w:rPr>
                                        <w:rFonts w:hint="eastAsia" w:eastAsia="宋体"/>
                                        <w:lang w:val="en-US" w:eastAsia="zh-CN"/>
                                      </w:rPr>
                                      <w:t>打包</w:t>
                                    </w:r>
                                  </w:p>
                                </w:txbxContent>
                              </wps:txbx>
                              <wps:bodyPr vert="horz" wrap="square" anchor="t" anchorCtr="0" upright="1"/>
                            </wps:wsp>
                            <wps:wsp>
                              <wps:cNvPr id="44" name="直线 319"/>
                              <wps:cNvCnPr/>
                              <wps:spPr>
                                <a:xfrm>
                                  <a:off x="1875155" y="3494405"/>
                                  <a:ext cx="317500" cy="0"/>
                                </a:xfrm>
                                <a:prstGeom prst="line">
                                  <a:avLst/>
                                </a:prstGeom>
                                <a:ln w="9525" cap="flat" cmpd="sng">
                                  <a:solidFill>
                                    <a:srgbClr val="000000"/>
                                  </a:solidFill>
                                  <a:prstDash val="dash"/>
                                  <a:headEnd type="none" w="med" len="med"/>
                                  <a:tailEnd type="triangle" w="lg" len="med"/>
                                </a:ln>
                              </wps:spPr>
                              <wps:bodyPr upright="1"/>
                            </wps:wsp>
                            <wps:wsp>
                              <wps:cNvPr id="45" name="直线 320"/>
                              <wps:cNvCnPr/>
                              <wps:spPr>
                                <a:xfrm>
                                  <a:off x="1846580" y="2961005"/>
                                  <a:ext cx="317500" cy="0"/>
                                </a:xfrm>
                                <a:prstGeom prst="line">
                                  <a:avLst/>
                                </a:prstGeom>
                                <a:ln w="9525" cap="flat" cmpd="sng">
                                  <a:solidFill>
                                    <a:srgbClr val="000000"/>
                                  </a:solidFill>
                                  <a:prstDash val="dash"/>
                                  <a:headEnd type="none" w="med" len="med"/>
                                  <a:tailEnd type="triangle" w="lg" len="med"/>
                                </a:ln>
                              </wps:spPr>
                              <wps:bodyPr upright="1"/>
                            </wps:wsp>
                            <wps:wsp>
                              <wps:cNvPr id="46" name="直线 321"/>
                              <wps:cNvCnPr/>
                              <wps:spPr>
                                <a:xfrm>
                                  <a:off x="1856105" y="2418080"/>
                                  <a:ext cx="317500" cy="0"/>
                                </a:xfrm>
                                <a:prstGeom prst="line">
                                  <a:avLst/>
                                </a:prstGeom>
                                <a:ln w="9525" cap="flat" cmpd="sng">
                                  <a:solidFill>
                                    <a:srgbClr val="000000"/>
                                  </a:solidFill>
                                  <a:prstDash val="dash"/>
                                  <a:headEnd type="none" w="med" len="med"/>
                                  <a:tailEnd type="triangle" w="lg" len="med"/>
                                </a:ln>
                              </wps:spPr>
                              <wps:bodyPr upright="1"/>
                            </wps:wsp>
                            <wps:wsp>
                              <wps:cNvPr id="47" name="文本框 322"/>
                              <wps:cNvSpPr txBox="1"/>
                              <wps:spPr>
                                <a:xfrm>
                                  <a:off x="2094230" y="2818130"/>
                                  <a:ext cx="485140" cy="279400"/>
                                </a:xfrm>
                                <a:prstGeom prst="rect">
                                  <a:avLst/>
                                </a:prstGeom>
                                <a:noFill/>
                                <a:ln>
                                  <a:noFill/>
                                </a:ln>
                              </wps:spPr>
                              <wps:txbx>
                                <w:txbxContent>
                                  <w:p w14:paraId="18BDFF9D">
                                    <w:pPr>
                                      <w:rPr>
                                        <w:rFonts w:hint="default" w:eastAsia="宋体"/>
                                        <w:lang w:val="en-US" w:eastAsia="zh-CN"/>
                                      </w:rPr>
                                    </w:pPr>
                                    <w:r>
                                      <w:rPr>
                                        <w:rFonts w:hint="eastAsia"/>
                                        <w:lang w:val="en-US" w:eastAsia="zh-CN"/>
                                      </w:rPr>
                                      <w:t>固废</w:t>
                                    </w:r>
                                  </w:p>
                                </w:txbxContent>
                              </wps:txbx>
                              <wps:bodyPr vert="horz" wrap="square" anchor="t" anchorCtr="0" upright="1"/>
                            </wps:wsp>
                            <wps:wsp>
                              <wps:cNvPr id="48" name="文本框 323"/>
                              <wps:cNvSpPr txBox="1"/>
                              <wps:spPr>
                                <a:xfrm>
                                  <a:off x="2094230" y="2275205"/>
                                  <a:ext cx="939800" cy="279400"/>
                                </a:xfrm>
                                <a:prstGeom prst="rect">
                                  <a:avLst/>
                                </a:prstGeom>
                                <a:noFill/>
                                <a:ln>
                                  <a:noFill/>
                                </a:ln>
                              </wps:spPr>
                              <wps:txbx>
                                <w:txbxContent>
                                  <w:p w14:paraId="08E1C278">
                                    <w:pPr>
                                      <w:rPr>
                                        <w:rFonts w:hint="default" w:eastAsia="宋体"/>
                                        <w:lang w:val="en-US" w:eastAsia="zh-CN"/>
                                      </w:rPr>
                                    </w:pPr>
                                    <w:r>
                                      <w:rPr>
                                        <w:rFonts w:hint="eastAsia"/>
                                        <w:lang w:val="en-US" w:eastAsia="zh-CN"/>
                                      </w:rPr>
                                      <w:t>颗粒物、噪声</w:t>
                                    </w:r>
                                  </w:p>
                                </w:txbxContent>
                              </wps:txbx>
                              <wps:bodyPr vert="horz" wrap="square" anchor="t" anchorCtr="0" upright="1"/>
                            </wps:wsp>
                            <wps:wsp>
                              <wps:cNvPr id="49" name="文本框 324"/>
                              <wps:cNvSpPr txBox="1"/>
                              <wps:spPr>
                                <a:xfrm>
                                  <a:off x="2113280" y="3361055"/>
                                  <a:ext cx="939800" cy="279400"/>
                                </a:xfrm>
                                <a:prstGeom prst="rect">
                                  <a:avLst/>
                                </a:prstGeom>
                                <a:noFill/>
                                <a:ln>
                                  <a:noFill/>
                                </a:ln>
                              </wps:spPr>
                              <wps:txbx>
                                <w:txbxContent>
                                  <w:p w14:paraId="1B715D80">
                                    <w:pPr>
                                      <w:rPr>
                                        <w:rFonts w:hint="default" w:eastAsia="宋体"/>
                                        <w:lang w:val="en-US" w:eastAsia="zh-CN"/>
                                      </w:rPr>
                                    </w:pPr>
                                    <w:r>
                                      <w:rPr>
                                        <w:rFonts w:hint="eastAsia"/>
                                        <w:lang w:val="en-US" w:eastAsia="zh-CN"/>
                                      </w:rPr>
                                      <w:t>颗粒物、噪声</w:t>
                                    </w:r>
                                  </w:p>
                                </w:txbxContent>
                              </wps:txbx>
                              <wps:bodyPr vert="horz" wrap="square" anchor="t" anchorCtr="0" upright="1"/>
                            </wps:wsp>
                            <wps:wsp>
                              <wps:cNvPr id="50" name="直线 325"/>
                              <wps:cNvCnPr/>
                              <wps:spPr>
                                <a:xfrm>
                                  <a:off x="1837055" y="1903730"/>
                                  <a:ext cx="317500" cy="0"/>
                                </a:xfrm>
                                <a:prstGeom prst="line">
                                  <a:avLst/>
                                </a:prstGeom>
                                <a:ln w="9525" cap="flat" cmpd="sng">
                                  <a:solidFill>
                                    <a:srgbClr val="000000"/>
                                  </a:solidFill>
                                  <a:prstDash val="dash"/>
                                  <a:headEnd type="none" w="med" len="med"/>
                                  <a:tailEnd type="triangle" w="lg" len="med"/>
                                </a:ln>
                              </wps:spPr>
                              <wps:bodyPr upright="1"/>
                            </wps:wsp>
                            <wps:wsp>
                              <wps:cNvPr id="51" name="直线 326"/>
                              <wps:cNvCnPr/>
                              <wps:spPr>
                                <a:xfrm>
                                  <a:off x="1808480" y="1370330"/>
                                  <a:ext cx="317500" cy="0"/>
                                </a:xfrm>
                                <a:prstGeom prst="line">
                                  <a:avLst/>
                                </a:prstGeom>
                                <a:ln w="9525" cap="flat" cmpd="sng">
                                  <a:solidFill>
                                    <a:srgbClr val="000000"/>
                                  </a:solidFill>
                                  <a:prstDash val="dash"/>
                                  <a:headEnd type="none" w="med" len="med"/>
                                  <a:tailEnd type="triangle" w="lg" len="med"/>
                                </a:ln>
                              </wps:spPr>
                              <wps:bodyPr upright="1"/>
                            </wps:wsp>
                            <wps:wsp>
                              <wps:cNvPr id="52" name="直线 348"/>
                              <wps:cNvCnPr/>
                              <wps:spPr>
                                <a:xfrm>
                                  <a:off x="1903730" y="4027805"/>
                                  <a:ext cx="317500" cy="0"/>
                                </a:xfrm>
                                <a:prstGeom prst="line">
                                  <a:avLst/>
                                </a:prstGeom>
                                <a:ln w="9525" cap="flat" cmpd="sng">
                                  <a:solidFill>
                                    <a:srgbClr val="000000"/>
                                  </a:solidFill>
                                  <a:prstDash val="dash"/>
                                  <a:headEnd type="none" w="med" len="med"/>
                                  <a:tailEnd type="triangle" w="lg" len="med"/>
                                </a:ln>
                              </wps:spPr>
                              <wps:bodyPr upright="1"/>
                            </wps:wsp>
                            <wps:wsp>
                              <wps:cNvPr id="53" name="文本框 349"/>
                              <wps:cNvSpPr txBox="1"/>
                              <wps:spPr>
                                <a:xfrm>
                                  <a:off x="2141855" y="3894455"/>
                                  <a:ext cx="644525" cy="279400"/>
                                </a:xfrm>
                                <a:prstGeom prst="rect">
                                  <a:avLst/>
                                </a:prstGeom>
                                <a:noFill/>
                                <a:ln>
                                  <a:noFill/>
                                </a:ln>
                              </wps:spPr>
                              <wps:txbx>
                                <w:txbxContent>
                                  <w:p w14:paraId="2F8BB8A7">
                                    <w:pPr>
                                      <w:rPr>
                                        <w:rFonts w:hint="default" w:eastAsia="宋体"/>
                                        <w:highlight w:val="none"/>
                                        <w:lang w:val="en-US" w:eastAsia="zh-CN"/>
                                      </w:rPr>
                                    </w:pPr>
                                    <w:r>
                                      <w:rPr>
                                        <w:rFonts w:hint="eastAsia"/>
                                        <w:highlight w:val="none"/>
                                        <w:lang w:val="en-US" w:eastAsia="zh-CN"/>
                                      </w:rPr>
                                      <w:t>颗粒物</w:t>
                                    </w:r>
                                  </w:p>
                                </w:txbxContent>
                              </wps:txbx>
                              <wps:bodyPr vert="horz" wrap="square" anchor="t" anchorCtr="0" upright="1"/>
                            </wps:wsp>
                            <wps:wsp>
                              <wps:cNvPr id="54" name="直线 350"/>
                              <wps:cNvCnPr/>
                              <wps:spPr>
                                <a:xfrm>
                                  <a:off x="1818005" y="789305"/>
                                  <a:ext cx="317500" cy="0"/>
                                </a:xfrm>
                                <a:prstGeom prst="line">
                                  <a:avLst/>
                                </a:prstGeom>
                                <a:ln w="9525" cap="flat" cmpd="sng">
                                  <a:solidFill>
                                    <a:srgbClr val="000000"/>
                                  </a:solidFill>
                                  <a:prstDash val="dash"/>
                                  <a:headEnd type="none" w="med" len="med"/>
                                  <a:tailEnd type="triangle" w="lg" len="med"/>
                                </a:ln>
                              </wps:spPr>
                              <wps:bodyPr upright="1"/>
                            </wps:wsp>
                            <wps:wsp>
                              <wps:cNvPr id="55" name="文本框 351"/>
                              <wps:cNvSpPr txBox="1"/>
                              <wps:spPr>
                                <a:xfrm>
                                  <a:off x="2056130" y="665480"/>
                                  <a:ext cx="1359535" cy="279400"/>
                                </a:xfrm>
                                <a:prstGeom prst="rect">
                                  <a:avLst/>
                                </a:prstGeom>
                                <a:noFill/>
                                <a:ln>
                                  <a:noFill/>
                                </a:ln>
                              </wps:spPr>
                              <wps:txbx>
                                <w:txbxContent>
                                  <w:p w14:paraId="655E3E8F">
                                    <w:pPr>
                                      <w:rPr>
                                        <w:rFonts w:hint="default" w:eastAsia="宋体"/>
                                        <w:lang w:val="en-US" w:eastAsia="zh-CN"/>
                                      </w:rPr>
                                    </w:pPr>
                                    <w:r>
                                      <w:rPr>
                                        <w:rFonts w:hint="eastAsia"/>
                                        <w:color w:val="auto"/>
                                        <w:highlight w:val="none"/>
                                        <w:lang w:val="en-US" w:eastAsia="zh-CN"/>
                                      </w:rPr>
                                      <w:t>颗粒物</w:t>
                                    </w:r>
                                    <w:r>
                                      <w:rPr>
                                        <w:rFonts w:hint="eastAsia"/>
                                        <w:lang w:val="en-US" w:eastAsia="zh-CN"/>
                                      </w:rPr>
                                      <w:t>、噪声、固废</w:t>
                                    </w:r>
                                  </w:p>
                                </w:txbxContent>
                              </wps:txbx>
                              <wps:bodyPr vert="horz" wrap="square" anchor="t" anchorCtr="0" upright="1"/>
                            </wps:wsp>
                          </wpc:wpc>
                        </a:graphicData>
                      </a:graphic>
                    </wp:inline>
                  </w:drawing>
                </mc:Choice>
                <mc:Fallback>
                  <w:pict>
                    <v:group id="画布 242" o:spid="_x0000_s1026" o:spt="203" style="height:332.25pt;width:294.15pt;" coordsize="3735705,4219575" editas="canvas" o:gfxdata="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">
                      <o:lock v:ext="edit" aspectratio="f"/>
                      <v:shape id="画布 242" o:spid="_x0000_s1026" style="position:absolute;left:0;top:0;height:4219575;width:3735705;" filled="f" stroked="f" coordsize="21600,21600" o:gfxdata="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">
                        <v:fill on="f" focussize="0,0"/>
                        <v:stroke on="f"/>
                        <v:imagedata o:title=""/>
                        <o:lock v:ext="edit" aspectratio="f"/>
                      </v:shape>
                      <v:shape id="文本框 244" o:spid="_x0000_s1026" o:spt="202" type="#_x0000_t202" style="position:absolute;left:789305;top:0;height:379730;width:1715135;" fillcolor="#FFFFFF" filled="t" stroked="f" coordsize="21600,21600" o:gfxdata="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eNMWBNUA&#10;AAAFAQAADwAAAAAAAAABACAAAAAiAAAAZHJzL2Rvd25yZXYueG1sUEsBAhQAFAAAAAgAh07iQLOw&#10;uiTpAQAAsgMAAA4AAAAAAAAAAQAgAAAAJAEAAGRycy9lMm9Eb2MueG1sUEsFBgAAAAAGAAYAWQEA&#10;AH8FAAAAAA==&#10;">
                        <v:fill on="t" focussize="0,0"/>
                        <v:stroke on="f"/>
                        <v:imagedata o:title=""/>
                        <o:lock v:ext="edit" aspectratio="f"/>
                        <v:textbox>
                          <w:txbxContent>
                            <w:p w14:paraId="7DCCA5F3">
                              <w:pPr>
                                <w:rPr>
                                  <w:rFonts w:hint="default" w:cs="Times New Roman"/>
                                  <w:lang w:val="en-US" w:eastAsia="zh-CN"/>
                                </w:rPr>
                              </w:pPr>
                              <w:r>
                                <w:rPr>
                                  <w:rFonts w:hint="default" w:cs="Times New Roman"/>
                                  <w:lang w:val="en-GB" w:eastAsia="zh-CN"/>
                                </w:rPr>
                                <w:t>一般固废</w:t>
                              </w:r>
                              <w:r>
                                <w:rPr>
                                  <w:rFonts w:hint="eastAsia" w:cs="Times New Roman"/>
                                  <w:lang w:val="en-US" w:eastAsia="zh-CN"/>
                                </w:rPr>
                                <w:t>运输回厂</w:t>
                              </w:r>
                            </w:p>
                          </w:txbxContent>
                        </v:textbox>
                      </v:shape>
                      <v:shape id="文本框 245" o:spid="_x0000_s1026" o:spt="202" type="#_x0000_t202" style="position:absolute;left:873760;top:648335;height:279400;width:935356;"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2mFEz1gAAAAUBAAAPAAAAAAAAAAEAIAAAACIAAABkcnMvZG93bnJl&#10;di54bWxQSwECFAAUAAAACACHTuJArtAN5DgCAAB1BAAADgAAAAAAAAABACAAAAAlAQAAZHJzL2Uy&#10;b0RvYy54bWxQSwUGAAAAAAYABgBZAQAAzwUAAAAA&#10;">
                        <v:fill on="t" focussize="0,0"/>
                        <v:stroke color="#000000" joinstyle="miter"/>
                        <v:imagedata o:title=""/>
                        <o:lock v:ext="edit" aspectratio="f"/>
                        <v:textbox>
                          <w:txbxContent>
                            <w:p w14:paraId="3027B54E">
                              <w:pPr>
                                <w:jc w:val="center"/>
                                <w:rPr>
                                  <w:rFonts w:hint="default" w:eastAsia="宋体"/>
                                  <w:lang w:val="en-US" w:eastAsia="zh-CN"/>
                                </w:rPr>
                              </w:pPr>
                              <w:r>
                                <w:rPr>
                                  <w:rFonts w:hint="eastAsia" w:eastAsia="宋体"/>
                                  <w:lang w:val="en-US" w:eastAsia="zh-CN"/>
                                </w:rPr>
                                <w:t>上料</w:t>
                              </w:r>
                            </w:p>
                          </w:txbxContent>
                        </v:textbox>
                      </v:shape>
                      <v:shape id="文本框 246" o:spid="_x0000_s1026" o:spt="202" type="#_x0000_t202" style="position:absolute;left:891540;top:1221105;height:279400;width:919480;"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dphRM9YAAAAFAQAADwAAAAAAAAABACAAAAAiAAAAZHJzL2Rvd25yZXYu&#10;eG1sUEsBAhQAFAAAAAgAh07iQNIdbhA2AgAAdgQAAA4AAAAAAAAAAQAgAAAAJQEAAGRycy9lMm9E&#10;b2MueG1sUEsFBgAAAAAGAAYAWQEAAM0FAAAAAA==&#10;">
                        <v:fill on="t" focussize="0,0"/>
                        <v:stroke color="#000000" joinstyle="miter"/>
                        <v:imagedata o:title=""/>
                        <o:lock v:ext="edit" aspectratio="f"/>
                        <v:textbox>
                          <w:txbxContent>
                            <w:p w14:paraId="2881F268">
                              <w:pPr>
                                <w:jc w:val="center"/>
                                <w:rPr>
                                  <w:rFonts w:hint="default" w:eastAsia="宋体"/>
                                  <w:lang w:val="en-US" w:eastAsia="zh-CN"/>
                                </w:rPr>
                              </w:pPr>
                              <w:r>
                                <w:rPr>
                                  <w:rFonts w:hint="eastAsia" w:eastAsia="宋体"/>
                                  <w:lang w:val="en-US" w:eastAsia="zh-CN"/>
                                </w:rPr>
                                <w:t>一次破碎</w:t>
                              </w:r>
                            </w:p>
                          </w:txbxContent>
                        </v:textbox>
                      </v:shape>
                      <v:shape id="文本框 247" o:spid="_x0000_s1026" o:spt="202" type="#_x0000_t202" style="position:absolute;left:901700;top:1754505;height:269875;width:921385;"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dphRM9YAAAAFAQAADwAAAAAAAAABACAAAAAiAAAAZHJzL2Rvd25yZXYu&#10;eG1sUEsBAhQAFAAAAAgAh07iQJduc302AgAAdgQAAA4AAAAAAAAAAQAgAAAAJQEAAGRycy9lMm9E&#10;b2MueG1sUEsFBgAAAAAGAAYAWQEAAM0FAAAAAA==&#10;">
                        <v:fill on="t" focussize="0,0"/>
                        <v:stroke color="#000000" joinstyle="miter"/>
                        <v:imagedata o:title=""/>
                        <o:lock v:ext="edit" aspectratio="f"/>
                        <v:textbox>
                          <w:txbxContent>
                            <w:p w14:paraId="1F194F23">
                              <w:pPr>
                                <w:jc w:val="center"/>
                                <w:rPr>
                                  <w:rFonts w:hint="default" w:eastAsia="宋体"/>
                                  <w:lang w:val="en-US" w:eastAsia="zh-CN"/>
                                </w:rPr>
                              </w:pPr>
                              <w:r>
                                <w:rPr>
                                  <w:rFonts w:hint="eastAsia"/>
                                  <w:lang w:val="en-US" w:eastAsia="zh-CN"/>
                                </w:rPr>
                                <w:t>磁选</w:t>
                              </w:r>
                            </w:p>
                          </w:txbxContent>
                        </v:textbox>
                      </v:shape>
                      <v:line id="直线 252" o:spid="_x0000_s1026" o:spt="20" style="position:absolute;left:1363980;top:258445;flip:x;height:386715;width:635;" filled="f" stroked="t" coordsize="21600,21600" o:gfxdata="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ygyhHWAAAABQEAAA8AAAAAAAAAAQAgAAAAIgAA&#10;AGRycy9kb3ducmV2LnhtbFBLAQIUABQAAAAIAIdO4kAeWSP0CgIAAPcDAAAOAAAAAAAAAAEAIAAA&#10;ACUBAABkcnMvZTJvRG9jLnhtbFBLBQYAAAAABgAGAFkBAAChBQAAAAA=&#10;">
                        <v:fill on="f" focussize="0,0"/>
                        <v:stroke color="#000000" joinstyle="round" endarrow="block" endarrowwidth="wide"/>
                        <v:imagedata o:title=""/>
                        <o:lock v:ext="edit" aspectratio="f"/>
                      </v:line>
                      <v:shape id="文本框 260" o:spid="_x0000_s1026" o:spt="202" type="#_x0000_t202" style="position:absolute;left:2043430;top:1223010;height:279400;width:921385;"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xasNjtQAAAAFAQAADwAAAAAAAAABACAA&#10;AAAiAAAAZHJzL2Rvd25yZXYueG1sUEsBAhQAFAAAAAgAh07iQFhWTKfYAQAAjwMAAA4AAAAAAAAA&#10;AQAgAAAAIwEAAGRycy9lMm9Eb2MueG1sUEsFBgAAAAAGAAYAWQEAAG0FAAAAAA==&#10;">
                        <v:fill on="f" focussize="0,0"/>
                        <v:stroke on="f"/>
                        <v:imagedata o:title=""/>
                        <o:lock v:ext="edit" aspectratio="f"/>
                        <v:textbox>
                          <w:txbxContent>
                            <w:p w14:paraId="65502BD0">
                              <w:pPr>
                                <w:rPr>
                                  <w:rFonts w:hint="default" w:eastAsia="宋体"/>
                                  <w:lang w:val="en-US" w:eastAsia="zh-CN"/>
                                </w:rPr>
                              </w:pPr>
                              <w:r>
                                <w:rPr>
                                  <w:rFonts w:hint="eastAsia"/>
                                  <w:lang w:val="en-US" w:eastAsia="zh-CN"/>
                                </w:rPr>
                                <w:t>颗粒物、噪声</w:t>
                              </w:r>
                            </w:p>
                          </w:txbxContent>
                        </v:textbox>
                      </v:shape>
                      <v:line id="直线 261" o:spid="_x0000_s1026" o:spt="20" style="position:absolute;left:1360805;top:941705;height:263525;width:635;"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JoWoe1gAAAAUBAAAPAAAAAAAAAAEAIAAAACIAAABkcnMvZG93bnJldi54&#10;bWxQSwECFAAUAAAACACHTuJAX9MS3/wBAADtAwAADgAAAAAAAAABACAAAAAlAQAAZHJzL2Uyb0Rv&#10;Yy54bWxQSwUGAAAAAAYABgBZAQAAkwUAAAAA&#10;">
                        <v:fill on="f" focussize="0,0"/>
                        <v:stroke color="#000000" joinstyle="round" endarrow="block" endarrowwidth="wide"/>
                        <v:imagedata o:title=""/>
                        <o:lock v:ext="edit" aspectratio="f"/>
                      </v:line>
                      <v:shape id="文本框 274" o:spid="_x0000_s1026" o:spt="202" type="#_x0000_t202" style="position:absolute;left:2065655;top:1760855;height:279400;width:532130;"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WrDY7UAAAABQEAAA8AAAAAAAAAAQAg&#10;AAAAIgAAAGRycy9kb3ducmV2LnhtbFBLAQIUABQAAAAIAIdO4kDCSdM32QEAAI8DAAAOAAAAAAAA&#10;AAEAIAAAACMBAABkcnMvZTJvRG9jLnhtbFBLBQYAAAAABgAGAFkBAABuBQAAAAA=&#10;">
                        <v:fill on="f" focussize="0,0"/>
                        <v:stroke on="f"/>
                        <v:imagedata o:title=""/>
                        <o:lock v:ext="edit" aspectratio="f"/>
                        <v:textbox>
                          <w:txbxContent>
                            <w:p w14:paraId="12EB685B">
                              <w:pPr>
                                <w:rPr>
                                  <w:rFonts w:hint="default" w:eastAsia="宋体"/>
                                  <w:lang w:val="en-US" w:eastAsia="zh-CN"/>
                                </w:rPr>
                              </w:pPr>
                              <w:r>
                                <w:rPr>
                                  <w:rFonts w:hint="eastAsia"/>
                                  <w:lang w:val="en-US" w:eastAsia="zh-CN"/>
                                </w:rPr>
                                <w:t>固废</w:t>
                              </w:r>
                            </w:p>
                          </w:txbxContent>
                        </v:textbox>
                      </v:shape>
                      <v:line id="直线 308" o:spid="_x0000_s1026" o:spt="20" style="position:absolute;left:1351280;top:1503680;height:254000;width:0;"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oWoe1gAAAAUBAAAPAAAAAAAAAAEAIAAAACIAAABkcnMvZG93bnJl&#10;di54bWxQSwECFAAUAAAACACHTuJAkt1NTv8BAADsAwAADgAAAAAAAAABACAAAAAlAQAAZHJzL2Uy&#10;b0RvYy54bWxQSwUGAAAAAAYABgBZAQAAlgUAAAAA&#10;">
                        <v:fill on="f" focussize="0,0"/>
                        <v:stroke color="#000000" joinstyle="round" endarrow="block" endarrowwidth="wide"/>
                        <v:imagedata o:title=""/>
                        <o:lock v:ext="edit" aspectratio="f"/>
                      </v:line>
                      <v:line id="直线 310" o:spid="_x0000_s1026" o:spt="20" style="position:absolute;left:1360805;top:2027555;height:254000;width:0;"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aFqHtYAAAAFAQAADwAAAAAAAAABACAAAAAiAAAAZHJzL2Rvd25y&#10;ZXYueG1sUEsBAhQAFAAAAAgAh07iQPFlTPgAAgAA7AMAAA4AAAAAAAAAAQAgAAAAJQEAAGRycy9l&#10;Mm9Eb2MueG1sUEsFBgAAAAAGAAYAWQEAAJcFAAAAAA==&#10;">
                        <v:fill on="f" focussize="0,0"/>
                        <v:stroke color="#000000" joinstyle="round" endarrow="block" endarrowwidth="wide"/>
                        <v:imagedata o:title=""/>
                        <o:lock v:ext="edit" aspectratio="f"/>
                      </v:line>
                      <v:shape id="文本框 311" o:spid="_x0000_s1026" o:spt="202" type="#_x0000_t202" style="position:absolute;left:941705;top:2275205;height:279400;width:901700;"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2mFEz1gAAAAUBAAAPAAAAAAAAAAEAIAAAACIAAABkcnMvZG93bnJldi54bWxQ&#10;SwECFAAUAAAACACHTuJAn1ru3TICAAB2BAAADgAAAAAAAAABACAAAAAlAQAAZHJzL2Uyb0RvYy54&#10;bWxQSwUGAAAAAAYABgBZAQAAyQUAAAAA&#10;">
                        <v:fill on="t" focussize="0,0"/>
                        <v:stroke color="#000000" joinstyle="miter"/>
                        <v:imagedata o:title=""/>
                        <o:lock v:ext="edit" aspectratio="f"/>
                        <v:textbox>
                          <w:txbxContent>
                            <w:p w14:paraId="4E3A5FAE">
                              <w:pPr>
                                <w:jc w:val="center"/>
                                <w:rPr>
                                  <w:rFonts w:hint="default" w:eastAsia="宋体"/>
                                  <w:lang w:val="en-US" w:eastAsia="zh-CN"/>
                                </w:rPr>
                              </w:pPr>
                              <w:r>
                                <w:rPr>
                                  <w:rFonts w:hint="eastAsia" w:eastAsia="宋体"/>
                                  <w:lang w:val="en-US" w:eastAsia="zh-CN"/>
                                </w:rPr>
                                <w:t>二次破碎</w:t>
                              </w:r>
                            </w:p>
                          </w:txbxContent>
                        </v:textbox>
                      </v:shape>
                      <v:line id="直线 312" o:spid="_x0000_s1026" o:spt="20" style="position:absolute;left:1389380;top:2570480;height:241300;width:0;"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oWoe1gAAAAUBAAAPAAAAAAAAAAEAIAAAACIAAABkcnMvZG93bnJl&#10;di54bWxQSwECFAAUAAAACACHTuJAUZ2nhf8BAADsAwAADgAAAAAAAAABACAAAAAlAQAAZHJzL2Uy&#10;b0RvYy54bWxQSwUGAAAAAAYABgBZAQAAlgUAAAAA&#10;">
                        <v:fill on="f" focussize="0,0"/>
                        <v:stroke color="#000000" joinstyle="round" endarrow="block" endarrowwidth="wide"/>
                        <v:imagedata o:title=""/>
                        <o:lock v:ext="edit" aspectratio="f"/>
                      </v:line>
                      <v:shape id="文本框 313" o:spid="_x0000_s1026" o:spt="202" type="#_x0000_t202" style="position:absolute;left:951230;top:2808605;height:279400;width:901700;"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aYUTPWAAAABQEAAA8AAAAAAAAAAQAgAAAAIgAAAGRycy9kb3ducmV2Lnht&#10;bFBLAQIUABQAAAAIAIdO4kBns3NiNAIAAHYEAAAOAAAAAAAAAAEAIAAAACUBAABkcnMvZTJvRG9j&#10;LnhtbFBLBQYAAAAABgAGAFkBAADLBQAAAAA=&#10;">
                        <v:fill on="t" focussize="0,0"/>
                        <v:stroke color="#000000" joinstyle="miter"/>
                        <v:imagedata o:title=""/>
                        <o:lock v:ext="edit" aspectratio="f"/>
                        <v:textbox>
                          <w:txbxContent>
                            <w:p w14:paraId="545C6E11">
                              <w:pPr>
                                <w:jc w:val="center"/>
                                <w:rPr>
                                  <w:rFonts w:hint="default" w:eastAsia="宋体"/>
                                  <w:lang w:val="en-US" w:eastAsia="zh-CN"/>
                                </w:rPr>
                              </w:pPr>
                              <w:r>
                                <w:rPr>
                                  <w:rFonts w:hint="eastAsia" w:eastAsia="宋体"/>
                                  <w:lang w:val="en-US" w:eastAsia="zh-CN"/>
                                </w:rPr>
                                <w:t>磁选</w:t>
                              </w:r>
                            </w:p>
                          </w:txbxContent>
                        </v:textbox>
                      </v:shape>
                      <v:line id="直线 314" o:spid="_x0000_s1026" o:spt="20" style="position:absolute;left:1408430;top:3113405;height:241300;width:0;"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mhah7WAAAABQEAAA8AAAAAAAAAAQAgAAAAIgAAAGRycy9kb3du&#10;cmV2LnhtbFBLAQIUABQAAAAIAIdO4kCDw9qnAQIAAOwDAAAOAAAAAAAAAAEAIAAAACUBAABkcnMv&#10;ZTJvRG9jLnhtbFBLBQYAAAAABgAGAFkBAACYBQAAAAA=&#10;">
                        <v:fill on="f" focussize="0,0"/>
                        <v:stroke color="#000000" joinstyle="round" endarrow="block" endarrowwidth="wide"/>
                        <v:imagedata o:title=""/>
                        <o:lock v:ext="edit" aspectratio="f"/>
                      </v:line>
                      <v:shape id="文本框 315" o:spid="_x0000_s1026" o:spt="202" type="#_x0000_t202" style="position:absolute;left:979805;top:3351530;height:279400;width:901700;"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dphRM9YAAAAFAQAADwAAAAAAAAABACAAAAAiAAAAZHJzL2Rvd25yZXYu&#10;eG1sUEsBAhQAFAAAAAgAh07iQILIJ182AgAAdgQAAA4AAAAAAAAAAQAgAAAAJQEAAGRycy9lMm9E&#10;b2MueG1sUEsFBgAAAAAGAAYAWQEAAM0FAAAAAA==&#10;">
                        <v:fill on="t" focussize="0,0"/>
                        <v:stroke color="#000000" joinstyle="miter"/>
                        <v:imagedata o:title=""/>
                        <o:lock v:ext="edit" aspectratio="f"/>
                        <v:textbox>
                          <w:txbxContent>
                            <w:p w14:paraId="503D73E3">
                              <w:pPr>
                                <w:jc w:val="center"/>
                                <w:rPr>
                                  <w:rFonts w:hint="default" w:eastAsia="宋体"/>
                                  <w:lang w:val="en-US" w:eastAsia="zh-CN"/>
                                </w:rPr>
                              </w:pPr>
                              <w:r>
                                <w:rPr>
                                  <w:rFonts w:hint="eastAsia" w:eastAsia="宋体"/>
                                  <w:lang w:val="en-US" w:eastAsia="zh-CN"/>
                                </w:rPr>
                                <w:t>三次破碎</w:t>
                              </w:r>
                            </w:p>
                          </w:txbxContent>
                        </v:textbox>
                      </v:shape>
                      <v:line id="直线 316" o:spid="_x0000_s1026" o:spt="20" style="position:absolute;left:1427480;top:3646805;height:241300;width:0;" filled="f" stroked="t" coordsize="21600,21600" o:gfxdata="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JoWoe1gAAAAUBAAAPAAAAAAAAAAEAIAAAACIAAABkcnMvZG93&#10;bnJldi54bWxQSwECFAAUAAAACACHTuJAr3BGBAICAADsAwAADgAAAAAAAAABACAAAAAlAQAAZHJz&#10;L2Uyb0RvYy54bWxQSwUGAAAAAAYABgBZAQAAmQUAAAAA&#10;">
                        <v:fill on="f" focussize="0,0"/>
                        <v:stroke color="#000000" joinstyle="round" endarrow="block" endarrowwidth="wide"/>
                        <v:imagedata o:title=""/>
                        <o:lock v:ext="edit" aspectratio="f"/>
                      </v:line>
                      <v:shape id="文本框 317" o:spid="_x0000_s1026" o:spt="202" type="#_x0000_t202" style="position:absolute;left:989330;top:3884930;height:279400;width:901700;" fillcolor="#FFFFFF" filled="t" stroked="t" coordsize="21600,21600" o:gfxdata="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aYUTPWAAAABQEAAA8AAAAAAAAAAQAgAAAAIgAAAGRycy9kb3ducmV2Lnht&#10;bFBLAQIUABQAAAAIAIdO4kCD97SQNAIAAHYEAAAOAAAAAAAAAAEAIAAAACUBAABkcnMvZTJvRG9j&#10;LnhtbFBLBQYAAAAABgAGAFkBAADLBQAAAAA=&#10;">
                        <v:fill on="t" focussize="0,0"/>
                        <v:stroke color="#000000" joinstyle="miter"/>
                        <v:imagedata o:title=""/>
                        <o:lock v:ext="edit" aspectratio="f"/>
                        <v:textbox>
                          <w:txbxContent>
                            <w:p w14:paraId="20FF42A5">
                              <w:pPr>
                                <w:jc w:val="center"/>
                                <w:rPr>
                                  <w:rFonts w:hint="default" w:eastAsia="宋体"/>
                                  <w:lang w:val="en-US" w:eastAsia="zh-CN"/>
                                </w:rPr>
                              </w:pPr>
                              <w:r>
                                <w:rPr>
                                  <w:rFonts w:hint="eastAsia" w:eastAsia="宋体"/>
                                  <w:lang w:val="en-US" w:eastAsia="zh-CN"/>
                                </w:rPr>
                                <w:t>打包</w:t>
                              </w:r>
                            </w:p>
                          </w:txbxContent>
                        </v:textbox>
                      </v:shape>
                      <v:line id="直线 319" o:spid="_x0000_s1026" o:spt="20" style="position:absolute;left:1875155;top:3494405;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KoNH/1QAAAAUBAAAPAAAAAAAAAAEAIAAAACIAAABkcnMvZG93&#10;bnJldi54bWxQSwECFAAUAAAACACHTuJA8nsZMAMCAADrAwAADgAAAAAAAAABACAAAAAkAQAAZHJz&#10;L2Uyb0RvYy54bWxQSwUGAAAAAAYABgBZAQAAmQUAAAAA&#10;">
                        <v:fill on="f" focussize="0,0"/>
                        <v:stroke color="#000000" joinstyle="round" dashstyle="dash" endarrow="block" endarrowwidth="wide"/>
                        <v:imagedata o:title=""/>
                        <o:lock v:ext="edit" aspectratio="f"/>
                      </v:line>
                      <v:line id="直线 320" o:spid="_x0000_s1026" o:spt="20" style="position:absolute;left:1846580;top:2961005;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qDR/9UAAAAFAQAADwAAAAAAAAABACAAAAAiAAAAZHJzL2Rvd25y&#10;ZXYueG1sUEsBAhQAFAAAAAgAh07iQN0Nyr0BAgAA6wMAAA4AAAAAAAAAAQAgAAAAJAEAAGRycy9l&#10;Mm9Eb2MueG1sUEsFBgAAAAAGAAYAWQEAAJcFAAAAAA==&#10;">
                        <v:fill on="f" focussize="0,0"/>
                        <v:stroke color="#000000" joinstyle="round" dashstyle="dash" endarrow="block" endarrowwidth="wide"/>
                        <v:imagedata o:title=""/>
                        <o:lock v:ext="edit" aspectratio="f"/>
                      </v:line>
                      <v:line id="直线 321" o:spid="_x0000_s1026" o:spt="20" style="position:absolute;left:1856105;top:2418080;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qDR/9UAAAAFAQAADwAAAAAAAAABACAAAAAiAAAAZHJzL2Rvd25y&#10;ZXYueG1sUEsBAhQAFAAAAAgAh07iQA39vQUBAgAA6wMAAA4AAAAAAAAAAQAgAAAAJAEAAGRycy9l&#10;Mm9Eb2MueG1sUEsFBgAAAAAGAAYAWQEAAJcFAAAAAA==&#10;">
                        <v:fill on="f" focussize="0,0"/>
                        <v:stroke color="#000000" joinstyle="round" dashstyle="dash" endarrow="block" endarrowwidth="wide"/>
                        <v:imagedata o:title=""/>
                        <o:lock v:ext="edit" aspectratio="f"/>
                      </v:line>
                      <v:shape id="文本框 322" o:spid="_x0000_s1026" o:spt="202" type="#_x0000_t202" style="position:absolute;left:2094230;top:2818130;height:279400;width:485140;"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Fqw2O1AAAAAUBAAAPAAAAAAAAAAEAIAAA&#10;ACIAAABkcnMvZG93bnJldi54bWxQSwECFAAUAAAACACHTuJAxmKxHtcBAACPAwAADgAAAAAAAAAB&#10;ACAAAAAjAQAAZHJzL2Uyb0RvYy54bWxQSwUGAAAAAAYABgBZAQAAbAUAAAAA&#10;">
                        <v:fill on="f" focussize="0,0"/>
                        <v:stroke on="f"/>
                        <v:imagedata o:title=""/>
                        <o:lock v:ext="edit" aspectratio="f"/>
                        <v:textbox>
                          <w:txbxContent>
                            <w:p w14:paraId="18BDFF9D">
                              <w:pPr>
                                <w:rPr>
                                  <w:rFonts w:hint="default" w:eastAsia="宋体"/>
                                  <w:lang w:val="en-US" w:eastAsia="zh-CN"/>
                                </w:rPr>
                              </w:pPr>
                              <w:r>
                                <w:rPr>
                                  <w:rFonts w:hint="eastAsia"/>
                                  <w:lang w:val="en-US" w:eastAsia="zh-CN"/>
                                </w:rPr>
                                <w:t>固废</w:t>
                              </w:r>
                            </w:p>
                          </w:txbxContent>
                        </v:textbox>
                      </v:shape>
                      <v:shape id="文本框 323" o:spid="_x0000_s1026" o:spt="202" type="#_x0000_t202" style="position:absolute;left:2094230;top:2275205;height:279400;width:939800;"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xasNjtQAAAAFAQAADwAAAAAAAAABACAA&#10;AAAiAAAAZHJzL2Rvd25yZXYueG1sUEsBAhQAFAAAAAgAh07iQLTjDijYAQAAjwMAAA4AAAAAAAAA&#10;AQAgAAAAIwEAAGRycy9lMm9Eb2MueG1sUEsFBgAAAAAGAAYAWQEAAG0FAAAAAA==&#10;">
                        <v:fill on="f" focussize="0,0"/>
                        <v:stroke on="f"/>
                        <v:imagedata o:title=""/>
                        <o:lock v:ext="edit" aspectratio="f"/>
                        <v:textbox>
                          <w:txbxContent>
                            <w:p w14:paraId="08E1C278">
                              <w:pPr>
                                <w:rPr>
                                  <w:rFonts w:hint="default" w:eastAsia="宋体"/>
                                  <w:lang w:val="en-US" w:eastAsia="zh-CN"/>
                                </w:rPr>
                              </w:pPr>
                              <w:r>
                                <w:rPr>
                                  <w:rFonts w:hint="eastAsia"/>
                                  <w:lang w:val="en-US" w:eastAsia="zh-CN"/>
                                </w:rPr>
                                <w:t>颗粒物、噪声</w:t>
                              </w:r>
                            </w:p>
                          </w:txbxContent>
                        </v:textbox>
                      </v:shape>
                      <v:shape id="文本框 324" o:spid="_x0000_s1026" o:spt="202" type="#_x0000_t202" style="position:absolute;left:2113280;top:3361055;height:279400;width:939800;"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WrDY7UAAAABQEAAA8AAAAAAAAAAQAg&#10;AAAAIgAAAGRycy9kb3ducmV2LnhtbFBLAQIUABQAAAAIAIdO4kDfeBg32QEAAI8DAAAOAAAAAAAA&#10;AAEAIAAAACMBAABkcnMvZTJvRG9jLnhtbFBLBQYAAAAABgAGAFkBAABuBQAAAAA=&#10;">
                        <v:fill on="f" focussize="0,0"/>
                        <v:stroke on="f"/>
                        <v:imagedata o:title=""/>
                        <o:lock v:ext="edit" aspectratio="f"/>
                        <v:textbox>
                          <w:txbxContent>
                            <w:p w14:paraId="1B715D80">
                              <w:pPr>
                                <w:rPr>
                                  <w:rFonts w:hint="default" w:eastAsia="宋体"/>
                                  <w:lang w:val="en-US" w:eastAsia="zh-CN"/>
                                </w:rPr>
                              </w:pPr>
                              <w:r>
                                <w:rPr>
                                  <w:rFonts w:hint="eastAsia"/>
                                  <w:lang w:val="en-US" w:eastAsia="zh-CN"/>
                                </w:rPr>
                                <w:t>颗粒物、噪声</w:t>
                              </w:r>
                            </w:p>
                          </w:txbxContent>
                        </v:textbox>
                      </v:shape>
                      <v:line id="直线 325" o:spid="_x0000_s1026" o:spt="20" style="position:absolute;left:1837055;top:1903730;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KoNH/1QAAAAUBAAAPAAAAAAAAAAEAIAAAACIAAABkcnMvZG93bnJl&#10;di54bWxQSwECFAAUAAAACACHTuJA5p/DogACAADrAwAADgAAAAAAAAABACAAAAAkAQAAZHJzL2Uy&#10;b0RvYy54bWxQSwUGAAAAAAYABgBZAQAAlgUAAAAA&#10;">
                        <v:fill on="f" focussize="0,0"/>
                        <v:stroke color="#000000" joinstyle="round" dashstyle="dash" endarrow="block" endarrowwidth="wide"/>
                        <v:imagedata o:title=""/>
                        <o:lock v:ext="edit" aspectratio="f"/>
                      </v:line>
                      <v:line id="直线 326" o:spid="_x0000_s1026" o:spt="20" style="position:absolute;left:1808480;top:1370330;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qDR/9UAAAAFAQAADwAAAAAAAAABACAAAAAiAAAAZHJzL2Rvd25y&#10;ZXYueG1sUEsBAhQAFAAAAAgAh07iQBvw3LkBAgAA6wMAAA4AAAAAAAAAAQAgAAAAJAEAAGRycy9l&#10;Mm9Eb2MueG1sUEsFBgAAAAAGAAYAWQEAAJcFAAAAAA==&#10;">
                        <v:fill on="f" focussize="0,0"/>
                        <v:stroke color="#000000" joinstyle="round" dashstyle="dash" endarrow="block" endarrowwidth="wide"/>
                        <v:imagedata o:title=""/>
                        <o:lock v:ext="edit" aspectratio="f"/>
                      </v:line>
                      <v:line id="直线 348" o:spid="_x0000_s1026" o:spt="20" style="position:absolute;left:1903730;top:4027805;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KoNH/1QAAAAUBAAAPAAAAAAAAAAEAIAAAACIAAABkcnMvZG93&#10;bnJldi54bWxQSwECFAAUAAAACACHTuJADWJ3MAMCAADrAwAADgAAAAAAAAABACAAAAAkAQAAZHJz&#10;L2Uyb0RvYy54bWxQSwUGAAAAAAYABgBZAQAAmQUAAAAA&#10;">
                        <v:fill on="f" focussize="0,0"/>
                        <v:stroke color="#000000" joinstyle="round" dashstyle="dash" endarrow="block" endarrowwidth="wide"/>
                        <v:imagedata o:title=""/>
                        <o:lock v:ext="edit" aspectratio="f"/>
                      </v:line>
                      <v:shape id="文本框 349" o:spid="_x0000_s1026" o:spt="202" type="#_x0000_t202" style="position:absolute;left:2141855;top:3894455;height:279400;width:644525;"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xasNjtQAAAAFAQAADwAAAAAAAAABACAA&#10;AAAiAAAAZHJzL2Rvd25yZXYueG1sUEsBAhQAFAAAAAgAh07iQB46mXnYAQAAjwMAAA4AAAAAAAAA&#10;AQAgAAAAIwEAAGRycy9lMm9Eb2MueG1sUEsFBgAAAAAGAAYAWQEAAG0FAAAAAA==&#10;">
                        <v:fill on="f" focussize="0,0"/>
                        <v:stroke on="f"/>
                        <v:imagedata o:title=""/>
                        <o:lock v:ext="edit" aspectratio="f"/>
                        <v:textbox>
                          <w:txbxContent>
                            <w:p w14:paraId="2F8BB8A7">
                              <w:pPr>
                                <w:rPr>
                                  <w:rFonts w:hint="default" w:eastAsia="宋体"/>
                                  <w:highlight w:val="none"/>
                                  <w:lang w:val="en-US" w:eastAsia="zh-CN"/>
                                </w:rPr>
                              </w:pPr>
                              <w:r>
                                <w:rPr>
                                  <w:rFonts w:hint="eastAsia"/>
                                  <w:highlight w:val="none"/>
                                  <w:lang w:val="en-US" w:eastAsia="zh-CN"/>
                                </w:rPr>
                                <w:t>颗粒物</w:t>
                              </w:r>
                            </w:p>
                          </w:txbxContent>
                        </v:textbox>
                      </v:shape>
                      <v:line id="直线 350" o:spid="_x0000_s1026" o:spt="20" style="position:absolute;left:1818005;top:789305;height:0;width:317500;" filled="f" stroked="t" coordsize="21600,21600" o:gfxdata="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qg0f/VAAAABQEAAA8AAAAAAAAAAQAgAAAAIgAAAGRycy9kb3ducmV2&#10;LnhtbFBLAQIUABQAAAAIAIdO4kD53SyP/wEAAOoDAAAOAAAAAAAAAAEAIAAAACQBAABkcnMvZTJv&#10;RG9jLnhtbFBLBQYAAAAABgAGAFkBAACVBQAAAAA=&#10;">
                        <v:fill on="f" focussize="0,0"/>
                        <v:stroke color="#000000" joinstyle="round" dashstyle="dash" endarrow="block" endarrowwidth="wide"/>
                        <v:imagedata o:title=""/>
                        <o:lock v:ext="edit" aspectratio="f"/>
                      </v:line>
                      <v:shape id="文本框 351" o:spid="_x0000_s1026" o:spt="202" type="#_x0000_t202" style="position:absolute;left:2056130;top:665480;height:279400;width:1359535;" filled="f" stroked="f" coordsize="21600,21600" o:gfxdata="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Fqw2O1AAAAAUBAAAPAAAAAAAAAAEA&#10;IAAAACIAAABkcnMvZG93bnJldi54bWxQSwECFAAUAAAACACHTuJArXppWNoBAACPAwAADgAAAAAA&#10;AAABACAAAAAjAQAAZHJzL2Uyb0RvYy54bWxQSwUGAAAAAAYABgBZAQAAbwUAAAAA&#10;">
                        <v:fill on="f" focussize="0,0"/>
                        <v:stroke on="f"/>
                        <v:imagedata o:title=""/>
                        <o:lock v:ext="edit" aspectratio="f"/>
                        <v:textbox>
                          <w:txbxContent>
                            <w:p w14:paraId="655E3E8F">
                              <w:pPr>
                                <w:rPr>
                                  <w:rFonts w:hint="default" w:eastAsia="宋体"/>
                                  <w:lang w:val="en-US" w:eastAsia="zh-CN"/>
                                </w:rPr>
                              </w:pPr>
                              <w:r>
                                <w:rPr>
                                  <w:rFonts w:hint="eastAsia"/>
                                  <w:color w:val="auto"/>
                                  <w:highlight w:val="none"/>
                                  <w:lang w:val="en-US" w:eastAsia="zh-CN"/>
                                </w:rPr>
                                <w:t>颗粒物</w:t>
                              </w:r>
                              <w:r>
                                <w:rPr>
                                  <w:rFonts w:hint="eastAsia"/>
                                  <w:lang w:val="en-US" w:eastAsia="zh-CN"/>
                                </w:rPr>
                                <w:t>、噪声、固废</w:t>
                              </w:r>
                            </w:p>
                          </w:txbxContent>
                        </v:textbox>
                      </v:shape>
                      <w10:wrap type="none"/>
                      <w10:anchorlock/>
                    </v:group>
                  </w:pict>
                </mc:Fallback>
              </mc:AlternateContent>
            </w:r>
          </w:p>
          <w:p w14:paraId="6D42E5D3">
            <w:pPr>
              <w:pStyle w:val="41"/>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baseline"/>
              <w:rPr>
                <w:rFonts w:hint="default" w:ascii="Times New Roman" w:hAnsi="Times New Roman"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highlight w:val="none"/>
                <w:lang w:val="en-US" w:eastAsia="zh-CN" w:bidi="ar-SA"/>
                <w14:textFill>
                  <w14:solidFill>
                    <w14:schemeClr w14:val="tx1"/>
                  </w14:solidFill>
                </w14:textFill>
              </w:rPr>
              <w:t>图2-</w:t>
            </w:r>
            <w:r>
              <w:rPr>
                <w:rFonts w:hint="eastAsia" w:ascii="Times New Roman" w:cs="Times New Roman"/>
                <w:b/>
                <w:bCs/>
                <w:color w:val="000000" w:themeColor="text1"/>
                <w:kern w:val="2"/>
                <w:sz w:val="21"/>
                <w:szCs w:val="21"/>
                <w:highlight w:val="none"/>
                <w:lang w:val="en-US" w:eastAsia="zh-CN" w:bidi="ar-SA"/>
                <w14:textFill>
                  <w14:solidFill>
                    <w14:schemeClr w14:val="tx1"/>
                  </w14:solidFill>
                </w14:textFill>
              </w:rPr>
              <w:t>2</w:t>
            </w:r>
            <w:r>
              <w:rPr>
                <w:rFonts w:hint="eastAsia" w:ascii="Times New Roman" w:hAnsi="Times New Roman" w:eastAsia="宋体" w:cs="Times New Roman"/>
                <w:b/>
                <w:bCs/>
                <w:color w:val="000000" w:themeColor="text1"/>
                <w:kern w:val="2"/>
                <w:sz w:val="21"/>
                <w:szCs w:val="21"/>
                <w:highlight w:val="none"/>
                <w:lang w:val="en-US" w:eastAsia="zh-CN" w:bidi="ar-SA"/>
                <w14:textFill>
                  <w14:solidFill>
                    <w14:schemeClr w14:val="tx1"/>
                  </w14:solidFill>
                </w14:textFill>
              </w:rPr>
              <w:t xml:space="preserve"> </w:t>
            </w:r>
            <w:r>
              <w:rPr>
                <w:rFonts w:hint="eastAsia" w:ascii="Times New Roman" w:hAnsi="Times New Roman" w:eastAsia="宋体" w:cs="Times New Roman"/>
                <w:b/>
                <w:bCs/>
                <w:color w:val="000000" w:themeColor="text1"/>
                <w:kern w:val="2"/>
                <w:sz w:val="21"/>
                <w:szCs w:val="21"/>
                <w:highlight w:val="none"/>
                <w:lang w:val="zh-CN" w:eastAsia="zh-CN" w:bidi="ar-SA"/>
                <w14:textFill>
                  <w14:solidFill>
                    <w14:schemeClr w14:val="tx1"/>
                  </w14:solidFill>
                </w14:textFill>
              </w:rPr>
              <w:t>RDF固体废物衍生燃料</w:t>
            </w:r>
            <w:r>
              <w:rPr>
                <w:rFonts w:hint="eastAsia" w:ascii="Times New Roman" w:hAnsi="Times New Roman" w:eastAsia="宋体" w:cs="Times New Roman"/>
                <w:b/>
                <w:bCs/>
                <w:color w:val="000000" w:themeColor="text1"/>
                <w:kern w:val="2"/>
                <w:sz w:val="21"/>
                <w:szCs w:val="21"/>
                <w:highlight w:val="none"/>
                <w:lang w:val="en-US" w:eastAsia="zh-CN" w:bidi="ar-SA"/>
                <w14:textFill>
                  <w14:solidFill>
                    <w14:schemeClr w14:val="tx1"/>
                  </w14:solidFill>
                </w14:textFill>
              </w:rPr>
              <w:t>生产工艺流程及产污环节</w:t>
            </w:r>
          </w:p>
          <w:p w14:paraId="7E4DA347">
            <w:pPr>
              <w:numPr>
                <w:ilvl w:val="0"/>
                <w:numId w:val="0"/>
              </w:numPr>
              <w:adjustRightInd w:val="0"/>
              <w:snapToGrid w:val="0"/>
              <w:spacing w:line="360" w:lineRule="auto"/>
              <w:jc w:val="both"/>
              <w:rPr>
                <w:rFonts w:hint="default" w:ascii="Times New Roman" w:hAnsi="Times New Roman" w:eastAsia="宋体" w:cs="Times New Roman"/>
                <w:b/>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2"/>
                <w:sz w:val="24"/>
                <w:szCs w:val="24"/>
                <w:highlight w:val="none"/>
                <w:lang w:val="en-US" w:eastAsia="zh-CN" w:bidi="ar-SA"/>
                <w14:textFill>
                  <w14:solidFill>
                    <w14:schemeClr w14:val="tx1"/>
                  </w14:solidFill>
                </w14:textFill>
              </w:rPr>
              <w:t>3、</w:t>
            </w:r>
            <w:r>
              <w:rPr>
                <w:rFonts w:hint="default" w:ascii="Times New Roman" w:hAnsi="Times New Roman" w:eastAsia="宋体" w:cs="Times New Roman"/>
                <w:b/>
                <w:bCs w:val="0"/>
                <w:color w:val="000000" w:themeColor="text1"/>
                <w:sz w:val="24"/>
                <w:szCs w:val="24"/>
                <w:highlight w:val="none"/>
                <w:lang w:val="en-US" w:eastAsia="zh-CN"/>
                <w14:textFill>
                  <w14:solidFill>
                    <w14:schemeClr w14:val="tx1"/>
                  </w14:solidFill>
                </w14:textFill>
              </w:rPr>
              <w:t>主要产污环节</w:t>
            </w:r>
          </w:p>
          <w:p w14:paraId="5C1CB18C">
            <w:pPr>
              <w:numPr>
                <w:ilvl w:val="0"/>
                <w:numId w:val="0"/>
              </w:numPr>
              <w:adjustRightInd w:val="0"/>
              <w:snapToGrid w:val="0"/>
              <w:spacing w:line="360" w:lineRule="auto"/>
              <w:ind w:firstLine="480" w:firstLineChars="200"/>
              <w:jc w:val="both"/>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本项目运营期主要产污环节见下表。</w:t>
            </w:r>
          </w:p>
          <w:p w14:paraId="0D9DFA6F">
            <w:pPr>
              <w:numPr>
                <w:ilvl w:val="0"/>
                <w:numId w:val="0"/>
              </w:numPr>
              <w:adjustRightInd w:val="0"/>
              <w:snapToGrid w:val="0"/>
              <w:spacing w:line="240" w:lineRule="auto"/>
              <w:jc w:val="center"/>
              <w:rPr>
                <w:rFonts w:hint="default" w:ascii="Times New Roman" w:hAnsi="Times New Roman" w:eastAsia="宋体" w:cs="Times New Roman"/>
                <w:b/>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highlight w:val="none"/>
                <w:lang w:val="en-US" w:eastAsia="zh-CN"/>
                <w14:textFill>
                  <w14:solidFill>
                    <w14:schemeClr w14:val="tx1"/>
                  </w14:solidFill>
                </w14:textFill>
              </w:rPr>
              <w:t>表2-7 运行期主要产污环节一览表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1375"/>
              <w:gridCol w:w="2474"/>
              <w:gridCol w:w="3819"/>
            </w:tblGrid>
            <w:tr w14:paraId="3EA63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164EC98B">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t>类别</w:t>
                  </w:r>
                </w:p>
              </w:tc>
              <w:tc>
                <w:tcPr>
                  <w:tcW w:w="827" w:type="pct"/>
                  <w:noWrap w:val="0"/>
                  <w:vAlign w:val="center"/>
                </w:tcPr>
                <w:p w14:paraId="14FF7344">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t>产污环节</w:t>
                  </w:r>
                </w:p>
              </w:tc>
              <w:tc>
                <w:tcPr>
                  <w:tcW w:w="1488" w:type="pct"/>
                  <w:noWrap w:val="0"/>
                  <w:vAlign w:val="center"/>
                </w:tcPr>
                <w:p w14:paraId="7862F027">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t>主要污染物</w:t>
                  </w:r>
                </w:p>
              </w:tc>
              <w:tc>
                <w:tcPr>
                  <w:tcW w:w="2298" w:type="pct"/>
                  <w:noWrap w:val="0"/>
                  <w:vAlign w:val="center"/>
                </w:tcPr>
                <w:p w14:paraId="0AD36D3E">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t>防治措施</w:t>
                  </w:r>
                </w:p>
              </w:tc>
            </w:tr>
            <w:tr w14:paraId="30D5B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46D518E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废水</w:t>
                  </w:r>
                </w:p>
              </w:tc>
              <w:tc>
                <w:tcPr>
                  <w:tcW w:w="827" w:type="pct"/>
                  <w:noWrap w:val="0"/>
                  <w:vAlign w:val="center"/>
                </w:tcPr>
                <w:p w14:paraId="60C837D2">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生活污水</w:t>
                  </w:r>
                </w:p>
              </w:tc>
              <w:tc>
                <w:tcPr>
                  <w:tcW w:w="1488" w:type="pct"/>
                  <w:noWrap w:val="0"/>
                  <w:vAlign w:val="center"/>
                </w:tcPr>
                <w:p w14:paraId="44BC83FF">
                  <w:pPr>
                    <w:keepNext w:val="0"/>
                    <w:keepLines w:val="0"/>
                    <w:pageBreakBefore w:val="0"/>
                    <w:widowControl/>
                    <w:suppressLineNumbers w:val="0"/>
                    <w:kinsoku/>
                    <w:wordWrap/>
                    <w:overflowPunct/>
                    <w:topLinePunct w:val="0"/>
                    <w:autoSpaceDE/>
                    <w:autoSpaceDN/>
                    <w:bidi w:val="0"/>
                    <w:spacing w:line="276" w:lineRule="auto"/>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PH、</w:t>
                  </w: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COD、SS、BOD</w:t>
                  </w:r>
                  <w:r>
                    <w:rPr>
                      <w:rFonts w:hint="default" w:ascii="Times New Roman" w:hAnsi="Times New Roman" w:eastAsia="宋体" w:cs="Times New Roman"/>
                      <w:color w:val="000000" w:themeColor="text1"/>
                      <w:kern w:val="0"/>
                      <w:sz w:val="21"/>
                      <w:szCs w:val="21"/>
                      <w:highlight w:val="none"/>
                      <w:vertAlign w:val="subscript"/>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、NH</w:t>
                  </w:r>
                  <w:r>
                    <w:rPr>
                      <w:rFonts w:hint="default" w:ascii="Times New Roman" w:hAnsi="Times New Roman" w:eastAsia="宋体" w:cs="Times New Roman"/>
                      <w:color w:val="000000" w:themeColor="text1"/>
                      <w:kern w:val="0"/>
                      <w:sz w:val="21"/>
                      <w:szCs w:val="21"/>
                      <w:highlight w:val="none"/>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-N</w:t>
                  </w:r>
                </w:p>
              </w:tc>
              <w:tc>
                <w:tcPr>
                  <w:tcW w:w="2298" w:type="pct"/>
                  <w:noWrap w:val="0"/>
                  <w:vAlign w:val="center"/>
                </w:tcPr>
                <w:p w14:paraId="3621FB6E">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依托</w:t>
                  </w: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陕西国坤时代科技有限公司化粪池</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处理后经市政污水管网排入泾河新城</w:t>
                  </w:r>
                </w:p>
                <w:p w14:paraId="6DDB0067">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第二污水处理厂</w:t>
                  </w: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进一步</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处理</w:t>
                  </w:r>
                </w:p>
              </w:tc>
            </w:tr>
            <w:tr w14:paraId="3DD2C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restart"/>
                  <w:noWrap w:val="0"/>
                  <w:vAlign w:val="center"/>
                </w:tcPr>
                <w:p w14:paraId="0DFC047E">
                  <w:pPr>
                    <w:keepNext w:val="0"/>
                    <w:keepLines w:val="0"/>
                    <w:pageBreakBefore w:val="0"/>
                    <w:widowControl w:val="0"/>
                    <w:kinsoku/>
                    <w:wordWrap/>
                    <w:overflowPunct/>
                    <w:topLinePunct w:val="0"/>
                    <w:autoSpaceDE/>
                    <w:autoSpaceDN/>
                    <w:bidi w:val="0"/>
                    <w:adjustRightInd w:val="0"/>
                    <w:snapToGrid w:val="0"/>
                    <w:spacing w:line="276" w:lineRule="auto"/>
                    <w:jc w:val="both"/>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废气</w:t>
                  </w:r>
                </w:p>
              </w:tc>
              <w:tc>
                <w:tcPr>
                  <w:tcW w:w="827" w:type="pct"/>
                  <w:noWrap w:val="0"/>
                  <w:vAlign w:val="center"/>
                </w:tcPr>
                <w:p w14:paraId="6836F9FB">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上料</w:t>
                  </w:r>
                </w:p>
              </w:tc>
              <w:tc>
                <w:tcPr>
                  <w:tcW w:w="1488" w:type="pct"/>
                  <w:noWrap w:val="0"/>
                  <w:vAlign w:val="center"/>
                </w:tcPr>
                <w:p w14:paraId="1BA6898E">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cs="Times New Roman"/>
                      <w:b w:val="0"/>
                      <w:bCs w:val="0"/>
                      <w:color w:val="000000" w:themeColor="text1"/>
                      <w:sz w:val="21"/>
                      <w:szCs w:val="21"/>
                      <w:highlight w:val="none"/>
                      <w:lang w:val="en-US" w:eastAsia="zh-CN"/>
                      <w14:textFill>
                        <w14:solidFill>
                          <w14:schemeClr w14:val="tx1"/>
                        </w14:solidFill>
                      </w14:textFill>
                    </w:rPr>
                    <w:t>颗粒物</w:t>
                  </w:r>
                </w:p>
              </w:tc>
              <w:tc>
                <w:tcPr>
                  <w:tcW w:w="2298" w:type="pct"/>
                  <w:vMerge w:val="restart"/>
                  <w:noWrap w:val="0"/>
                  <w:vAlign w:val="center"/>
                </w:tcPr>
                <w:p w14:paraId="46FA5A5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上料和打包工序</w:t>
                  </w:r>
                  <w:r>
                    <w:rPr>
                      <w:rFonts w:hint="eastAsia" w:cs="Times New Roman"/>
                      <w:b w:val="0"/>
                      <w:bCs w:val="0"/>
                      <w:color w:val="000000" w:themeColor="text1"/>
                      <w:sz w:val="21"/>
                      <w:szCs w:val="21"/>
                      <w:highlight w:val="none"/>
                      <w:lang w:val="en-US" w:eastAsia="zh-CN"/>
                      <w14:textFill>
                        <w14:solidFill>
                          <w14:schemeClr w14:val="tx1"/>
                        </w14:solidFill>
                      </w14:textFill>
                    </w:rPr>
                    <w:t>粉尘</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经2个集气罩收集</w:t>
                  </w:r>
                  <w:r>
                    <w:rPr>
                      <w:rFonts w:hint="eastAsia" w:cs="Times New Roman"/>
                      <w:b w:val="0"/>
                      <w:bC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破碎工序</w:t>
                  </w:r>
                  <w:r>
                    <w:rPr>
                      <w:rFonts w:hint="eastAsia" w:cs="Times New Roman"/>
                      <w:b w:val="0"/>
                      <w:bCs w:val="0"/>
                      <w:color w:val="000000" w:themeColor="text1"/>
                      <w:sz w:val="21"/>
                      <w:szCs w:val="21"/>
                      <w:highlight w:val="none"/>
                      <w:lang w:val="en-US" w:eastAsia="zh-CN"/>
                      <w14:textFill>
                        <w14:solidFill>
                          <w14:schemeClr w14:val="tx1"/>
                        </w14:solidFill>
                      </w14:textFill>
                    </w:rPr>
                    <w:t>粉尘</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经管道收集+布袋除尘器</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18</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m</w:t>
                  </w:r>
                  <w:r>
                    <w:rPr>
                      <w:rFonts w:hint="eastAsia" w:cs="Times New Roman"/>
                      <w:b w:val="0"/>
                      <w:bCs w:val="0"/>
                      <w:color w:val="000000" w:themeColor="text1"/>
                      <w:sz w:val="21"/>
                      <w:szCs w:val="21"/>
                      <w:highlight w:val="none"/>
                      <w:lang w:val="en-US" w:eastAsia="zh-CN"/>
                      <w14:textFill>
                        <w14:solidFill>
                          <w14:schemeClr w14:val="tx1"/>
                        </w14:solidFill>
                      </w14:textFill>
                    </w:rPr>
                    <w:t>高</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排气筒</w:t>
                  </w:r>
                </w:p>
              </w:tc>
            </w:tr>
            <w:tr w14:paraId="0C865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33D06506">
                  <w:pPr>
                    <w:keepNext w:val="0"/>
                    <w:keepLines w:val="0"/>
                    <w:pageBreakBefore w:val="0"/>
                    <w:widowControl w:val="0"/>
                    <w:kinsoku/>
                    <w:wordWrap/>
                    <w:overflowPunct/>
                    <w:topLinePunct w:val="0"/>
                    <w:autoSpaceDE/>
                    <w:autoSpaceDN/>
                    <w:bidi w:val="0"/>
                    <w:adjustRightInd w:val="0"/>
                    <w:snapToGrid w:val="0"/>
                    <w:spacing w:line="276" w:lineRule="auto"/>
                    <w:jc w:val="both"/>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827" w:type="pct"/>
                  <w:noWrap w:val="0"/>
                  <w:vAlign w:val="center"/>
                </w:tcPr>
                <w:p w14:paraId="1B924354">
                  <w:pPr>
                    <w:keepNext w:val="0"/>
                    <w:keepLines w:val="0"/>
                    <w:pageBreakBefore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一次破碎</w:t>
                  </w:r>
                </w:p>
              </w:tc>
              <w:tc>
                <w:tcPr>
                  <w:tcW w:w="1488" w:type="pct"/>
                  <w:noWrap w:val="0"/>
                  <w:vAlign w:val="center"/>
                </w:tcPr>
                <w:p w14:paraId="0A0567A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颗粒物</w:t>
                  </w:r>
                </w:p>
              </w:tc>
              <w:tc>
                <w:tcPr>
                  <w:tcW w:w="2298" w:type="pct"/>
                  <w:vMerge w:val="continue"/>
                  <w:noWrap w:val="0"/>
                  <w:vAlign w:val="center"/>
                </w:tcPr>
                <w:p w14:paraId="07BC658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r>
            <w:tr w14:paraId="1D83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10F69FE2">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827" w:type="pct"/>
                  <w:noWrap w:val="0"/>
                  <w:vAlign w:val="center"/>
                </w:tcPr>
                <w:p w14:paraId="52BEF2AB">
                  <w:pPr>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eastAsia"/>
                      <w:color w:val="000000" w:themeColor="text1"/>
                      <w:highlight w:val="none"/>
                      <w:lang w:val="en-US" w:eastAsia="zh-CN"/>
                      <w14:textFill>
                        <w14:solidFill>
                          <w14:schemeClr w14:val="tx1"/>
                        </w14:solidFill>
                      </w14:textFill>
                    </w:rPr>
                    <w:t>二次破碎</w:t>
                  </w:r>
                </w:p>
              </w:tc>
              <w:tc>
                <w:tcPr>
                  <w:tcW w:w="1488" w:type="pct"/>
                  <w:noWrap w:val="0"/>
                  <w:vAlign w:val="center"/>
                </w:tcPr>
                <w:p w14:paraId="3E2D7C8B">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颗粒物</w:t>
                  </w:r>
                </w:p>
              </w:tc>
              <w:tc>
                <w:tcPr>
                  <w:tcW w:w="2298" w:type="pct"/>
                  <w:vMerge w:val="continue"/>
                  <w:noWrap w:val="0"/>
                  <w:vAlign w:val="center"/>
                </w:tcPr>
                <w:p w14:paraId="3909CA91">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r>
            <w:tr w14:paraId="2CE1B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232B35F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827" w:type="pct"/>
                  <w:noWrap w:val="0"/>
                  <w:vAlign w:val="center"/>
                </w:tcPr>
                <w:p w14:paraId="07CF4F72">
                  <w:pPr>
                    <w:jc w:val="center"/>
                    <w:rPr>
                      <w:rFonts w:hint="default" w:ascii="Times New Roman" w:hAnsi="Times New Roman" w:cs="Times New Roman"/>
                      <w:color w:val="000000" w:themeColor="text1"/>
                      <w:kern w:val="0"/>
                      <w:sz w:val="21"/>
                      <w:szCs w:val="21"/>
                      <w:highlight w:val="none"/>
                      <w:lang w:val="en-US" w:eastAsia="zh-CN" w:bidi="ar"/>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三次破碎</w:t>
                  </w:r>
                </w:p>
              </w:tc>
              <w:tc>
                <w:tcPr>
                  <w:tcW w:w="1488" w:type="pct"/>
                  <w:noWrap w:val="0"/>
                  <w:vAlign w:val="center"/>
                </w:tcPr>
                <w:p w14:paraId="51C37FCC">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颗粒物</w:t>
                  </w:r>
                </w:p>
              </w:tc>
              <w:tc>
                <w:tcPr>
                  <w:tcW w:w="2298" w:type="pct"/>
                  <w:vMerge w:val="continue"/>
                  <w:noWrap w:val="0"/>
                  <w:vAlign w:val="center"/>
                </w:tcPr>
                <w:p w14:paraId="2D353D50">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r>
            <w:tr w14:paraId="4CE35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5DE94621">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827" w:type="pct"/>
                  <w:noWrap w:val="0"/>
                  <w:vAlign w:val="center"/>
                </w:tcPr>
                <w:p w14:paraId="3C69BFBA">
                  <w:pPr>
                    <w:jc w:val="center"/>
                    <w:rPr>
                      <w:rFonts w:hint="default"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打包</w:t>
                  </w:r>
                </w:p>
              </w:tc>
              <w:tc>
                <w:tcPr>
                  <w:tcW w:w="1488" w:type="pct"/>
                  <w:noWrap w:val="0"/>
                  <w:vAlign w:val="center"/>
                </w:tcPr>
                <w:p w14:paraId="0EA7871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颗粒物</w:t>
                  </w:r>
                </w:p>
              </w:tc>
              <w:tc>
                <w:tcPr>
                  <w:tcW w:w="2298" w:type="pct"/>
                  <w:vMerge w:val="continue"/>
                  <w:noWrap w:val="0"/>
                  <w:vAlign w:val="center"/>
                </w:tcPr>
                <w:p w14:paraId="38BFB2E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r>
            <w:tr w14:paraId="4566D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5C057EE8">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噪声</w:t>
                  </w:r>
                </w:p>
              </w:tc>
              <w:tc>
                <w:tcPr>
                  <w:tcW w:w="827" w:type="pct"/>
                  <w:noWrap w:val="0"/>
                  <w:vAlign w:val="center"/>
                </w:tcPr>
                <w:p w14:paraId="31D25786">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生产设备</w:t>
                  </w:r>
                </w:p>
              </w:tc>
              <w:tc>
                <w:tcPr>
                  <w:tcW w:w="1488" w:type="pct"/>
                  <w:noWrap w:val="0"/>
                  <w:vAlign w:val="center"/>
                </w:tcPr>
                <w:p w14:paraId="04E06442">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噪声</w:t>
                  </w:r>
                </w:p>
              </w:tc>
              <w:tc>
                <w:tcPr>
                  <w:tcW w:w="2298" w:type="pct"/>
                  <w:noWrap w:val="0"/>
                  <w:vAlign w:val="center"/>
                </w:tcPr>
                <w:p w14:paraId="17DC6400">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选用低噪声设备、基础减振、厂房隔声、距离衰减等措施</w:t>
                  </w:r>
                </w:p>
              </w:tc>
            </w:tr>
            <w:tr w14:paraId="6F315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564FDB9C">
                  <w:pPr>
                    <w:keepNext w:val="0"/>
                    <w:keepLines w:val="0"/>
                    <w:pageBreakBefore w:val="0"/>
                    <w:widowControl w:val="0"/>
                    <w:kinsoku/>
                    <w:wordWrap/>
                    <w:overflowPunct/>
                    <w:topLinePunct w:val="0"/>
                    <w:autoSpaceDE/>
                    <w:autoSpaceDN/>
                    <w:bidi w:val="0"/>
                    <w:adjustRightInd w:val="0"/>
                    <w:snapToGrid w:val="0"/>
                    <w:spacing w:line="276" w:lineRule="auto"/>
                    <w:jc w:val="both"/>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生活垃圾</w:t>
                  </w:r>
                </w:p>
              </w:tc>
              <w:tc>
                <w:tcPr>
                  <w:tcW w:w="827" w:type="pct"/>
                  <w:noWrap w:val="0"/>
                  <w:vAlign w:val="center"/>
                </w:tcPr>
                <w:p w14:paraId="41E06E44">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办公生活</w:t>
                  </w:r>
                </w:p>
              </w:tc>
              <w:tc>
                <w:tcPr>
                  <w:tcW w:w="1488" w:type="pct"/>
                  <w:noWrap w:val="0"/>
                  <w:vAlign w:val="center"/>
                </w:tcPr>
                <w:p w14:paraId="5677ECB3">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果皮、纸屑等</w:t>
                  </w:r>
                </w:p>
              </w:tc>
              <w:tc>
                <w:tcPr>
                  <w:tcW w:w="2298" w:type="pct"/>
                  <w:noWrap w:val="0"/>
                  <w:vAlign w:val="center"/>
                </w:tcPr>
                <w:p w14:paraId="3F2ED2FE">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垃圾桶收集后由环卫部门统一清运</w:t>
                  </w:r>
                </w:p>
              </w:tc>
            </w:tr>
            <w:tr w14:paraId="58245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restart"/>
                  <w:noWrap w:val="0"/>
                  <w:vAlign w:val="center"/>
                </w:tcPr>
                <w:p w14:paraId="1970AAEC">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一般固废</w:t>
                  </w:r>
                </w:p>
              </w:tc>
              <w:tc>
                <w:tcPr>
                  <w:tcW w:w="827" w:type="pct"/>
                  <w:vMerge w:val="restart"/>
                  <w:noWrap w:val="0"/>
                  <w:vAlign w:val="center"/>
                </w:tcPr>
                <w:p w14:paraId="6E05F78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生产过程</w:t>
                  </w:r>
                </w:p>
              </w:tc>
              <w:tc>
                <w:tcPr>
                  <w:tcW w:w="1488" w:type="pct"/>
                  <w:noWrap w:val="0"/>
                  <w:vAlign w:val="center"/>
                </w:tcPr>
                <w:p w14:paraId="446A24F9">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废铁等金属</w:t>
                  </w:r>
                </w:p>
              </w:tc>
              <w:tc>
                <w:tcPr>
                  <w:tcW w:w="2298" w:type="pct"/>
                  <w:vMerge w:val="restart"/>
                  <w:noWrap w:val="0"/>
                  <w:vAlign w:val="center"/>
                </w:tcPr>
                <w:p w14:paraId="40540820">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集中收集外售</w:t>
                  </w:r>
                  <w:r>
                    <w:rPr>
                      <w:rFonts w:hint="eastAsia" w:cs="Times New Roman"/>
                      <w:b w:val="0"/>
                      <w:bCs/>
                      <w:color w:val="000000" w:themeColor="text1"/>
                      <w:sz w:val="21"/>
                      <w:szCs w:val="21"/>
                      <w:highlight w:val="none"/>
                      <w:vertAlign w:val="baseline"/>
                      <w:lang w:val="en-US" w:eastAsia="zh-CN"/>
                      <w14:textFill>
                        <w14:solidFill>
                          <w14:schemeClr w14:val="tx1"/>
                        </w14:solidFill>
                      </w14:textFill>
                    </w:rPr>
                    <w:t>物资回收公司</w:t>
                  </w:r>
                </w:p>
              </w:tc>
            </w:tr>
            <w:tr w14:paraId="055C5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5D96F1AB">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827" w:type="pct"/>
                  <w:vMerge w:val="continue"/>
                  <w:noWrap w:val="0"/>
                  <w:vAlign w:val="center"/>
                </w:tcPr>
                <w:p w14:paraId="4CDA4843">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1488" w:type="pct"/>
                  <w:noWrap w:val="0"/>
                  <w:vAlign w:val="center"/>
                </w:tcPr>
                <w:p w14:paraId="1D94CC20">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不可燃物</w:t>
                  </w:r>
                </w:p>
              </w:tc>
              <w:tc>
                <w:tcPr>
                  <w:tcW w:w="2298" w:type="pct"/>
                  <w:vMerge w:val="continue"/>
                  <w:noWrap w:val="0"/>
                  <w:vAlign w:val="center"/>
                </w:tcPr>
                <w:p w14:paraId="2989917A">
                  <w:pPr>
                    <w:keepNext w:val="0"/>
                    <w:keepLines w:val="0"/>
                    <w:pageBreakBefore w:val="0"/>
                    <w:kinsoku/>
                    <w:wordWrap/>
                    <w:overflowPunct/>
                    <w:topLinePunct w:val="0"/>
                    <w:autoSpaceDE/>
                    <w:autoSpaceDN/>
                    <w:bidi w:val="0"/>
                    <w:spacing w:line="276" w:lineRule="auto"/>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r>
            <w:tr w14:paraId="3C942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163CBE9A">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827" w:type="pct"/>
                  <w:vMerge w:val="continue"/>
                  <w:noWrap w:val="0"/>
                  <w:vAlign w:val="center"/>
                </w:tcPr>
                <w:p w14:paraId="1FFFB7E8">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1488" w:type="pct"/>
                  <w:noWrap w:val="0"/>
                  <w:vAlign w:val="center"/>
                </w:tcPr>
                <w:p w14:paraId="4074B6E3">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除尘器收尘</w:t>
                  </w:r>
                </w:p>
              </w:tc>
              <w:tc>
                <w:tcPr>
                  <w:tcW w:w="2298" w:type="pct"/>
                  <w:vMerge w:val="restart"/>
                  <w:noWrap w:val="0"/>
                  <w:vAlign w:val="center"/>
                </w:tcPr>
                <w:p w14:paraId="23ED1570">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集中收集外售水泥厂作原料</w:t>
                  </w:r>
                </w:p>
              </w:tc>
            </w:tr>
            <w:tr w14:paraId="039FB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1916CCA3">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827" w:type="pct"/>
                  <w:vMerge w:val="continue"/>
                  <w:noWrap w:val="0"/>
                  <w:vAlign w:val="center"/>
                </w:tcPr>
                <w:p w14:paraId="2C5C3428">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1488" w:type="pct"/>
                  <w:noWrap w:val="0"/>
                  <w:vAlign w:val="center"/>
                </w:tcPr>
                <w:p w14:paraId="52B415AF">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车间</w:t>
                  </w:r>
                  <w:r>
                    <w:rPr>
                      <w:rFonts w:hint="eastAsia" w:cs="Times New Roman"/>
                      <w:b w:val="0"/>
                      <w:bCs/>
                      <w:color w:val="000000" w:themeColor="text1"/>
                      <w:sz w:val="21"/>
                      <w:szCs w:val="21"/>
                      <w:highlight w:val="none"/>
                      <w:vertAlign w:val="baseline"/>
                      <w:lang w:val="en-US" w:eastAsia="zh-CN"/>
                      <w14:textFill>
                        <w14:solidFill>
                          <w14:schemeClr w14:val="tx1"/>
                        </w14:solidFill>
                      </w14:textFill>
                    </w:rPr>
                    <w:t>沉降粉尘</w:t>
                  </w:r>
                </w:p>
              </w:tc>
              <w:tc>
                <w:tcPr>
                  <w:tcW w:w="2298" w:type="pct"/>
                  <w:vMerge w:val="continue"/>
                  <w:noWrap w:val="0"/>
                  <w:vAlign w:val="center"/>
                </w:tcPr>
                <w:p w14:paraId="5D2F9924">
                  <w:pPr>
                    <w:keepNext w:val="0"/>
                    <w:keepLines w:val="0"/>
                    <w:pageBreakBefore w:val="0"/>
                    <w:kinsoku/>
                    <w:wordWrap/>
                    <w:overflowPunct/>
                    <w:topLinePunct w:val="0"/>
                    <w:autoSpaceDE/>
                    <w:autoSpaceDN/>
                    <w:bidi w:val="0"/>
                    <w:spacing w:line="276" w:lineRule="auto"/>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r>
            <w:tr w14:paraId="2B84F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Merge w:val="continue"/>
                  <w:noWrap w:val="0"/>
                  <w:vAlign w:val="center"/>
                </w:tcPr>
                <w:p w14:paraId="3CC694ED">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827" w:type="pct"/>
                  <w:noWrap w:val="0"/>
                  <w:vAlign w:val="center"/>
                </w:tcPr>
                <w:p w14:paraId="6A5BE129">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粉尘治理</w:t>
                  </w:r>
                </w:p>
              </w:tc>
              <w:tc>
                <w:tcPr>
                  <w:tcW w:w="1488" w:type="pct"/>
                  <w:noWrap w:val="0"/>
                  <w:vAlign w:val="center"/>
                </w:tcPr>
                <w:p w14:paraId="37313C8F">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废旧布袋</w:t>
                  </w:r>
                </w:p>
              </w:tc>
              <w:tc>
                <w:tcPr>
                  <w:tcW w:w="2298" w:type="pct"/>
                  <w:noWrap w:val="0"/>
                  <w:vAlign w:val="center"/>
                </w:tcPr>
                <w:p w14:paraId="42B64659">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回用于生产</w:t>
                  </w:r>
                </w:p>
              </w:tc>
            </w:tr>
            <w:tr w14:paraId="7C7E9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noWrap w:val="0"/>
                  <w:vAlign w:val="center"/>
                </w:tcPr>
                <w:p w14:paraId="1FE6AD01">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危险废物</w:t>
                  </w:r>
                </w:p>
              </w:tc>
              <w:tc>
                <w:tcPr>
                  <w:tcW w:w="827" w:type="pct"/>
                  <w:noWrap w:val="0"/>
                  <w:vAlign w:val="center"/>
                </w:tcPr>
                <w:p w14:paraId="3187C189">
                  <w:pPr>
                    <w:keepNext w:val="0"/>
                    <w:keepLines w:val="0"/>
                    <w:pageBreakBefore w:val="0"/>
                    <w:widowControl w:val="0"/>
                    <w:kinsoku/>
                    <w:wordWrap/>
                    <w:overflowPunct/>
                    <w:topLinePunct w:val="0"/>
                    <w:autoSpaceDE/>
                    <w:autoSpaceDN/>
                    <w:bidi w:val="0"/>
                    <w:adjustRightInd w:val="0"/>
                    <w:snapToGrid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设备维护</w:t>
                  </w:r>
                </w:p>
              </w:tc>
              <w:tc>
                <w:tcPr>
                  <w:tcW w:w="1488" w:type="pct"/>
                  <w:noWrap w:val="0"/>
                  <w:vAlign w:val="center"/>
                </w:tcPr>
                <w:p w14:paraId="549435EB">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废润滑油、</w:t>
                  </w: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废油桶和</w:t>
                  </w: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废含油抹布及手套</w:t>
                  </w:r>
                </w:p>
              </w:tc>
              <w:tc>
                <w:tcPr>
                  <w:tcW w:w="2298" w:type="pct"/>
                  <w:noWrap w:val="0"/>
                  <w:vAlign w:val="center"/>
                </w:tcPr>
                <w:p w14:paraId="3A56C157">
                  <w:pPr>
                    <w:keepNext w:val="0"/>
                    <w:keepLines w:val="0"/>
                    <w:pageBreakBefore w:val="0"/>
                    <w:kinsoku/>
                    <w:wordWrap/>
                    <w:overflowPunct/>
                    <w:topLinePunct w:val="0"/>
                    <w:autoSpaceDE/>
                    <w:autoSpaceDN/>
                    <w:bidi w:val="0"/>
                    <w:spacing w:line="276" w:lineRule="auto"/>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收集后暂存在危废贮存库，定期</w:t>
                  </w: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交由</w:t>
                  </w:r>
                </w:p>
                <w:p w14:paraId="1BA9AA74">
                  <w:pPr>
                    <w:keepNext w:val="0"/>
                    <w:keepLines w:val="0"/>
                    <w:pageBreakBefore w:val="0"/>
                    <w:kinsoku/>
                    <w:wordWrap/>
                    <w:overflowPunct/>
                    <w:topLinePunct w:val="0"/>
                    <w:autoSpaceDE/>
                    <w:autoSpaceDN/>
                    <w:bidi w:val="0"/>
                    <w:spacing w:line="276" w:lineRule="auto"/>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有资质单位处置</w:t>
                  </w:r>
                </w:p>
              </w:tc>
            </w:tr>
          </w:tbl>
          <w:p w14:paraId="29A96C32">
            <w:pPr>
              <w:numPr>
                <w:ilvl w:val="0"/>
                <w:numId w:val="0"/>
              </w:numPr>
              <w:adjustRightInd w:val="0"/>
              <w:snapToGrid w:val="0"/>
              <w:spacing w:line="360" w:lineRule="auto"/>
              <w:jc w:val="center"/>
              <w:rPr>
                <w:rFonts w:hint="default" w:ascii="Times New Roman" w:hAnsi="Times New Roman" w:eastAsia="宋体" w:cs="Times New Roman"/>
                <w:b/>
                <w:bCs w:val="0"/>
                <w:color w:val="000000" w:themeColor="text1"/>
                <w:sz w:val="24"/>
                <w:szCs w:val="24"/>
                <w:highlight w:val="none"/>
                <w:lang w:val="en-US" w:eastAsia="zh-CN"/>
                <w14:textFill>
                  <w14:solidFill>
                    <w14:schemeClr w14:val="tx1"/>
                  </w14:solidFill>
                </w14:textFill>
              </w:rPr>
            </w:pPr>
          </w:p>
        </w:tc>
      </w:tr>
      <w:tr w14:paraId="247DED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8" w:hRule="atLeast"/>
          <w:jc w:val="center"/>
        </w:trPr>
        <w:tc>
          <w:tcPr>
            <w:tcW w:w="446" w:type="dxa"/>
            <w:noWrap w:val="0"/>
            <w:vAlign w:val="center"/>
          </w:tcPr>
          <w:p w14:paraId="38B1FF32">
            <w:pPr>
              <w:pStyle w:val="21"/>
              <w:adjustRightInd w:val="0"/>
              <w:snapToGrid w:val="0"/>
              <w:spacing w:before="0" w:beforeAutospacing="0" w:after="0" w:afterAutospacing="0"/>
              <w:jc w:val="both"/>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val="0"/>
                <w:bCs w:val="0"/>
                <w:color w:val="000000" w:themeColor="text1"/>
                <w:kern w:val="2"/>
                <w:sz w:val="24"/>
                <w:szCs w:val="24"/>
                <w:highlight w:val="none"/>
                <w14:textFill>
                  <w14:solidFill>
                    <w14:schemeClr w14:val="tx1"/>
                  </w14:solidFill>
                </w14:textFill>
              </w:rPr>
              <w:t>与项目有关的原有环境污染问题</w:t>
            </w:r>
          </w:p>
        </w:tc>
        <w:tc>
          <w:tcPr>
            <w:tcW w:w="8538" w:type="dxa"/>
            <w:noWrap w:val="0"/>
            <w:vAlign w:val="center"/>
          </w:tcPr>
          <w:p w14:paraId="7FB010C4">
            <w:pPr>
              <w:spacing w:line="360" w:lineRule="auto"/>
              <w:ind w:firstLine="480" w:firstLineChars="200"/>
              <w:jc w:val="left"/>
              <w:rPr>
                <w:rFonts w:hint="eastAsia"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本项目为新建项目，位于陕西省西咸新区泾河新城永乐工业园区南北大道陕西国坤时代科技有限公司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highlight w:val="none"/>
                <w14:textFill>
                  <w14:solidFill>
                    <w14:schemeClr w14:val="tx1"/>
                  </w14:solidFill>
                </w14:textFill>
              </w:rPr>
              <w:t>号厂房。根据现场勘察，</w:t>
            </w:r>
            <w:r>
              <w:rPr>
                <w:rFonts w:hint="eastAsia" w:cs="Times New Roman"/>
                <w:color w:val="000000" w:themeColor="text1"/>
                <w:sz w:val="24"/>
                <w:szCs w:val="24"/>
                <w:highlight w:val="none"/>
                <w:lang w:val="en-US" w:eastAsia="zh-CN"/>
                <w14:textFill>
                  <w14:solidFill>
                    <w14:schemeClr w14:val="tx1"/>
                  </w14:solidFill>
                </w14:textFill>
              </w:rPr>
              <w:t>该厂房</w:t>
            </w:r>
            <w:r>
              <w:rPr>
                <w:rFonts w:hint="eastAsia" w:ascii="Times New Roman" w:hAnsi="Times New Roman" w:eastAsia="宋体" w:cs="Times New Roman"/>
                <w:color w:val="000000" w:themeColor="text1"/>
                <w:sz w:val="24"/>
                <w:szCs w:val="24"/>
                <w:highlight w:val="none"/>
                <w14:textFill>
                  <w14:solidFill>
                    <w14:schemeClr w14:val="tx1"/>
                  </w14:solidFill>
                </w14:textFill>
              </w:rPr>
              <w:t>之前一直</w:t>
            </w:r>
            <w:r>
              <w:rPr>
                <w:rFonts w:hint="eastAsia" w:cs="Times New Roman"/>
                <w:color w:val="000000" w:themeColor="text1"/>
                <w:sz w:val="24"/>
                <w:szCs w:val="24"/>
                <w:highlight w:val="none"/>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highlight w:val="none"/>
                <w14:textFill>
                  <w14:solidFill>
                    <w14:schemeClr w14:val="tx1"/>
                  </w14:solidFill>
                </w14:textFill>
              </w:rPr>
              <w:t>仓库，目前空置，无原有污染情况和主要环境问题。</w:t>
            </w:r>
          </w:p>
          <w:p w14:paraId="4AAD2118">
            <w:pPr>
              <w:spacing w:line="360" w:lineRule="auto"/>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drawing>
                <wp:inline distT="0" distB="0" distL="114300" distR="114300">
                  <wp:extent cx="3868420" cy="2402840"/>
                  <wp:effectExtent l="0" t="0" r="17780" b="16510"/>
                  <wp:docPr id="121" name="图片 2" descr="10f5ff5043494bc561b4c6952f0ac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2" descr="10f5ff5043494bc561b4c6952f0ac7a"/>
                          <pic:cNvPicPr>
                            <a:picLocks noChangeAspect="1"/>
                          </pic:cNvPicPr>
                        </pic:nvPicPr>
                        <pic:blipFill>
                          <a:blip r:embed="rId11"/>
                          <a:stretch>
                            <a:fillRect/>
                          </a:stretch>
                        </pic:blipFill>
                        <pic:spPr>
                          <a:xfrm>
                            <a:off x="0" y="0"/>
                            <a:ext cx="3868420" cy="2402840"/>
                          </a:xfrm>
                          <a:prstGeom prst="rect">
                            <a:avLst/>
                          </a:prstGeom>
                          <a:noFill/>
                          <a:ln>
                            <a:noFill/>
                          </a:ln>
                        </pic:spPr>
                      </pic:pic>
                    </a:graphicData>
                  </a:graphic>
                </wp:inline>
              </w:drawing>
            </w:r>
          </w:p>
        </w:tc>
      </w:tr>
    </w:tbl>
    <w:p w14:paraId="07E7D411">
      <w:pPr>
        <w:pStyle w:val="21"/>
        <w:jc w:val="center"/>
        <w:rPr>
          <w:rFonts w:hint="default" w:ascii="Times New Roman" w:hAnsi="Times New Roman" w:eastAsia="黑体" w:cs="Times New Roman"/>
          <w:snapToGrid w:val="0"/>
          <w:color w:val="000000" w:themeColor="text1"/>
          <w:sz w:val="36"/>
          <w:szCs w:val="36"/>
          <w:highlight w:val="none"/>
          <w14:textFill>
            <w14:solidFill>
              <w14:schemeClr w14:val="tx1"/>
            </w14:solidFill>
          </w14:textFill>
        </w:rPr>
        <w:sectPr>
          <w:pgSz w:w="11906" w:h="16838"/>
          <w:pgMar w:top="1701" w:right="1531" w:bottom="1701" w:left="1531" w:header="851" w:footer="851" w:gutter="0"/>
          <w:pgNumType w:fmt="decimal"/>
          <w:cols w:space="720" w:num="1"/>
          <w:docGrid w:linePitch="312" w:charSpace="0"/>
        </w:sectPr>
      </w:pPr>
    </w:p>
    <w:p w14:paraId="72391BE4">
      <w:pPr>
        <w:pStyle w:val="21"/>
        <w:jc w:val="center"/>
        <w:outlineLvl w:val="0"/>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pPr>
      <w:bookmarkStart w:id="7" w:name="_Toc31726"/>
      <w:r>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t>三、区域环境质量现状、环境保护目标及评价标准</w:t>
      </w:r>
      <w:bookmarkEnd w:id="7"/>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4"/>
        <w:gridCol w:w="8526"/>
      </w:tblGrid>
      <w:tr w14:paraId="5E8CB6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8" w:hRule="atLeast"/>
          <w:jc w:val="center"/>
        </w:trPr>
        <w:tc>
          <w:tcPr>
            <w:tcW w:w="464" w:type="dxa"/>
            <w:noWrap w:val="0"/>
            <w:vAlign w:val="center"/>
          </w:tcPr>
          <w:p w14:paraId="61593F49">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区域</w:t>
            </w:r>
          </w:p>
          <w:p w14:paraId="6B345C88">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环境</w:t>
            </w:r>
          </w:p>
          <w:p w14:paraId="2A8BFCDB">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质量</w:t>
            </w:r>
          </w:p>
          <w:p w14:paraId="1065083D">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现状</w:t>
            </w:r>
          </w:p>
        </w:tc>
        <w:tc>
          <w:tcPr>
            <w:tcW w:w="8526" w:type="dxa"/>
            <w:noWrap w:val="0"/>
            <w:vAlign w:val="top"/>
          </w:tcPr>
          <w:p w14:paraId="5CCC8170">
            <w:pPr>
              <w:numPr>
                <w:ilvl w:val="0"/>
                <w:numId w:val="4"/>
              </w:numPr>
              <w:adjustRightInd w:val="0"/>
              <w:snapToGrid w:val="0"/>
              <w:spacing w:line="360" w:lineRule="auto"/>
              <w:jc w:val="left"/>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t>大气环境质量现状</w:t>
            </w:r>
          </w:p>
          <w:p w14:paraId="4B870644">
            <w:pPr>
              <w:pStyle w:val="3"/>
              <w:numPr>
                <w:ilvl w:val="0"/>
                <w:numId w:val="0"/>
              </w:numPr>
              <w:spacing w:line="360" w:lineRule="auto"/>
              <w:rPr>
                <w:rFonts w:hint="default" w:ascii="Times New Roman" w:hAnsi="Times New Roman" w:cs="Times New Roman"/>
                <w:b w:val="0"/>
                <w:bCs w:val="0"/>
                <w:color w:val="000000" w:themeColor="text1"/>
                <w:kern w:val="0"/>
                <w:sz w:val="24"/>
                <w:szCs w:val="24"/>
                <w:highlight w:val="none"/>
                <w:lang w:val="en-US" w:eastAsia="zh-CN"/>
                <w14:textFill>
                  <w14:solidFill>
                    <w14:schemeClr w14:val="tx1"/>
                  </w14:solidFill>
                </w14:textFill>
              </w:rPr>
            </w:pPr>
            <w:bookmarkStart w:id="8" w:name="_Toc3242"/>
            <w:r>
              <w:rPr>
                <w:rFonts w:hint="default" w:ascii="Times New Roman" w:hAnsi="Times New Roman" w:cs="Times New Roman"/>
                <w:b w:val="0"/>
                <w:bCs w:val="0"/>
                <w:color w:val="000000" w:themeColor="text1"/>
                <w:kern w:val="0"/>
                <w:sz w:val="24"/>
                <w:szCs w:val="24"/>
                <w:highlight w:val="none"/>
                <w:lang w:val="en-US" w:eastAsia="zh-CN" w:bidi="ar-SA"/>
                <w14:textFill>
                  <w14:solidFill>
                    <w14:schemeClr w14:val="tx1"/>
                  </w14:solidFill>
                </w14:textFill>
              </w:rPr>
              <w:t>（1）</w:t>
            </w:r>
            <w:r>
              <w:rPr>
                <w:rFonts w:hint="default" w:ascii="Times New Roman" w:hAnsi="Times New Roman" w:cs="Times New Roman"/>
                <w:b w:val="0"/>
                <w:bCs w:val="0"/>
                <w:color w:val="000000" w:themeColor="text1"/>
                <w:kern w:val="0"/>
                <w:sz w:val="24"/>
                <w:szCs w:val="24"/>
                <w:highlight w:val="none"/>
                <w:lang w:val="en-US" w:eastAsia="zh-CN"/>
                <w14:textFill>
                  <w14:solidFill>
                    <w14:schemeClr w14:val="tx1"/>
                  </w14:solidFill>
                </w14:textFill>
              </w:rPr>
              <w:t>基本污染物</w:t>
            </w:r>
            <w:bookmarkEnd w:id="8"/>
          </w:p>
          <w:p w14:paraId="61355653">
            <w:pPr>
              <w:spacing w:line="360" w:lineRule="auto"/>
              <w:ind w:firstLine="422"/>
              <w:contextualSpacing/>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本项目位于</w:t>
            </w:r>
            <w:r>
              <w:rPr>
                <w:rFonts w:hint="default" w:ascii="Times New Roman" w:hAnsi="Times New Roman" w:eastAsia="宋体" w:cs="Times New Roman"/>
                <w:b w:val="0"/>
                <w:bCs w:val="0"/>
                <w:color w:val="000000" w:themeColor="text1"/>
                <w:sz w:val="24"/>
                <w:szCs w:val="24"/>
                <w:highlight w:val="none"/>
                <w:lang w:val="en-US" w:eastAsia="zh-CN" w:bidi="ar-SA"/>
                <w14:textFill>
                  <w14:solidFill>
                    <w14:schemeClr w14:val="tx1"/>
                  </w14:solidFill>
                </w14:textFill>
              </w:rPr>
              <w:t>陕西省西咸新区泾河新城。</w:t>
            </w:r>
            <w:r>
              <w:rPr>
                <w:rFonts w:hint="default" w:ascii="Times New Roman" w:hAnsi="Times New Roman" w:cs="Times New Roman"/>
                <w:color w:val="000000" w:themeColor="text1"/>
                <w:kern w:val="0"/>
                <w:sz w:val="24"/>
                <w:szCs w:val="20"/>
                <w:highlight w:val="none"/>
                <w14:textFill>
                  <w14:solidFill>
                    <w14:schemeClr w14:val="tx1"/>
                  </w14:solidFill>
                </w14:textFill>
              </w:rPr>
              <w:t>根据大气功能区划，项目所在地为二类功能区，环境空气质量标准执行《环境空气质量标准》（GB3095-2012）二级标准要求。</w:t>
            </w:r>
          </w:p>
          <w:p w14:paraId="0CA5DFA1">
            <w:pPr>
              <w:spacing w:line="360" w:lineRule="auto"/>
              <w:ind w:firstLine="422"/>
              <w:contextualSpacing/>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本项目空气环境质量现状引用《202</w:t>
            </w:r>
            <w:r>
              <w:rPr>
                <w:rFonts w:hint="default" w:ascii="Times New Roman" w:hAnsi="Times New Roman" w:cs="Times New Roman"/>
                <w:color w:val="000000" w:themeColor="text1"/>
                <w:kern w:val="0"/>
                <w:sz w:val="24"/>
                <w:szCs w:val="20"/>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0"/>
                <w:highlight w:val="none"/>
                <w14:textFill>
                  <w14:solidFill>
                    <w14:schemeClr w14:val="tx1"/>
                  </w14:solidFill>
                </w14:textFill>
              </w:rPr>
              <w:t>年12月及1~12月全省环境空气质量状况环保快报》（陕西省生态环境厅办公室，202</w:t>
            </w:r>
            <w:r>
              <w:rPr>
                <w:rFonts w:hint="default" w:ascii="Times New Roman" w:hAnsi="Times New Roman" w:cs="Times New Roman"/>
                <w:color w:val="000000" w:themeColor="text1"/>
                <w:kern w:val="0"/>
                <w:sz w:val="24"/>
                <w:szCs w:val="20"/>
                <w:highlight w:val="none"/>
                <w:lang w:val="en-US" w:eastAsia="zh-CN"/>
                <w14:textFill>
                  <w14:solidFill>
                    <w14:schemeClr w14:val="tx1"/>
                  </w14:solidFill>
                </w14:textFill>
              </w:rPr>
              <w:t>5</w:t>
            </w:r>
            <w:r>
              <w:rPr>
                <w:rFonts w:hint="default" w:ascii="Times New Roman" w:hAnsi="Times New Roman" w:cs="Times New Roman"/>
                <w:color w:val="000000" w:themeColor="text1"/>
                <w:kern w:val="0"/>
                <w:sz w:val="24"/>
                <w:szCs w:val="20"/>
                <w:highlight w:val="none"/>
                <w14:textFill>
                  <w14:solidFill>
                    <w14:schemeClr w14:val="tx1"/>
                  </w14:solidFill>
                </w14:textFill>
              </w:rPr>
              <w:t>年1月1</w:t>
            </w:r>
            <w:r>
              <w:rPr>
                <w:rFonts w:hint="default" w:ascii="Times New Roman" w:hAnsi="Times New Roman" w:cs="Times New Roman"/>
                <w:color w:val="000000" w:themeColor="text1"/>
                <w:kern w:val="0"/>
                <w:sz w:val="24"/>
                <w:szCs w:val="20"/>
                <w:highlight w:val="none"/>
                <w:lang w:val="en-US" w:eastAsia="zh-CN"/>
                <w14:textFill>
                  <w14:solidFill>
                    <w14:schemeClr w14:val="tx1"/>
                  </w14:solidFill>
                </w14:textFill>
              </w:rPr>
              <w:t>9</w:t>
            </w:r>
            <w:r>
              <w:rPr>
                <w:rFonts w:hint="default" w:ascii="Times New Roman" w:hAnsi="Times New Roman" w:cs="Times New Roman"/>
                <w:color w:val="000000" w:themeColor="text1"/>
                <w:kern w:val="0"/>
                <w:sz w:val="24"/>
                <w:szCs w:val="20"/>
                <w:highlight w:val="none"/>
                <w14:textFill>
                  <w14:solidFill>
                    <w14:schemeClr w14:val="tx1"/>
                  </w14:solidFill>
                </w14:textFill>
              </w:rPr>
              <w:t>日发布）中空气常规六项污染物监测结果，对区域环境空气质量现状进行分析，统计结果见下表。</w:t>
            </w:r>
          </w:p>
          <w:p w14:paraId="13B96ED6">
            <w:pPr>
              <w:pStyle w:val="3"/>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bookmarkStart w:id="9" w:name="_Toc22954"/>
            <w:r>
              <w:rPr>
                <w:rFonts w:hint="default" w:ascii="Times New Roman" w:hAnsi="Times New Roman" w:cs="Times New Roman"/>
                <w:b/>
                <w:bCs/>
                <w:color w:val="000000" w:themeColor="text1"/>
                <w:kern w:val="0"/>
                <w:sz w:val="21"/>
                <w:szCs w:val="21"/>
                <w:highlight w:val="none"/>
                <w:lang w:val="en-US" w:eastAsia="zh-CN"/>
                <w14:textFill>
                  <w14:solidFill>
                    <w14:schemeClr w14:val="tx1"/>
                  </w14:solidFill>
                </w14:textFill>
              </w:rPr>
              <w:t>表</w:t>
            </w:r>
            <w:r>
              <w:rPr>
                <w:rFonts w:hint="default" w:ascii="Times New Roman" w:hAnsi="Times New Roman" w:eastAsia="宋体" w:cs="Times New Roman"/>
                <w:b/>
                <w:bCs/>
                <w:color w:val="000000" w:themeColor="text1"/>
                <w:kern w:val="0"/>
                <w:sz w:val="21"/>
                <w:szCs w:val="21"/>
                <w:highlight w:val="none"/>
                <w:lang w:val="en-US" w:eastAsia="zh-CN" w:bidi="ar-SA"/>
                <w14:textFill>
                  <w14:solidFill>
                    <w14:schemeClr w14:val="tx1"/>
                  </w14:solidFill>
                </w14:textFill>
              </w:rPr>
              <w:t>3-1 本项目所在地达标区判定情况一览表（单位：</w:t>
            </w:r>
            <w:r>
              <w:rPr>
                <w:rFonts w:hint="default" w:ascii="Times New Roman" w:hAnsi="Times New Roman" w:cs="Times New Roman"/>
                <w:b/>
                <w:bCs/>
                <w:color w:val="000000" w:themeColor="text1"/>
                <w:kern w:val="0"/>
                <w:sz w:val="21"/>
                <w:szCs w:val="21"/>
                <w:highlight w:val="none"/>
                <w14:textFill>
                  <w14:solidFill>
                    <w14:schemeClr w14:val="tx1"/>
                  </w14:solidFill>
                </w14:textFill>
              </w:rPr>
              <w:t>μg/m</w:t>
            </w:r>
            <w:r>
              <w:rPr>
                <w:rFonts w:hint="default" w:ascii="Times New Roman" w:hAnsi="Times New Roman" w:cs="Times New Roman"/>
                <w:b/>
                <w:bCs/>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b/>
                <w:bCs/>
                <w:color w:val="000000" w:themeColor="text1"/>
                <w:kern w:val="0"/>
                <w:sz w:val="21"/>
                <w:szCs w:val="21"/>
                <w:highlight w:val="none"/>
                <w:lang w:val="en-US" w:eastAsia="zh-CN" w:bidi="ar-SA"/>
                <w14:textFill>
                  <w14:solidFill>
                    <w14:schemeClr w14:val="tx1"/>
                  </w14:solidFill>
                </w14:textFill>
              </w:rPr>
              <w:t>）</w:t>
            </w:r>
            <w:bookmarkEnd w:id="9"/>
          </w:p>
          <w:tbl>
            <w:tblPr>
              <w:tblStyle w:val="25"/>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855"/>
              <w:gridCol w:w="2685"/>
              <w:gridCol w:w="885"/>
              <w:gridCol w:w="900"/>
              <w:gridCol w:w="1110"/>
              <w:gridCol w:w="1230"/>
            </w:tblGrid>
            <w:tr w14:paraId="42989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415" w:type="pct"/>
                  <w:noWrap w:val="0"/>
                  <w:vAlign w:val="center"/>
                </w:tcPr>
                <w:p w14:paraId="37B98F85">
                  <w:pPr>
                    <w:widowControl/>
                    <w:jc w:val="center"/>
                    <w:rPr>
                      <w:rFonts w:hint="default" w:ascii="Times New Roman" w:hAnsi="Times New Roman" w:cs="Times New Roman"/>
                      <w:b/>
                      <w:bCs/>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lang w:val="en-US" w:eastAsia="zh-CN"/>
                      <w14:textFill>
                        <w14:solidFill>
                          <w14:schemeClr w14:val="tx1"/>
                        </w14:solidFill>
                      </w14:textFill>
                    </w:rPr>
                    <w:t>县区</w:t>
                  </w:r>
                </w:p>
                <w:p w14:paraId="42726550">
                  <w:pPr>
                    <w:widowControl/>
                    <w:jc w:val="cente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lang w:val="en-US" w:eastAsia="zh-CN"/>
                      <w14:textFill>
                        <w14:solidFill>
                          <w14:schemeClr w14:val="tx1"/>
                        </w14:solidFill>
                      </w14:textFill>
                    </w:rPr>
                    <w:t>名称</w:t>
                  </w:r>
                </w:p>
              </w:tc>
              <w:tc>
                <w:tcPr>
                  <w:tcW w:w="511" w:type="pct"/>
                  <w:noWrap w:val="0"/>
                  <w:vAlign w:val="center"/>
                </w:tcPr>
                <w:p w14:paraId="6DABFC14">
                  <w:pPr>
                    <w:widowControl/>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污染物</w:t>
                  </w:r>
                </w:p>
              </w:tc>
              <w:tc>
                <w:tcPr>
                  <w:tcW w:w="1606" w:type="pct"/>
                  <w:noWrap w:val="0"/>
                  <w:vAlign w:val="center"/>
                </w:tcPr>
                <w:p w14:paraId="3B6D0852">
                  <w:pPr>
                    <w:widowControl/>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年评价指标</w:t>
                  </w:r>
                </w:p>
              </w:tc>
              <w:tc>
                <w:tcPr>
                  <w:tcW w:w="529" w:type="pct"/>
                  <w:noWrap w:val="0"/>
                  <w:vAlign w:val="center"/>
                </w:tcPr>
                <w:p w14:paraId="1E9BBE49">
                  <w:pPr>
                    <w:widowControl/>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评价</w:t>
                  </w:r>
                </w:p>
                <w:p w14:paraId="5D1ABCAF">
                  <w:pPr>
                    <w:widowControl/>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标准</w:t>
                  </w:r>
                </w:p>
              </w:tc>
              <w:tc>
                <w:tcPr>
                  <w:tcW w:w="538" w:type="pct"/>
                  <w:noWrap w:val="0"/>
                  <w:vAlign w:val="center"/>
                </w:tcPr>
                <w:p w14:paraId="019F6E10">
                  <w:pPr>
                    <w:widowControl/>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现状</w:t>
                  </w:r>
                </w:p>
                <w:p w14:paraId="4555A583">
                  <w:pPr>
                    <w:widowControl/>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浓度</w:t>
                  </w:r>
                </w:p>
              </w:tc>
              <w:tc>
                <w:tcPr>
                  <w:tcW w:w="663" w:type="pct"/>
                  <w:noWrap w:val="0"/>
                  <w:vAlign w:val="center"/>
                </w:tcPr>
                <w:p w14:paraId="42509AF9">
                  <w:pPr>
                    <w:widowControl/>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最大浓度</w:t>
                  </w:r>
                </w:p>
                <w:p w14:paraId="319D2610">
                  <w:pPr>
                    <w:widowControl/>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占标率</w:t>
                  </w:r>
                </w:p>
              </w:tc>
              <w:tc>
                <w:tcPr>
                  <w:tcW w:w="735" w:type="pct"/>
                  <w:noWrap w:val="0"/>
                  <w:vAlign w:val="center"/>
                </w:tcPr>
                <w:p w14:paraId="009DB406">
                  <w:pPr>
                    <w:widowControl/>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达标</w:t>
                  </w:r>
                </w:p>
                <w:p w14:paraId="123E0C14">
                  <w:pPr>
                    <w:widowControl/>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情况</w:t>
                  </w:r>
                </w:p>
              </w:tc>
            </w:tr>
            <w:tr w14:paraId="4D96E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restart"/>
                  <w:noWrap w:val="0"/>
                  <w:vAlign w:val="center"/>
                </w:tcPr>
                <w:p w14:paraId="56F7DBF8">
                  <w:pPr>
                    <w:widowControl/>
                    <w:jc w:val="cente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西咸</w:t>
                  </w:r>
                </w:p>
                <w:p w14:paraId="2CD80B68">
                  <w:pPr>
                    <w:widowControl/>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新区</w:t>
                  </w:r>
                </w:p>
              </w:tc>
              <w:tc>
                <w:tcPr>
                  <w:tcW w:w="511" w:type="pct"/>
                  <w:noWrap w:val="0"/>
                  <w:vAlign w:val="center"/>
                </w:tcPr>
                <w:p w14:paraId="73F4E502">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PM</w:t>
                  </w:r>
                  <w:r>
                    <w:rPr>
                      <w:rFonts w:hint="default" w:ascii="Times New Roman" w:hAnsi="Times New Roman" w:cs="Times New Roman"/>
                      <w:color w:val="000000" w:themeColor="text1"/>
                      <w:kern w:val="0"/>
                      <w:sz w:val="21"/>
                      <w:szCs w:val="21"/>
                      <w:highlight w:val="none"/>
                      <w:vertAlign w:val="subscript"/>
                      <w14:textFill>
                        <w14:solidFill>
                          <w14:schemeClr w14:val="tx1"/>
                        </w14:solidFill>
                      </w14:textFill>
                    </w:rPr>
                    <w:t>2.5</w:t>
                  </w:r>
                </w:p>
              </w:tc>
              <w:tc>
                <w:tcPr>
                  <w:tcW w:w="1606" w:type="pct"/>
                  <w:noWrap w:val="0"/>
                  <w:vAlign w:val="center"/>
                </w:tcPr>
                <w:p w14:paraId="0947D175">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年平均质量浓度</w:t>
                  </w:r>
                </w:p>
              </w:tc>
              <w:tc>
                <w:tcPr>
                  <w:tcW w:w="529" w:type="pct"/>
                  <w:noWrap w:val="0"/>
                  <w:vAlign w:val="center"/>
                </w:tcPr>
                <w:p w14:paraId="5B2C1A24">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35</w:t>
                  </w:r>
                </w:p>
              </w:tc>
              <w:tc>
                <w:tcPr>
                  <w:tcW w:w="538" w:type="pct"/>
                  <w:noWrap w:val="0"/>
                  <w:vAlign w:val="center"/>
                </w:tcPr>
                <w:p w14:paraId="5BE03749">
                  <w:pPr>
                    <w:widowControl/>
                    <w:jc w:val="cente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4</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w:t>
                  </w:r>
                </w:p>
              </w:tc>
              <w:tc>
                <w:tcPr>
                  <w:tcW w:w="663" w:type="pct"/>
                  <w:noWrap w:val="0"/>
                  <w:vAlign w:val="center"/>
                </w:tcPr>
                <w:p w14:paraId="0BDE42C8">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123</w:t>
                  </w:r>
                  <w:r>
                    <w:rPr>
                      <w:rFonts w:hint="default" w:ascii="Times New Roman" w:hAnsi="Times New Roman" w:cs="Times New Roman"/>
                      <w:color w:val="000000" w:themeColor="text1"/>
                      <w:kern w:val="0"/>
                      <w:sz w:val="21"/>
                      <w:szCs w:val="21"/>
                      <w:highlight w:val="none"/>
                      <w14:textFill>
                        <w14:solidFill>
                          <w14:schemeClr w14:val="tx1"/>
                        </w14:solidFill>
                      </w14:textFill>
                    </w:rPr>
                    <w:t>%</w:t>
                  </w:r>
                </w:p>
              </w:tc>
              <w:tc>
                <w:tcPr>
                  <w:tcW w:w="735" w:type="pct"/>
                  <w:noWrap w:val="0"/>
                  <w:vAlign w:val="center"/>
                </w:tcPr>
                <w:p w14:paraId="3EF00808">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不达标</w:t>
                  </w:r>
                </w:p>
              </w:tc>
            </w:tr>
            <w:tr w14:paraId="44992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44024237">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p>
              </w:tc>
              <w:tc>
                <w:tcPr>
                  <w:tcW w:w="511" w:type="pct"/>
                  <w:noWrap w:val="0"/>
                  <w:vAlign w:val="center"/>
                </w:tcPr>
                <w:p w14:paraId="61721730">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PM</w:t>
                  </w:r>
                  <w:r>
                    <w:rPr>
                      <w:rFonts w:hint="default" w:ascii="Times New Roman" w:hAnsi="Times New Roman" w:cs="Times New Roman"/>
                      <w:color w:val="000000" w:themeColor="text1"/>
                      <w:kern w:val="0"/>
                      <w:sz w:val="21"/>
                      <w:szCs w:val="21"/>
                      <w:highlight w:val="none"/>
                      <w:vertAlign w:val="subscript"/>
                      <w14:textFill>
                        <w14:solidFill>
                          <w14:schemeClr w14:val="tx1"/>
                        </w14:solidFill>
                      </w14:textFill>
                    </w:rPr>
                    <w:t>10</w:t>
                  </w:r>
                </w:p>
              </w:tc>
              <w:tc>
                <w:tcPr>
                  <w:tcW w:w="1606" w:type="pct"/>
                  <w:noWrap w:val="0"/>
                  <w:vAlign w:val="center"/>
                </w:tcPr>
                <w:p w14:paraId="64F4E802">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年平均质量浓度</w:t>
                  </w:r>
                </w:p>
              </w:tc>
              <w:tc>
                <w:tcPr>
                  <w:tcW w:w="529" w:type="pct"/>
                  <w:noWrap w:val="0"/>
                  <w:vAlign w:val="center"/>
                </w:tcPr>
                <w:p w14:paraId="3FF5DD63">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70</w:t>
                  </w:r>
                </w:p>
              </w:tc>
              <w:tc>
                <w:tcPr>
                  <w:tcW w:w="538" w:type="pct"/>
                  <w:noWrap w:val="0"/>
                  <w:vAlign w:val="center"/>
                </w:tcPr>
                <w:p w14:paraId="7B099337">
                  <w:pPr>
                    <w:widowControl/>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74</w:t>
                  </w:r>
                </w:p>
              </w:tc>
              <w:tc>
                <w:tcPr>
                  <w:tcW w:w="663" w:type="pct"/>
                  <w:noWrap w:val="0"/>
                  <w:vAlign w:val="center"/>
                </w:tcPr>
                <w:p w14:paraId="35132B3F">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106</w:t>
                  </w:r>
                  <w:r>
                    <w:rPr>
                      <w:rFonts w:hint="default" w:ascii="Times New Roman" w:hAnsi="Times New Roman" w:cs="Times New Roman"/>
                      <w:color w:val="000000" w:themeColor="text1"/>
                      <w:kern w:val="0"/>
                      <w:sz w:val="21"/>
                      <w:szCs w:val="21"/>
                      <w:highlight w:val="none"/>
                      <w14:textFill>
                        <w14:solidFill>
                          <w14:schemeClr w14:val="tx1"/>
                        </w14:solidFill>
                      </w14:textFill>
                    </w:rPr>
                    <w:t>%</w:t>
                  </w:r>
                </w:p>
              </w:tc>
              <w:tc>
                <w:tcPr>
                  <w:tcW w:w="735" w:type="pct"/>
                  <w:noWrap w:val="0"/>
                  <w:vAlign w:val="center"/>
                </w:tcPr>
                <w:p w14:paraId="203D85DC">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不达标</w:t>
                  </w:r>
                </w:p>
              </w:tc>
            </w:tr>
            <w:tr w14:paraId="3F0FB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2FDF18FB">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p>
              </w:tc>
              <w:tc>
                <w:tcPr>
                  <w:tcW w:w="511" w:type="pct"/>
                  <w:noWrap w:val="0"/>
                  <w:vAlign w:val="center"/>
                </w:tcPr>
                <w:p w14:paraId="3C074FFC">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SO</w:t>
                  </w:r>
                  <w:r>
                    <w:rPr>
                      <w:rFonts w:hint="default" w:ascii="Times New Roman" w:hAnsi="Times New Roman" w:cs="Times New Roman"/>
                      <w:color w:val="000000" w:themeColor="text1"/>
                      <w:kern w:val="0"/>
                      <w:sz w:val="21"/>
                      <w:szCs w:val="21"/>
                      <w:highlight w:val="none"/>
                      <w:vertAlign w:val="subscript"/>
                      <w14:textFill>
                        <w14:solidFill>
                          <w14:schemeClr w14:val="tx1"/>
                        </w14:solidFill>
                      </w14:textFill>
                    </w:rPr>
                    <w:t>2</w:t>
                  </w:r>
                </w:p>
              </w:tc>
              <w:tc>
                <w:tcPr>
                  <w:tcW w:w="1606" w:type="pct"/>
                  <w:noWrap w:val="0"/>
                  <w:vAlign w:val="center"/>
                </w:tcPr>
                <w:p w14:paraId="21978D74">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年平均质量浓度</w:t>
                  </w:r>
                </w:p>
              </w:tc>
              <w:tc>
                <w:tcPr>
                  <w:tcW w:w="529" w:type="pct"/>
                  <w:noWrap w:val="0"/>
                  <w:vAlign w:val="center"/>
                </w:tcPr>
                <w:p w14:paraId="0F0E997E">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60</w:t>
                  </w:r>
                </w:p>
              </w:tc>
              <w:tc>
                <w:tcPr>
                  <w:tcW w:w="538" w:type="pct"/>
                  <w:noWrap w:val="0"/>
                  <w:vAlign w:val="center"/>
                </w:tcPr>
                <w:p w14:paraId="79FCD85C">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5</w:t>
                  </w:r>
                  <w:r>
                    <w:rPr>
                      <w:rFonts w:hint="default" w:ascii="Times New Roman" w:hAnsi="Times New Roman" w:cs="Times New Roman"/>
                      <w:color w:val="000000" w:themeColor="text1"/>
                      <w:kern w:val="0"/>
                      <w:sz w:val="21"/>
                      <w:szCs w:val="21"/>
                      <w:highlight w:val="none"/>
                      <w14:textFill>
                        <w14:solidFill>
                          <w14:schemeClr w14:val="tx1"/>
                        </w14:solidFill>
                      </w14:textFill>
                    </w:rPr>
                    <w:t>.0</w:t>
                  </w:r>
                </w:p>
              </w:tc>
              <w:tc>
                <w:tcPr>
                  <w:tcW w:w="663" w:type="pct"/>
                  <w:noWrap w:val="0"/>
                  <w:vAlign w:val="center"/>
                </w:tcPr>
                <w:p w14:paraId="3932DAE5">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8</w:t>
                  </w:r>
                  <w:r>
                    <w:rPr>
                      <w:rFonts w:hint="default" w:ascii="Times New Roman" w:hAnsi="Times New Roman" w:cs="Times New Roman"/>
                      <w:color w:val="000000" w:themeColor="text1"/>
                      <w:kern w:val="0"/>
                      <w:sz w:val="21"/>
                      <w:szCs w:val="21"/>
                      <w:highlight w:val="none"/>
                      <w14:textFill>
                        <w14:solidFill>
                          <w14:schemeClr w14:val="tx1"/>
                        </w14:solidFill>
                      </w14:textFill>
                    </w:rPr>
                    <w:t>.3%</w:t>
                  </w:r>
                </w:p>
              </w:tc>
              <w:tc>
                <w:tcPr>
                  <w:tcW w:w="735" w:type="pct"/>
                  <w:noWrap w:val="0"/>
                  <w:vAlign w:val="center"/>
                </w:tcPr>
                <w:p w14:paraId="21FDA186">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达标</w:t>
                  </w:r>
                </w:p>
              </w:tc>
            </w:tr>
            <w:tr w14:paraId="08F19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1094CDAE">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p>
              </w:tc>
              <w:tc>
                <w:tcPr>
                  <w:tcW w:w="511" w:type="pct"/>
                  <w:noWrap w:val="0"/>
                  <w:vAlign w:val="center"/>
                </w:tcPr>
                <w:p w14:paraId="7987BDC6">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NO</w:t>
                  </w:r>
                  <w:r>
                    <w:rPr>
                      <w:rFonts w:hint="default" w:ascii="Times New Roman" w:hAnsi="Times New Roman" w:cs="Times New Roman"/>
                      <w:color w:val="000000" w:themeColor="text1"/>
                      <w:kern w:val="0"/>
                      <w:sz w:val="21"/>
                      <w:szCs w:val="21"/>
                      <w:highlight w:val="none"/>
                      <w:vertAlign w:val="subscript"/>
                      <w14:textFill>
                        <w14:solidFill>
                          <w14:schemeClr w14:val="tx1"/>
                        </w14:solidFill>
                      </w14:textFill>
                    </w:rPr>
                    <w:t>2</w:t>
                  </w:r>
                </w:p>
              </w:tc>
              <w:tc>
                <w:tcPr>
                  <w:tcW w:w="1606" w:type="pct"/>
                  <w:noWrap w:val="0"/>
                  <w:vAlign w:val="center"/>
                </w:tcPr>
                <w:p w14:paraId="6E7155E9">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年平均质量浓度</w:t>
                  </w:r>
                </w:p>
              </w:tc>
              <w:tc>
                <w:tcPr>
                  <w:tcW w:w="529" w:type="pct"/>
                  <w:noWrap w:val="0"/>
                  <w:vAlign w:val="center"/>
                </w:tcPr>
                <w:p w14:paraId="3BF33CFD">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40</w:t>
                  </w:r>
                </w:p>
              </w:tc>
              <w:tc>
                <w:tcPr>
                  <w:tcW w:w="538" w:type="pct"/>
                  <w:noWrap w:val="0"/>
                  <w:vAlign w:val="center"/>
                </w:tcPr>
                <w:p w14:paraId="6D6F51D8">
                  <w:pPr>
                    <w:widowControl/>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31</w:t>
                  </w:r>
                </w:p>
              </w:tc>
              <w:tc>
                <w:tcPr>
                  <w:tcW w:w="663" w:type="pct"/>
                  <w:noWrap w:val="0"/>
                  <w:vAlign w:val="center"/>
                </w:tcPr>
                <w:p w14:paraId="1E72602F">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77.5</w:t>
                  </w:r>
                  <w:r>
                    <w:rPr>
                      <w:rFonts w:hint="default" w:ascii="Times New Roman" w:hAnsi="Times New Roman" w:cs="Times New Roman"/>
                      <w:color w:val="000000" w:themeColor="text1"/>
                      <w:kern w:val="0"/>
                      <w:sz w:val="21"/>
                      <w:szCs w:val="21"/>
                      <w:highlight w:val="none"/>
                      <w14:textFill>
                        <w14:solidFill>
                          <w14:schemeClr w14:val="tx1"/>
                        </w14:solidFill>
                      </w14:textFill>
                    </w:rPr>
                    <w:t>%</w:t>
                  </w:r>
                </w:p>
              </w:tc>
              <w:tc>
                <w:tcPr>
                  <w:tcW w:w="735" w:type="pct"/>
                  <w:noWrap w:val="0"/>
                  <w:vAlign w:val="center"/>
                </w:tcPr>
                <w:p w14:paraId="2C1E2388">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达标</w:t>
                  </w:r>
                </w:p>
              </w:tc>
            </w:tr>
            <w:tr w14:paraId="25387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15" w:type="pct"/>
                  <w:vMerge w:val="continue"/>
                  <w:noWrap w:val="0"/>
                  <w:vAlign w:val="center"/>
                </w:tcPr>
                <w:p w14:paraId="09DB9B4B">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p>
              </w:tc>
              <w:tc>
                <w:tcPr>
                  <w:tcW w:w="511" w:type="pct"/>
                  <w:noWrap w:val="0"/>
                  <w:vAlign w:val="center"/>
                </w:tcPr>
                <w:p w14:paraId="435AD73D">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CO</w:t>
                  </w:r>
                </w:p>
              </w:tc>
              <w:tc>
                <w:tcPr>
                  <w:tcW w:w="2685" w:type="dxa"/>
                  <w:noWrap w:val="0"/>
                  <w:vAlign w:val="center"/>
                </w:tcPr>
                <w:p w14:paraId="13ED9851">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24小时平均浓度</w:t>
                  </w:r>
                </w:p>
                <w:p w14:paraId="338F9C7F">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第</w:t>
                  </w: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95位百分浓度）</w:t>
                  </w:r>
                </w:p>
              </w:tc>
              <w:tc>
                <w:tcPr>
                  <w:tcW w:w="529" w:type="pct"/>
                  <w:noWrap w:val="0"/>
                  <w:vAlign w:val="center"/>
                </w:tcPr>
                <w:p w14:paraId="3178A654">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4000</w:t>
                  </w:r>
                </w:p>
              </w:tc>
              <w:tc>
                <w:tcPr>
                  <w:tcW w:w="538" w:type="pct"/>
                  <w:noWrap w:val="0"/>
                  <w:vAlign w:val="center"/>
                </w:tcPr>
                <w:p w14:paraId="69F18C01">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1</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w:t>
                  </w:r>
                  <w:r>
                    <w:rPr>
                      <w:rFonts w:hint="default" w:ascii="Times New Roman" w:hAnsi="Times New Roman" w:cs="Times New Roman"/>
                      <w:color w:val="000000" w:themeColor="text1"/>
                      <w:kern w:val="0"/>
                      <w:sz w:val="21"/>
                      <w:szCs w:val="21"/>
                      <w:highlight w:val="none"/>
                      <w14:textFill>
                        <w14:solidFill>
                          <w14:schemeClr w14:val="tx1"/>
                        </w14:solidFill>
                      </w14:textFill>
                    </w:rPr>
                    <w:t>00</w:t>
                  </w:r>
                </w:p>
              </w:tc>
              <w:tc>
                <w:tcPr>
                  <w:tcW w:w="663" w:type="pct"/>
                  <w:noWrap w:val="0"/>
                  <w:vAlign w:val="center"/>
                </w:tcPr>
                <w:p w14:paraId="06699F03">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27.5</w:t>
                  </w:r>
                  <w:r>
                    <w:rPr>
                      <w:rFonts w:hint="default" w:ascii="Times New Roman" w:hAnsi="Times New Roman" w:cs="Times New Roman"/>
                      <w:color w:val="000000" w:themeColor="text1"/>
                      <w:kern w:val="0"/>
                      <w:sz w:val="21"/>
                      <w:szCs w:val="21"/>
                      <w:highlight w:val="none"/>
                      <w14:textFill>
                        <w14:solidFill>
                          <w14:schemeClr w14:val="tx1"/>
                        </w14:solidFill>
                      </w14:textFill>
                    </w:rPr>
                    <w:t>%</w:t>
                  </w:r>
                </w:p>
              </w:tc>
              <w:tc>
                <w:tcPr>
                  <w:tcW w:w="735" w:type="pct"/>
                  <w:noWrap w:val="0"/>
                  <w:vAlign w:val="center"/>
                </w:tcPr>
                <w:p w14:paraId="221428CD">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达标</w:t>
                  </w:r>
                </w:p>
              </w:tc>
            </w:tr>
            <w:tr w14:paraId="6C238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15" w:type="pct"/>
                  <w:vMerge w:val="continue"/>
                  <w:noWrap w:val="0"/>
                  <w:vAlign w:val="center"/>
                </w:tcPr>
                <w:p w14:paraId="5389EFAB">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p>
              </w:tc>
              <w:tc>
                <w:tcPr>
                  <w:tcW w:w="511" w:type="pct"/>
                  <w:noWrap w:val="0"/>
                  <w:vAlign w:val="center"/>
                </w:tcPr>
                <w:p w14:paraId="5565BF2C">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O</w:t>
                  </w:r>
                  <w:r>
                    <w:rPr>
                      <w:rFonts w:hint="default" w:ascii="Times New Roman" w:hAnsi="Times New Roman" w:cs="Times New Roman"/>
                      <w:color w:val="000000" w:themeColor="text1"/>
                      <w:kern w:val="0"/>
                      <w:sz w:val="21"/>
                      <w:szCs w:val="21"/>
                      <w:highlight w:val="none"/>
                      <w:vertAlign w:val="subscript"/>
                      <w14:textFill>
                        <w14:solidFill>
                          <w14:schemeClr w14:val="tx1"/>
                        </w14:solidFill>
                      </w14:textFill>
                    </w:rPr>
                    <w:t>3</w:t>
                  </w:r>
                </w:p>
              </w:tc>
              <w:tc>
                <w:tcPr>
                  <w:tcW w:w="2685" w:type="dxa"/>
                  <w:noWrap w:val="0"/>
                  <w:vAlign w:val="center"/>
                </w:tcPr>
                <w:p w14:paraId="67545D27">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8小时平均浓度</w:t>
                  </w:r>
                </w:p>
                <w:p w14:paraId="000A00F1">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w:t>
                  </w:r>
                  <w:r>
                    <w:rPr>
                      <w:rFonts w:hint="eastAsia"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第90</w:t>
                  </w: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位百分浓度）</w:t>
                  </w:r>
                </w:p>
              </w:tc>
              <w:tc>
                <w:tcPr>
                  <w:tcW w:w="529" w:type="pct"/>
                  <w:noWrap w:val="0"/>
                  <w:vAlign w:val="center"/>
                </w:tcPr>
                <w:p w14:paraId="664F4EB6">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160</w:t>
                  </w:r>
                </w:p>
              </w:tc>
              <w:tc>
                <w:tcPr>
                  <w:tcW w:w="538" w:type="pct"/>
                  <w:noWrap w:val="0"/>
                  <w:vAlign w:val="center"/>
                </w:tcPr>
                <w:p w14:paraId="34D6B9D8">
                  <w:pPr>
                    <w:widowControl/>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1</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68</w:t>
                  </w:r>
                </w:p>
              </w:tc>
              <w:tc>
                <w:tcPr>
                  <w:tcW w:w="663" w:type="pct"/>
                  <w:noWrap w:val="0"/>
                  <w:vAlign w:val="center"/>
                </w:tcPr>
                <w:p w14:paraId="3FEF9200">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105</w:t>
                  </w:r>
                  <w:r>
                    <w:rPr>
                      <w:rFonts w:hint="default" w:ascii="Times New Roman" w:hAnsi="Times New Roman" w:cs="Times New Roman"/>
                      <w:color w:val="000000" w:themeColor="text1"/>
                      <w:kern w:val="0"/>
                      <w:sz w:val="21"/>
                      <w:szCs w:val="21"/>
                      <w:highlight w:val="none"/>
                      <w14:textFill>
                        <w14:solidFill>
                          <w14:schemeClr w14:val="tx1"/>
                        </w14:solidFill>
                      </w14:textFill>
                    </w:rPr>
                    <w:t>%</w:t>
                  </w:r>
                </w:p>
              </w:tc>
              <w:tc>
                <w:tcPr>
                  <w:tcW w:w="735" w:type="pct"/>
                  <w:noWrap w:val="0"/>
                  <w:vAlign w:val="center"/>
                </w:tcPr>
                <w:p w14:paraId="4C9B589A">
                  <w:pPr>
                    <w:widowControl/>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不达标</w:t>
                  </w:r>
                </w:p>
              </w:tc>
            </w:tr>
          </w:tbl>
          <w:p w14:paraId="397DBCB8">
            <w:pPr>
              <w:spacing w:line="360" w:lineRule="auto"/>
              <w:ind w:firstLine="480" w:firstLineChars="200"/>
              <w:contextualSpacing/>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lang w:val="en-US" w:eastAsia="zh-CN"/>
                <w14:textFill>
                  <w14:solidFill>
                    <w14:schemeClr w14:val="tx1"/>
                  </w14:solidFill>
                </w14:textFill>
              </w:rPr>
              <w:t>由上表可知，</w:t>
            </w:r>
            <w:r>
              <w:rPr>
                <w:rFonts w:hint="default" w:ascii="Times New Roman" w:hAnsi="Times New Roman" w:cs="Times New Roman"/>
                <w:color w:val="000000" w:themeColor="text1"/>
                <w:kern w:val="0"/>
                <w:sz w:val="24"/>
                <w:szCs w:val="20"/>
                <w:highlight w:val="none"/>
                <w14:textFill>
                  <w14:solidFill>
                    <w14:schemeClr w14:val="tx1"/>
                  </w14:solidFill>
                </w14:textFill>
              </w:rPr>
              <w:t>环境空气</w:t>
            </w:r>
            <w:r>
              <w:rPr>
                <w:rFonts w:hint="default" w:ascii="Times New Roman" w:hAnsi="Times New Roman" w:cs="Times New Roman"/>
                <w:color w:val="000000" w:themeColor="text1"/>
                <w:kern w:val="0"/>
                <w:sz w:val="24"/>
                <w:szCs w:val="24"/>
                <w:highlight w:val="none"/>
                <w14:textFill>
                  <w14:solidFill>
                    <w14:schemeClr w14:val="tx1"/>
                  </w14:solidFill>
                </w14:textFill>
              </w:rPr>
              <w:t>常规六项指标中，SO</w:t>
            </w:r>
            <w:r>
              <w:rPr>
                <w:rFonts w:hint="default" w:ascii="Times New Roman" w:hAnsi="Times New Roman" w:cs="Times New Roman"/>
                <w:color w:val="000000" w:themeColor="text1"/>
                <w:kern w:val="0"/>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kern w:val="0"/>
                <w:sz w:val="24"/>
                <w:szCs w:val="24"/>
                <w:highlight w:val="none"/>
                <w14:textFill>
                  <w14:solidFill>
                    <w14:schemeClr w14:val="tx1"/>
                  </w14:solidFill>
                </w14:textFill>
              </w:rPr>
              <w:t>年平均质量浓度、CO</w:t>
            </w:r>
            <w:r>
              <w:rPr>
                <w:rFonts w:hint="eastAsia" w:ascii="Times New Roman" w:hAnsi="Times New Roman" w:cs="Times New Roman"/>
                <w:b w:val="0"/>
                <w:bCs w:val="0"/>
                <w:color w:val="000000" w:themeColor="text1"/>
                <w:sz w:val="24"/>
                <w:szCs w:val="24"/>
                <w:highlight w:val="none"/>
                <w:vertAlign w:val="baseline"/>
                <w:lang w:val="en-US" w:eastAsia="zh-CN"/>
                <w14:textFill>
                  <w14:solidFill>
                    <w14:schemeClr w14:val="tx1"/>
                  </w14:solidFill>
                </w14:textFill>
              </w:rPr>
              <w:t>第95</w:t>
            </w:r>
            <w:r>
              <w:rPr>
                <w:rFonts w:hint="default" w:ascii="Times New Roman" w:hAnsi="Times New Roman" w:cs="Times New Roman"/>
                <w:b w:val="0"/>
                <w:bCs w:val="0"/>
                <w:color w:val="000000" w:themeColor="text1"/>
                <w:sz w:val="24"/>
                <w:szCs w:val="24"/>
                <w:highlight w:val="none"/>
                <w:vertAlign w:val="baseline"/>
                <w:lang w:val="en-US" w:eastAsia="zh-CN"/>
                <w14:textFill>
                  <w14:solidFill>
                    <w14:schemeClr w14:val="tx1"/>
                  </w14:solidFill>
                </w14:textFill>
              </w:rPr>
              <w:t>位百分浓度</w:t>
            </w:r>
            <w:r>
              <w:rPr>
                <w:rFonts w:hint="default" w:ascii="Times New Roman" w:hAnsi="Times New Roman" w:cs="Times New Roman"/>
                <w:color w:val="000000" w:themeColor="text1"/>
                <w:kern w:val="0"/>
                <w:sz w:val="24"/>
                <w:szCs w:val="24"/>
                <w:highlight w:val="none"/>
                <w14:textFill>
                  <w14:solidFill>
                    <w14:schemeClr w14:val="tx1"/>
                  </w14:solidFill>
                </w14:textFill>
              </w:rPr>
              <w:t>24小时平均浓度、NO</w:t>
            </w:r>
            <w:r>
              <w:rPr>
                <w:rFonts w:hint="default" w:ascii="Times New Roman" w:hAnsi="Times New Roman" w:cs="Times New Roman"/>
                <w:color w:val="000000" w:themeColor="text1"/>
                <w:kern w:val="0"/>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kern w:val="0"/>
                <w:sz w:val="24"/>
                <w:szCs w:val="24"/>
                <w:highlight w:val="none"/>
                <w14:textFill>
                  <w14:solidFill>
                    <w14:schemeClr w14:val="tx1"/>
                  </w14:solidFill>
                </w14:textFill>
              </w:rPr>
              <w:t>年平均质量浓度达到《环境空气质量标准》（GB3095-2012）二级标准要求，PM</w:t>
            </w:r>
            <w:r>
              <w:rPr>
                <w:rFonts w:hint="default" w:ascii="Times New Roman" w:hAnsi="Times New Roman" w:cs="Times New Roman"/>
                <w:color w:val="000000" w:themeColor="text1"/>
                <w:kern w:val="0"/>
                <w:sz w:val="24"/>
                <w:szCs w:val="24"/>
                <w:highlight w:val="none"/>
                <w:vertAlign w:val="subscript"/>
                <w14:textFill>
                  <w14:solidFill>
                    <w14:schemeClr w14:val="tx1"/>
                  </w14:solidFill>
                </w14:textFill>
              </w:rPr>
              <w:t>2.5</w:t>
            </w:r>
            <w:r>
              <w:rPr>
                <w:rFonts w:hint="default" w:ascii="Times New Roman" w:hAnsi="Times New Roman" w:cs="Times New Roman"/>
                <w:color w:val="000000" w:themeColor="text1"/>
                <w:kern w:val="0"/>
                <w:sz w:val="24"/>
                <w:szCs w:val="24"/>
                <w:highlight w:val="none"/>
                <w14:textFill>
                  <w14:solidFill>
                    <w14:schemeClr w14:val="tx1"/>
                  </w14:solidFill>
                </w14:textFill>
              </w:rPr>
              <w:t>年平均质量浓度、PM</w:t>
            </w:r>
            <w:r>
              <w:rPr>
                <w:rFonts w:hint="default" w:ascii="Times New Roman" w:hAnsi="Times New Roman" w:cs="Times New Roman"/>
                <w:color w:val="000000" w:themeColor="text1"/>
                <w:kern w:val="0"/>
                <w:sz w:val="24"/>
                <w:szCs w:val="24"/>
                <w:highlight w:val="none"/>
                <w:vertAlign w:val="subscript"/>
                <w14:textFill>
                  <w14:solidFill>
                    <w14:schemeClr w14:val="tx1"/>
                  </w14:solidFill>
                </w14:textFill>
              </w:rPr>
              <w:t>10</w:t>
            </w:r>
            <w:r>
              <w:rPr>
                <w:rFonts w:hint="default" w:ascii="Times New Roman" w:hAnsi="Times New Roman" w:cs="Times New Roman"/>
                <w:color w:val="000000" w:themeColor="text1"/>
                <w:kern w:val="0"/>
                <w:sz w:val="24"/>
                <w:szCs w:val="24"/>
                <w:highlight w:val="none"/>
                <w14:textFill>
                  <w14:solidFill>
                    <w14:schemeClr w14:val="tx1"/>
                  </w14:solidFill>
                </w14:textFill>
              </w:rPr>
              <w:t>年平均质量浓度、O</w:t>
            </w:r>
            <w:r>
              <w:rPr>
                <w:rFonts w:hint="default" w:ascii="Times New Roman" w:hAnsi="Times New Roman" w:cs="Times New Roman"/>
                <w:color w:val="000000" w:themeColor="text1"/>
                <w:kern w:val="0"/>
                <w:sz w:val="24"/>
                <w:szCs w:val="24"/>
                <w:highlight w:val="none"/>
                <w:vertAlign w:val="subscript"/>
                <w14:textFill>
                  <w14:solidFill>
                    <w14:schemeClr w14:val="tx1"/>
                  </w14:solidFill>
                </w14:textFill>
              </w:rPr>
              <w:t>3</w:t>
            </w:r>
            <w:r>
              <w:rPr>
                <w:rFonts w:hint="eastAsia" w:ascii="Times New Roman" w:hAnsi="Times New Roman" w:cs="Times New Roman"/>
                <w:b w:val="0"/>
                <w:bCs w:val="0"/>
                <w:color w:val="000000" w:themeColor="text1"/>
                <w:sz w:val="24"/>
                <w:szCs w:val="24"/>
                <w:highlight w:val="none"/>
                <w:vertAlign w:val="baseline"/>
                <w:lang w:val="en-US" w:eastAsia="zh-CN"/>
                <w14:textFill>
                  <w14:solidFill>
                    <w14:schemeClr w14:val="tx1"/>
                  </w14:solidFill>
                </w14:textFill>
              </w:rPr>
              <w:t>第90</w:t>
            </w:r>
            <w:r>
              <w:rPr>
                <w:rFonts w:hint="default" w:ascii="Times New Roman" w:hAnsi="Times New Roman" w:cs="Times New Roman"/>
                <w:b w:val="0"/>
                <w:bCs w:val="0"/>
                <w:color w:val="000000" w:themeColor="text1"/>
                <w:sz w:val="24"/>
                <w:szCs w:val="24"/>
                <w:highlight w:val="none"/>
                <w:vertAlign w:val="baseline"/>
                <w:lang w:val="en-US" w:eastAsia="zh-CN"/>
                <w14:textFill>
                  <w14:solidFill>
                    <w14:schemeClr w14:val="tx1"/>
                  </w14:solidFill>
                </w14:textFill>
              </w:rPr>
              <w:t>位百分浓度</w:t>
            </w:r>
            <w:r>
              <w:rPr>
                <w:rFonts w:hint="default" w:ascii="Times New Roman" w:hAnsi="Times New Roman" w:cs="Times New Roman"/>
                <w:color w:val="000000" w:themeColor="text1"/>
                <w:kern w:val="0"/>
                <w:sz w:val="24"/>
                <w:szCs w:val="24"/>
                <w:highlight w:val="none"/>
                <w14:textFill>
                  <w14:solidFill>
                    <w14:schemeClr w14:val="tx1"/>
                  </w14:solidFill>
                </w14:textFill>
              </w:rPr>
              <w:t>8小时平均浓度超过《环</w:t>
            </w:r>
            <w:r>
              <w:rPr>
                <w:rFonts w:hint="default" w:ascii="Times New Roman" w:hAnsi="Times New Roman" w:cs="Times New Roman"/>
                <w:color w:val="000000" w:themeColor="text1"/>
                <w:kern w:val="0"/>
                <w:sz w:val="24"/>
                <w:szCs w:val="20"/>
                <w:highlight w:val="none"/>
                <w14:textFill>
                  <w14:solidFill>
                    <w14:schemeClr w14:val="tx1"/>
                  </w14:solidFill>
                </w14:textFill>
              </w:rPr>
              <w:t>境空气质量标准》（GB3095-2012）二级标准要求。</w:t>
            </w:r>
          </w:p>
          <w:p w14:paraId="17EA15F0">
            <w:pPr>
              <w:spacing w:line="360" w:lineRule="auto"/>
              <w:ind w:firstLine="480" w:firstLineChars="200"/>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根据《环境影响评价技术导则-大气环境》（HJ2.2</w:t>
            </w:r>
            <w:r>
              <w:rPr>
                <w:rFonts w:hint="eastAsia" w:ascii="Times New Roman" w:hAnsi="Times New Roman" w:cs="Times New Roman"/>
                <w:color w:val="000000" w:themeColor="text1"/>
                <w:kern w:val="0"/>
                <w:sz w:val="24"/>
                <w:szCs w:val="20"/>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0"/>
                <w:highlight w:val="none"/>
                <w14:textFill>
                  <w14:solidFill>
                    <w14:schemeClr w14:val="tx1"/>
                  </w14:solidFill>
                </w14:textFill>
              </w:rPr>
              <w:t>2018），城市环境空气质量达标情况评价指标为SO</w:t>
            </w:r>
            <w:r>
              <w:rPr>
                <w:rFonts w:hint="default" w:ascii="Times New Roman" w:hAnsi="Times New Roman" w:cs="Times New Roman"/>
                <w:color w:val="000000" w:themeColor="text1"/>
                <w:kern w:val="0"/>
                <w:sz w:val="24"/>
                <w:szCs w:val="20"/>
                <w:highlight w:val="none"/>
                <w:vertAlign w:val="subscript"/>
                <w14:textFill>
                  <w14:solidFill>
                    <w14:schemeClr w14:val="tx1"/>
                  </w14:solidFill>
                </w14:textFill>
              </w:rPr>
              <w:t>2</w:t>
            </w:r>
            <w:r>
              <w:rPr>
                <w:rFonts w:hint="default" w:ascii="Times New Roman" w:hAnsi="Times New Roman" w:cs="Times New Roman"/>
                <w:color w:val="000000" w:themeColor="text1"/>
                <w:kern w:val="0"/>
                <w:sz w:val="24"/>
                <w:szCs w:val="20"/>
                <w:highlight w:val="none"/>
                <w14:textFill>
                  <w14:solidFill>
                    <w14:schemeClr w14:val="tx1"/>
                  </w14:solidFill>
                </w14:textFill>
              </w:rPr>
              <w:t>、NO</w:t>
            </w:r>
            <w:r>
              <w:rPr>
                <w:rFonts w:hint="default" w:ascii="Times New Roman" w:hAnsi="Times New Roman" w:cs="Times New Roman"/>
                <w:color w:val="000000" w:themeColor="text1"/>
                <w:kern w:val="0"/>
                <w:sz w:val="24"/>
                <w:szCs w:val="20"/>
                <w:highlight w:val="none"/>
                <w:vertAlign w:val="subscript"/>
                <w14:textFill>
                  <w14:solidFill>
                    <w14:schemeClr w14:val="tx1"/>
                  </w14:solidFill>
                </w14:textFill>
              </w:rPr>
              <w:t>2</w:t>
            </w:r>
            <w:r>
              <w:rPr>
                <w:rFonts w:hint="default" w:ascii="Times New Roman" w:hAnsi="Times New Roman" w:cs="Times New Roman"/>
                <w:color w:val="000000" w:themeColor="text1"/>
                <w:kern w:val="0"/>
                <w:sz w:val="24"/>
                <w:szCs w:val="20"/>
                <w:highlight w:val="none"/>
                <w14:textFill>
                  <w14:solidFill>
                    <w14:schemeClr w14:val="tx1"/>
                  </w14:solidFill>
                </w14:textFill>
              </w:rPr>
              <w:t>、PM</w:t>
            </w:r>
            <w:r>
              <w:rPr>
                <w:rFonts w:hint="default" w:ascii="Times New Roman" w:hAnsi="Times New Roman" w:cs="Times New Roman"/>
                <w:color w:val="000000" w:themeColor="text1"/>
                <w:kern w:val="0"/>
                <w:sz w:val="24"/>
                <w:szCs w:val="20"/>
                <w:highlight w:val="none"/>
                <w:vertAlign w:val="subscript"/>
                <w14:textFill>
                  <w14:solidFill>
                    <w14:schemeClr w14:val="tx1"/>
                  </w14:solidFill>
                </w14:textFill>
              </w:rPr>
              <w:t>10</w:t>
            </w:r>
            <w:r>
              <w:rPr>
                <w:rFonts w:hint="default" w:ascii="Times New Roman" w:hAnsi="Times New Roman" w:cs="Times New Roman"/>
                <w:color w:val="000000" w:themeColor="text1"/>
                <w:kern w:val="0"/>
                <w:sz w:val="24"/>
                <w:szCs w:val="20"/>
                <w:highlight w:val="none"/>
                <w14:textFill>
                  <w14:solidFill>
                    <w14:schemeClr w14:val="tx1"/>
                  </w14:solidFill>
                </w14:textFill>
              </w:rPr>
              <w:t>、PM</w:t>
            </w:r>
            <w:r>
              <w:rPr>
                <w:rFonts w:hint="default" w:ascii="Times New Roman" w:hAnsi="Times New Roman" w:cs="Times New Roman"/>
                <w:color w:val="000000" w:themeColor="text1"/>
                <w:kern w:val="0"/>
                <w:sz w:val="24"/>
                <w:szCs w:val="20"/>
                <w:highlight w:val="none"/>
                <w:vertAlign w:val="subscript"/>
                <w14:textFill>
                  <w14:solidFill>
                    <w14:schemeClr w14:val="tx1"/>
                  </w14:solidFill>
                </w14:textFill>
              </w:rPr>
              <w:t>2.5</w:t>
            </w:r>
            <w:r>
              <w:rPr>
                <w:rFonts w:hint="default" w:ascii="Times New Roman" w:hAnsi="Times New Roman" w:cs="Times New Roman"/>
                <w:color w:val="000000" w:themeColor="text1"/>
                <w:kern w:val="0"/>
                <w:sz w:val="24"/>
                <w:szCs w:val="20"/>
                <w:highlight w:val="none"/>
                <w14:textFill>
                  <w14:solidFill>
                    <w14:schemeClr w14:val="tx1"/>
                  </w14:solidFill>
                </w14:textFill>
              </w:rPr>
              <w:t>、CO、O</w:t>
            </w:r>
            <w:r>
              <w:rPr>
                <w:rFonts w:hint="default" w:ascii="Times New Roman" w:hAnsi="Times New Roman" w:cs="Times New Roman"/>
                <w:color w:val="000000" w:themeColor="text1"/>
                <w:kern w:val="0"/>
                <w:sz w:val="24"/>
                <w:szCs w:val="20"/>
                <w:highlight w:val="none"/>
                <w:vertAlign w:val="subscript"/>
                <w14:textFill>
                  <w14:solidFill>
                    <w14:schemeClr w14:val="tx1"/>
                  </w14:solidFill>
                </w14:textFill>
              </w:rPr>
              <w:t>3</w:t>
            </w:r>
            <w:r>
              <w:rPr>
                <w:rFonts w:hint="default" w:ascii="Times New Roman" w:hAnsi="Times New Roman" w:cs="Times New Roman"/>
                <w:color w:val="000000" w:themeColor="text1"/>
                <w:kern w:val="0"/>
                <w:sz w:val="24"/>
                <w:szCs w:val="20"/>
                <w:highlight w:val="none"/>
                <w14:textFill>
                  <w14:solidFill>
                    <w14:schemeClr w14:val="tx1"/>
                  </w14:solidFill>
                </w14:textFill>
              </w:rPr>
              <w:t>，六项污染物年评价指标全部达标即为</w:t>
            </w:r>
            <w:r>
              <w:rPr>
                <w:rFonts w:hint="default" w:ascii="Times New Roman" w:hAnsi="Times New Roman" w:cs="Times New Roman"/>
                <w:color w:val="000000" w:themeColor="text1"/>
                <w:sz w:val="24"/>
                <w:highlight w:val="none"/>
                <w14:textFill>
                  <w14:solidFill>
                    <w14:schemeClr w14:val="tx1"/>
                  </w14:solidFill>
                </w14:textFill>
              </w:rPr>
              <w:t>城市环境空气质量达标。因此，本项目所在区域属于不达标区域。</w:t>
            </w:r>
          </w:p>
          <w:p w14:paraId="10E81AC5">
            <w:pPr>
              <w:numPr>
                <w:ilvl w:val="0"/>
                <w:numId w:val="0"/>
              </w:numPr>
              <w:spacing w:line="360" w:lineRule="auto"/>
              <w:ind w:left="0" w:leftChars="0" w:firstLine="0" w:firstLineChars="0"/>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特征污染物</w:t>
            </w:r>
          </w:p>
          <w:p w14:paraId="6DF99DB3">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i w:val="0"/>
                <w:iCs w:val="0"/>
                <w:caps w:val="0"/>
                <w:color w:val="000000" w:themeColor="text1"/>
                <w:spacing w:val="0"/>
                <w:sz w:val="24"/>
                <w:szCs w:val="24"/>
                <w:highlight w:val="none"/>
                <w:shd w:val="clear" w:color="auto" w:fill="FFFFFF"/>
                <w:lang w:val="en-US" w:eastAsia="zh-CN"/>
                <w14:textFill>
                  <w14:solidFill>
                    <w14:schemeClr w14:val="tx1"/>
                  </w14:solidFill>
                </w14:textFill>
              </w:rPr>
              <w:t>本项目排放大气特征污染物TSP，引用</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202</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6</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月</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陕西泽希检测服务有限公司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出具的《</w:t>
            </w:r>
            <w:r>
              <w:rPr>
                <w:rFonts w:hint="default" w:ascii="Times New Roman" w:hAnsi="Times New Roman" w:eastAsia="宋体" w:cs="Times New Roman"/>
                <w:b w:val="0"/>
                <w:bCs w:val="0"/>
                <w:color w:val="000000" w:themeColor="text1"/>
                <w:sz w:val="24"/>
                <w:szCs w:val="24"/>
                <w:highlight w:val="none"/>
                <w:lang w:val="en-US" w:eastAsia="zh-CN" w:bidi="ar-SA"/>
                <w14:textFill>
                  <w14:solidFill>
                    <w14:schemeClr w14:val="tx1"/>
                  </w14:solidFill>
                </w14:textFill>
              </w:rPr>
              <w:t>锂电池新型硅碳负极材料研发应用</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环境现状监测》</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引用</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监测报告详见附件</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。本次环境空气监测引用点</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为陕西江帆圭智新材料有限公司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，位于本项目</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东南</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580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m，监测时间202</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年</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16</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日</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月</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18</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日</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符合《建设项目环境影响报告表编制技术指南（污染影响类）（试行）》中</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周边5千米范围内近3年</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的要求。</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引用</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监测点位图见附图4。监测结果见下</w:t>
            </w:r>
            <w:r>
              <w:rPr>
                <w:rFonts w:hint="default" w:ascii="Times New Roman" w:hAnsi="Times New Roman" w:eastAsia="宋体" w:cs="Times New Roman"/>
                <w:color w:val="000000" w:themeColor="text1"/>
                <w:sz w:val="24"/>
                <w:szCs w:val="24"/>
                <w:highlight w:val="none"/>
                <w14:textFill>
                  <w14:solidFill>
                    <w14:schemeClr w14:val="tx1"/>
                  </w14:solidFill>
                </w14:textFill>
              </w:rPr>
              <w:t>表</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18DA04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表3-2</w:t>
            </w: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eastAsia="宋体" w:cs="Times New Roman"/>
                <w:b/>
                <w:color w:val="000000" w:themeColor="text1"/>
                <w:sz w:val="21"/>
                <w:szCs w:val="21"/>
                <w:highlight w:val="none"/>
                <w14:textFill>
                  <w14:solidFill>
                    <w14:schemeClr w14:val="tx1"/>
                  </w14:solidFill>
                </w14:textFill>
              </w:rPr>
              <w:t>其他污染物监测点位基本信息</w:t>
            </w:r>
          </w:p>
          <w:tbl>
            <w:tblPr>
              <w:tblStyle w:val="25"/>
              <w:tblW w:w="8338" w:type="dxa"/>
              <w:tblInd w:w="-2"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972"/>
              <w:gridCol w:w="2621"/>
              <w:gridCol w:w="1740"/>
              <w:gridCol w:w="1715"/>
            </w:tblGrid>
            <w:tr w14:paraId="5F3DAF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773" w:type="pct"/>
                  <w:tcBorders>
                    <w:left w:val="single" w:color="auto" w:sz="0" w:space="0"/>
                    <w:tl2br w:val="nil"/>
                    <w:tr2bl w:val="nil"/>
                  </w:tcBorders>
                  <w:noWrap w:val="0"/>
                  <w:vAlign w:val="center"/>
                </w:tcPr>
                <w:p w14:paraId="79EB2620">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监测点</w:t>
                  </w:r>
                </w:p>
                <w:p w14:paraId="78792437">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名称</w:t>
                  </w:r>
                </w:p>
              </w:tc>
              <w:tc>
                <w:tcPr>
                  <w:tcW w:w="582" w:type="pct"/>
                  <w:tcBorders>
                    <w:tl2br w:val="nil"/>
                    <w:tr2bl w:val="nil"/>
                  </w:tcBorders>
                  <w:noWrap w:val="0"/>
                  <w:vAlign w:val="center"/>
                </w:tcPr>
                <w:p w14:paraId="12174633">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监测</w:t>
                  </w:r>
                </w:p>
                <w:p w14:paraId="0275EFC6">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因子</w:t>
                  </w:r>
                </w:p>
              </w:tc>
              <w:tc>
                <w:tcPr>
                  <w:tcW w:w="1571" w:type="pct"/>
                  <w:tcBorders>
                    <w:tl2br w:val="nil"/>
                    <w:tr2bl w:val="nil"/>
                  </w:tcBorders>
                  <w:noWrap w:val="0"/>
                  <w:vAlign w:val="center"/>
                </w:tcPr>
                <w:p w14:paraId="567E5B72">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监测时段</w:t>
                  </w:r>
                </w:p>
              </w:tc>
              <w:tc>
                <w:tcPr>
                  <w:tcW w:w="1043" w:type="pct"/>
                  <w:tcBorders>
                    <w:tl2br w:val="nil"/>
                    <w:tr2bl w:val="nil"/>
                  </w:tcBorders>
                  <w:noWrap w:val="0"/>
                  <w:vAlign w:val="center"/>
                </w:tcPr>
                <w:p w14:paraId="2AEE8A80">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相对本项目方位</w:t>
                  </w:r>
                </w:p>
              </w:tc>
              <w:tc>
                <w:tcPr>
                  <w:tcW w:w="1028" w:type="pct"/>
                  <w:tcBorders>
                    <w:right w:val="single" w:color="auto" w:sz="4" w:space="0"/>
                    <w:tl2br w:val="nil"/>
                    <w:tr2bl w:val="nil"/>
                  </w:tcBorders>
                  <w:noWrap w:val="0"/>
                  <w:vAlign w:val="center"/>
                </w:tcPr>
                <w:p w14:paraId="52E4C4E9">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相对本项目距离</w:t>
                  </w:r>
                </w:p>
              </w:tc>
            </w:tr>
            <w:tr w14:paraId="200927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73" w:type="pct"/>
                  <w:tcBorders>
                    <w:left w:val="single" w:color="auto" w:sz="4" w:space="0"/>
                    <w:tl2br w:val="nil"/>
                    <w:tr2bl w:val="nil"/>
                  </w:tcBorders>
                  <w:noWrap w:val="0"/>
                  <w:vAlign w:val="center"/>
                </w:tcPr>
                <w:p w14:paraId="6D60AC91">
                  <w:pPr>
                    <w:autoSpaceDE w:val="0"/>
                    <w:autoSpaceDN w:val="0"/>
                    <w:adjustRightInd w:val="0"/>
                    <w:spacing w:line="240" w:lineRule="auto"/>
                    <w:ind w:firstLine="0" w:firstLineChars="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陕西江帆</w:t>
                  </w:r>
                </w:p>
                <w:p w14:paraId="53237946">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圭智新材料有限公司</w:t>
                  </w:r>
                </w:p>
              </w:tc>
              <w:tc>
                <w:tcPr>
                  <w:tcW w:w="582" w:type="pct"/>
                  <w:tcBorders>
                    <w:tl2br w:val="nil"/>
                    <w:tr2bl w:val="nil"/>
                  </w:tcBorders>
                  <w:noWrap w:val="0"/>
                  <w:vAlign w:val="center"/>
                </w:tcPr>
                <w:p w14:paraId="15CCF793">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TSP</w:t>
                  </w:r>
                </w:p>
              </w:tc>
              <w:tc>
                <w:tcPr>
                  <w:tcW w:w="1571" w:type="pct"/>
                  <w:tcBorders>
                    <w:tl2br w:val="nil"/>
                    <w:tr2bl w:val="nil"/>
                  </w:tcBorders>
                  <w:noWrap w:val="0"/>
                  <w:vAlign w:val="center"/>
                </w:tcPr>
                <w:p w14:paraId="5232D377">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202</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年</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月</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16</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日</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月</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18</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日</w:t>
                  </w:r>
                </w:p>
              </w:tc>
              <w:tc>
                <w:tcPr>
                  <w:tcW w:w="1043" w:type="pct"/>
                  <w:tcBorders>
                    <w:tl2br w:val="nil"/>
                    <w:tr2bl w:val="nil"/>
                  </w:tcBorders>
                  <w:noWrap w:val="0"/>
                  <w:vAlign w:val="center"/>
                </w:tcPr>
                <w:p w14:paraId="7ADE8D71">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东南侧</w:t>
                  </w:r>
                </w:p>
              </w:tc>
              <w:tc>
                <w:tcPr>
                  <w:tcW w:w="1028" w:type="pct"/>
                  <w:tcBorders>
                    <w:right w:val="single" w:color="auto" w:sz="4" w:space="0"/>
                    <w:tl2br w:val="nil"/>
                    <w:tr2bl w:val="nil"/>
                  </w:tcBorders>
                  <w:noWrap w:val="0"/>
                  <w:vAlign w:val="center"/>
                </w:tcPr>
                <w:p w14:paraId="0F53DC40">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580m</w:t>
                  </w:r>
                </w:p>
              </w:tc>
            </w:tr>
          </w:tbl>
          <w:p w14:paraId="4D1F6F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表3-3</w:t>
            </w:r>
            <w:r>
              <w:rPr>
                <w:rFonts w:hint="eastAsia" w:ascii="Times New Roman" w:hAnsi="Times New Roman" w:eastAsia="宋体" w:cs="Times New Roman"/>
                <w:b/>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eastAsia="宋体" w:cs="Times New Roman"/>
                <w:b/>
                <w:color w:val="000000" w:themeColor="text1"/>
                <w:sz w:val="21"/>
                <w:szCs w:val="21"/>
                <w:highlight w:val="none"/>
                <w14:textFill>
                  <w14:solidFill>
                    <w14:schemeClr w14:val="tx1"/>
                  </w14:solidFill>
                </w14:textFill>
              </w:rPr>
              <w:t>监测结果统计表</w:t>
            </w:r>
          </w:p>
          <w:tbl>
            <w:tblPr>
              <w:tblStyle w:val="25"/>
              <w:tblW w:w="8317" w:type="dxa"/>
              <w:tblInd w:w="-2"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7"/>
              <w:gridCol w:w="784"/>
              <w:gridCol w:w="682"/>
              <w:gridCol w:w="1199"/>
              <w:gridCol w:w="1543"/>
              <w:gridCol w:w="1166"/>
              <w:gridCol w:w="818"/>
              <w:gridCol w:w="818"/>
            </w:tblGrid>
            <w:tr w14:paraId="0FFA47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1307" w:type="dxa"/>
                  <w:tcBorders>
                    <w:left w:val="single" w:color="auto" w:sz="0" w:space="0"/>
                    <w:tl2br w:val="nil"/>
                    <w:tr2bl w:val="nil"/>
                  </w:tcBorders>
                  <w:noWrap w:val="0"/>
                  <w:vAlign w:val="center"/>
                </w:tcPr>
                <w:p w14:paraId="648628F1">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监测点名称</w:t>
                  </w:r>
                </w:p>
              </w:tc>
              <w:tc>
                <w:tcPr>
                  <w:tcW w:w="784" w:type="dxa"/>
                  <w:tcBorders>
                    <w:tl2br w:val="nil"/>
                    <w:tr2bl w:val="nil"/>
                  </w:tcBorders>
                  <w:noWrap w:val="0"/>
                  <w:vAlign w:val="center"/>
                </w:tcPr>
                <w:p w14:paraId="00F6D412">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污染物</w:t>
                  </w:r>
                </w:p>
              </w:tc>
              <w:tc>
                <w:tcPr>
                  <w:tcW w:w="682" w:type="dxa"/>
                  <w:tcBorders>
                    <w:tl2br w:val="nil"/>
                    <w:tr2bl w:val="nil"/>
                  </w:tcBorders>
                  <w:noWrap w:val="0"/>
                  <w:vAlign w:val="center"/>
                </w:tcPr>
                <w:p w14:paraId="0F214A07">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平均时间</w:t>
                  </w:r>
                </w:p>
              </w:tc>
              <w:tc>
                <w:tcPr>
                  <w:tcW w:w="1199" w:type="dxa"/>
                  <w:tcBorders>
                    <w:tl2br w:val="nil"/>
                    <w:tr2bl w:val="nil"/>
                  </w:tcBorders>
                  <w:noWrap w:val="0"/>
                  <w:vAlign w:val="center"/>
                </w:tcPr>
                <w:p w14:paraId="3F0C395A">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评价标准</w:t>
                  </w:r>
                  <w:r>
                    <w:rPr>
                      <w:rFonts w:hint="eastAsia" w:ascii="Times New Roman" w:hAnsi="Times New Roman" w:eastAsia="宋体" w:cs="Times New Roman"/>
                      <w:b w:val="0"/>
                      <w:bCs w:val="0"/>
                      <w:color w:val="000000" w:themeColor="text1"/>
                      <w:kern w:val="0"/>
                      <w:sz w:val="21"/>
                      <w:szCs w:val="21"/>
                      <w:highlight w:val="none"/>
                      <w:lang w:val="en-US" w:eastAsia="zh-CN" w:bidi="ar"/>
                      <w14:textFill>
                        <w14:solidFill>
                          <w14:schemeClr w14:val="tx1"/>
                        </w14:solidFill>
                      </w14:textFill>
                    </w:rPr>
                    <w:t>m</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g/m</w:t>
                  </w:r>
                  <w:r>
                    <w:rPr>
                      <w:rFonts w:hint="default" w:ascii="Times New Roman" w:hAnsi="Times New Roman" w:eastAsia="宋体" w:cs="Times New Roman"/>
                      <w:b/>
                      <w:bCs/>
                      <w:color w:val="000000" w:themeColor="text1"/>
                      <w:sz w:val="21"/>
                      <w:szCs w:val="21"/>
                      <w:highlight w:val="none"/>
                      <w:vertAlign w:val="superscript"/>
                      <w14:textFill>
                        <w14:solidFill>
                          <w14:schemeClr w14:val="tx1"/>
                        </w14:solidFill>
                      </w14:textFill>
                    </w:rPr>
                    <w:t>3</w:t>
                  </w:r>
                </w:p>
              </w:tc>
              <w:tc>
                <w:tcPr>
                  <w:tcW w:w="1543" w:type="dxa"/>
                  <w:tcBorders>
                    <w:tl2br w:val="nil"/>
                    <w:tr2bl w:val="nil"/>
                  </w:tcBorders>
                  <w:noWrap w:val="0"/>
                  <w:vAlign w:val="center"/>
                </w:tcPr>
                <w:p w14:paraId="7B455CB9">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监测浓度范围</w:t>
                  </w:r>
                  <w:r>
                    <w:rPr>
                      <w:rFonts w:hint="eastAsia" w:ascii="Times New Roman" w:hAnsi="Times New Roman" w:eastAsia="宋体" w:cs="Times New Roman"/>
                      <w:b w:val="0"/>
                      <w:bCs w:val="0"/>
                      <w:color w:val="000000" w:themeColor="text1"/>
                      <w:kern w:val="0"/>
                      <w:sz w:val="21"/>
                      <w:szCs w:val="21"/>
                      <w:highlight w:val="none"/>
                      <w:lang w:val="en-US" w:eastAsia="zh-CN" w:bidi="ar"/>
                      <w14:textFill>
                        <w14:solidFill>
                          <w14:schemeClr w14:val="tx1"/>
                        </w14:solidFill>
                      </w14:textFill>
                    </w:rPr>
                    <w:t>m</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g/m</w:t>
                  </w:r>
                  <w:r>
                    <w:rPr>
                      <w:rFonts w:hint="default" w:ascii="Times New Roman" w:hAnsi="Times New Roman" w:eastAsia="宋体" w:cs="Times New Roman"/>
                      <w:b/>
                      <w:bCs/>
                      <w:color w:val="000000" w:themeColor="text1"/>
                      <w:sz w:val="21"/>
                      <w:szCs w:val="21"/>
                      <w:highlight w:val="none"/>
                      <w:vertAlign w:val="superscript"/>
                      <w14:textFill>
                        <w14:solidFill>
                          <w14:schemeClr w14:val="tx1"/>
                        </w14:solidFill>
                      </w14:textFill>
                    </w:rPr>
                    <w:t>3</w:t>
                  </w:r>
                </w:p>
              </w:tc>
              <w:tc>
                <w:tcPr>
                  <w:tcW w:w="1166" w:type="dxa"/>
                  <w:tcBorders>
                    <w:tl2br w:val="nil"/>
                    <w:tr2bl w:val="nil"/>
                  </w:tcBorders>
                  <w:noWrap w:val="0"/>
                  <w:vAlign w:val="center"/>
                </w:tcPr>
                <w:p w14:paraId="1015ADB0">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最大浓度占标率</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818" w:type="dxa"/>
                  <w:tcBorders>
                    <w:tl2br w:val="nil"/>
                    <w:tr2bl w:val="nil"/>
                  </w:tcBorders>
                  <w:noWrap w:val="0"/>
                  <w:vAlign w:val="center"/>
                </w:tcPr>
                <w:p w14:paraId="104B9B9D">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超标倍数</w:t>
                  </w:r>
                </w:p>
              </w:tc>
              <w:tc>
                <w:tcPr>
                  <w:tcW w:w="818" w:type="dxa"/>
                  <w:tcBorders>
                    <w:right w:val="single" w:color="auto" w:sz="4" w:space="0"/>
                    <w:tl2br w:val="nil"/>
                    <w:tr2bl w:val="nil"/>
                  </w:tcBorders>
                  <w:noWrap w:val="0"/>
                  <w:vAlign w:val="center"/>
                </w:tcPr>
                <w:p w14:paraId="1E49F32C">
                  <w:pPr>
                    <w:autoSpaceDE w:val="0"/>
                    <w:autoSpaceDN w:val="0"/>
                    <w:adjustRightInd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达标情况</w:t>
                  </w:r>
                </w:p>
              </w:tc>
            </w:tr>
            <w:tr w14:paraId="6217B1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07" w:type="dxa"/>
                  <w:tcBorders>
                    <w:left w:val="single" w:color="auto" w:sz="4" w:space="0"/>
                    <w:tl2br w:val="nil"/>
                    <w:tr2bl w:val="nil"/>
                  </w:tcBorders>
                  <w:noWrap w:val="0"/>
                  <w:vAlign w:val="center"/>
                </w:tcPr>
                <w:p w14:paraId="083145C8">
                  <w:pPr>
                    <w:autoSpaceDE w:val="0"/>
                    <w:autoSpaceDN w:val="0"/>
                    <w:adjustRightInd w:val="0"/>
                    <w:spacing w:line="240" w:lineRule="auto"/>
                    <w:ind w:firstLine="0" w:firstLineChars="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陕西江帆</w:t>
                  </w:r>
                </w:p>
                <w:p w14:paraId="7DDB210A">
                  <w:pPr>
                    <w:autoSpaceDE w:val="0"/>
                    <w:autoSpaceDN w:val="0"/>
                    <w:adjustRightInd w:val="0"/>
                    <w:spacing w:line="240" w:lineRule="auto"/>
                    <w:ind w:firstLine="0" w:firstLineChars="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圭智新材料</w:t>
                  </w:r>
                </w:p>
                <w:p w14:paraId="4095395B">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有限公司</w:t>
                  </w:r>
                </w:p>
              </w:tc>
              <w:tc>
                <w:tcPr>
                  <w:tcW w:w="784" w:type="dxa"/>
                  <w:tcBorders>
                    <w:tl2br w:val="nil"/>
                    <w:tr2bl w:val="nil"/>
                  </w:tcBorders>
                  <w:noWrap w:val="0"/>
                  <w:vAlign w:val="center"/>
                </w:tcPr>
                <w:p w14:paraId="04FDC0DA">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TSP</w:t>
                  </w:r>
                </w:p>
              </w:tc>
              <w:tc>
                <w:tcPr>
                  <w:tcW w:w="682" w:type="dxa"/>
                  <w:tcBorders>
                    <w:tl2br w:val="nil"/>
                    <w:tr2bl w:val="nil"/>
                  </w:tcBorders>
                  <w:noWrap w:val="0"/>
                  <w:vAlign w:val="center"/>
                </w:tcPr>
                <w:p w14:paraId="792B0E2D">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24h</w:t>
                  </w:r>
                </w:p>
              </w:tc>
              <w:tc>
                <w:tcPr>
                  <w:tcW w:w="1199" w:type="dxa"/>
                  <w:tcBorders>
                    <w:tl2br w:val="nil"/>
                    <w:tr2bl w:val="nil"/>
                  </w:tcBorders>
                  <w:noWrap w:val="0"/>
                  <w:vAlign w:val="center"/>
                </w:tcPr>
                <w:p w14:paraId="4BDB0633">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0.3</w:t>
                  </w:r>
                </w:p>
              </w:tc>
              <w:tc>
                <w:tcPr>
                  <w:tcW w:w="1543" w:type="dxa"/>
                  <w:tcBorders>
                    <w:tl2br w:val="nil"/>
                    <w:tr2bl w:val="nil"/>
                  </w:tcBorders>
                  <w:noWrap w:val="0"/>
                  <w:vAlign w:val="center"/>
                </w:tcPr>
                <w:p w14:paraId="129AC558">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0.172-0.181</w:t>
                  </w:r>
                </w:p>
              </w:tc>
              <w:tc>
                <w:tcPr>
                  <w:tcW w:w="1166" w:type="dxa"/>
                  <w:tcBorders>
                    <w:tl2br w:val="nil"/>
                    <w:tr2bl w:val="nil"/>
                  </w:tcBorders>
                  <w:noWrap w:val="0"/>
                  <w:vAlign w:val="center"/>
                </w:tcPr>
                <w:p w14:paraId="5A5F1715">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60.3</w:t>
                  </w:r>
                </w:p>
              </w:tc>
              <w:tc>
                <w:tcPr>
                  <w:tcW w:w="818" w:type="dxa"/>
                  <w:tcBorders>
                    <w:tl2br w:val="nil"/>
                    <w:tr2bl w:val="nil"/>
                  </w:tcBorders>
                  <w:noWrap w:val="0"/>
                  <w:vAlign w:val="center"/>
                </w:tcPr>
                <w:p w14:paraId="28B77B45">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w:t>
                  </w:r>
                </w:p>
              </w:tc>
              <w:tc>
                <w:tcPr>
                  <w:tcW w:w="818" w:type="dxa"/>
                  <w:tcBorders>
                    <w:right w:val="single" w:color="auto" w:sz="4" w:space="0"/>
                    <w:tl2br w:val="nil"/>
                    <w:tr2bl w:val="nil"/>
                  </w:tcBorders>
                  <w:noWrap w:val="0"/>
                  <w:vAlign w:val="center"/>
                </w:tcPr>
                <w:p w14:paraId="69EBD355">
                  <w:pPr>
                    <w:autoSpaceDE w:val="0"/>
                    <w:autoSpaceDN w:val="0"/>
                    <w:adjustRightInd w:val="0"/>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达标</w:t>
                  </w:r>
                </w:p>
              </w:tc>
            </w:tr>
          </w:tbl>
          <w:p w14:paraId="614A5AA1">
            <w:pPr>
              <w:keepNext w:val="0"/>
              <w:keepLines w:val="0"/>
              <w:pageBreakBefore w:val="0"/>
              <w:widowControl w:val="0"/>
              <w:tabs>
                <w:tab w:val="left" w:pos="4675"/>
              </w:tabs>
              <w:kinsoku/>
              <w:wordWrap w:val="0"/>
              <w:overflowPunct w:val="0"/>
              <w:topLinePunct w:val="0"/>
              <w:autoSpaceDE/>
              <w:autoSpaceDN/>
              <w:bidi w:val="0"/>
              <w:adjustRightInd w:val="0"/>
              <w:snapToGrid w:val="0"/>
              <w:spacing w:after="0" w:line="360" w:lineRule="auto"/>
              <w:ind w:leftChars="0" w:firstLine="480" w:firstLineChars="200"/>
              <w:jc w:val="both"/>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由上表可知</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，评价区域TSP</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24h</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浓度</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满足</w:t>
            </w:r>
            <w:r>
              <w:rPr>
                <w:rFonts w:hint="default" w:ascii="Times New Roman" w:hAnsi="Times New Roman" w:eastAsia="宋体" w:cs="Times New Roman"/>
                <w:color w:val="000000" w:themeColor="text1"/>
                <w:sz w:val="24"/>
                <w:szCs w:val="24"/>
                <w:highlight w:val="none"/>
                <w14:textFill>
                  <w14:solidFill>
                    <w14:schemeClr w14:val="tx1"/>
                  </w14:solidFill>
                </w14:textFill>
              </w:rPr>
              <w:t>《环境空气质量标准》（GB3095-2012）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中标准限值</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1E9DF968">
            <w:pPr>
              <w:pStyle w:val="3"/>
              <w:numPr>
                <w:ilvl w:val="0"/>
                <w:numId w:val="4"/>
              </w:numPr>
              <w:spacing w:line="360" w:lineRule="auto"/>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bookmarkStart w:id="10" w:name="_Toc18978"/>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声环境质量现状</w:t>
            </w:r>
            <w:bookmarkEnd w:id="10"/>
          </w:p>
          <w:p w14:paraId="0BFF5ABE">
            <w:pPr>
              <w:spacing w:line="360" w:lineRule="auto"/>
              <w:ind w:firstLine="480" w:firstLineChars="200"/>
              <w:rPr>
                <w:rFonts w:hint="default" w:ascii="Times New Roman" w:hAnsi="Times New Roman" w:eastAsia="宋体" w:cs="Times New Roman"/>
                <w:color w:val="000000" w:themeColor="text1"/>
                <w:sz w:val="24"/>
                <w:szCs w:val="24"/>
                <w:highlight w:val="none"/>
                <w:lang w:val="en-US"/>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根据《建设项目环境影响报告表编制技术指南（污染影响类）（试行）》中</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厂界外周边50米范围内存在声环境保护目标的建设项目，应监测保护目标声环境质量现状并评价达标情况</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p>
          <w:p w14:paraId="644B40BC">
            <w:pPr>
              <w:spacing w:line="360" w:lineRule="auto"/>
              <w:ind w:firstLine="480" w:firstLineChars="200"/>
              <w:rPr>
                <w:rFonts w:hint="default" w:ascii="Times New Roman" w:hAnsi="Times New Roman" w:cs="Times New Roman"/>
                <w:b/>
                <w:bCs/>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本项目位于</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陕西省西咸新区泾河新城永乐工业园区南北大道陕西国坤时代科技有限公司2号厂房</w:t>
            </w:r>
            <w:r>
              <w:rPr>
                <w:rFonts w:hint="default" w:ascii="Times New Roman" w:hAnsi="Times New Roman" w:cs="Times New Roman"/>
                <w:color w:val="000000" w:themeColor="text1"/>
                <w:kern w:val="0"/>
                <w:sz w:val="24"/>
                <w:szCs w:val="22"/>
                <w:highlight w:val="none"/>
                <w:lang w:val="zh-CN" w:bidi="zh-CN"/>
                <w14:textFill>
                  <w14:solidFill>
                    <w14:schemeClr w14:val="tx1"/>
                  </w14:solidFill>
                </w14:textFill>
              </w:rPr>
              <w:t>，</w:t>
            </w:r>
            <w:r>
              <w:rPr>
                <w:rFonts w:hint="default" w:ascii="Times New Roman" w:hAnsi="Times New Roman" w:cs="Times New Roman"/>
                <w:color w:val="000000" w:themeColor="text1"/>
                <w:kern w:val="0"/>
                <w:sz w:val="24"/>
                <w:szCs w:val="22"/>
                <w:highlight w:val="none"/>
                <w:lang w:val="en-US" w:bidi="zh-CN"/>
                <w14:textFill>
                  <w14:solidFill>
                    <w14:schemeClr w14:val="tx1"/>
                  </w14:solidFill>
                </w14:textFill>
              </w:rPr>
              <w:t>根据现场踏勘，项目</w:t>
            </w:r>
            <w:r>
              <w:rPr>
                <w:rFonts w:hint="default" w:ascii="Times New Roman" w:hAnsi="Times New Roman" w:eastAsia="宋体" w:cs="Times New Roman"/>
                <w:color w:val="000000" w:themeColor="text1"/>
                <w:sz w:val="24"/>
                <w:szCs w:val="24"/>
                <w:highlight w:val="none"/>
                <w14:textFill>
                  <w14:solidFill>
                    <w14:schemeClr w14:val="tx1"/>
                  </w14:solidFill>
                </w14:textFill>
              </w:rPr>
              <w:t>周围为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工业企业</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厂界外50m范围内无声环境保护目标</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因此未</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进行声环境质量现状</w:t>
            </w:r>
            <w:r>
              <w:rPr>
                <w:rFonts w:hint="default" w:ascii="Times New Roman" w:hAnsi="Times New Roman" w:eastAsia="宋体" w:cs="Times New Roman"/>
                <w:color w:val="000000" w:themeColor="text1"/>
                <w:sz w:val="24"/>
                <w:szCs w:val="24"/>
                <w:highlight w:val="none"/>
                <w14:textFill>
                  <w14:solidFill>
                    <w14:schemeClr w14:val="tx1"/>
                  </w14:solidFill>
                </w14:textFill>
              </w:rPr>
              <w:t>监测。</w:t>
            </w:r>
          </w:p>
          <w:p w14:paraId="576F697C">
            <w:pPr>
              <w:pStyle w:val="3"/>
              <w:numPr>
                <w:ilvl w:val="0"/>
                <w:numId w:val="4"/>
              </w:numPr>
              <w:spacing w:line="360" w:lineRule="auto"/>
              <w:ind w:left="0" w:leftChars="0" w:firstLine="0" w:firstLineChars="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bookmarkStart w:id="11" w:name="_Toc27847"/>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生态环境质量现状</w:t>
            </w:r>
            <w:bookmarkEnd w:id="11"/>
          </w:p>
          <w:p w14:paraId="5897EEE5">
            <w:pPr>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本项目</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租赁陕西省西咸新区泾河新城永乐工业园区南北大道陕西国坤时代科技有限公司2号厂房现有厂房</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根据现场踏勘，</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本项目在现有厂房内建设</w: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不新增用地，</w:t>
            </w:r>
            <w:r>
              <w:rPr>
                <w:rFonts w:hint="default" w:ascii="Times New Roman" w:hAnsi="Times New Roman" w:eastAsia="宋体" w:cs="Times New Roman"/>
                <w:color w:val="000000" w:themeColor="text1"/>
                <w:sz w:val="24"/>
                <w:szCs w:val="24"/>
                <w:highlight w:val="none"/>
                <w14:textFill>
                  <w14:solidFill>
                    <w14:schemeClr w14:val="tx1"/>
                  </w14:solidFill>
                </w14:textFill>
              </w:rPr>
              <w:t>用地范围内不涉及生态环境保护目标，</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因此</w:t>
            </w:r>
            <w:r>
              <w:rPr>
                <w:rFonts w:hint="default" w:ascii="Times New Roman" w:hAnsi="Times New Roman" w:eastAsia="宋体" w:cs="Times New Roman"/>
                <w:color w:val="000000" w:themeColor="text1"/>
                <w:sz w:val="24"/>
                <w:szCs w:val="24"/>
                <w:highlight w:val="none"/>
                <w14:textFill>
                  <w14:solidFill>
                    <w14:schemeClr w14:val="tx1"/>
                  </w14:solidFill>
                </w14:textFill>
              </w:rPr>
              <w:t>无需进行生态</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环境</w:t>
            </w:r>
            <w:r>
              <w:rPr>
                <w:rFonts w:hint="default" w:ascii="Times New Roman" w:hAnsi="Times New Roman" w:eastAsia="宋体" w:cs="Times New Roman"/>
                <w:color w:val="000000" w:themeColor="text1"/>
                <w:sz w:val="24"/>
                <w:szCs w:val="24"/>
                <w:highlight w:val="none"/>
                <w14:textFill>
                  <w14:solidFill>
                    <w14:schemeClr w14:val="tx1"/>
                  </w14:solidFill>
                </w14:textFill>
              </w:rPr>
              <w:t>现状调查。</w:t>
            </w:r>
          </w:p>
          <w:p w14:paraId="2C36F3DA">
            <w:pPr>
              <w:pStyle w:val="3"/>
              <w:numPr>
                <w:ilvl w:val="0"/>
                <w:numId w:val="4"/>
              </w:numPr>
              <w:spacing w:line="360" w:lineRule="auto"/>
              <w:ind w:left="0" w:leftChars="0" w:firstLine="0" w:firstLineChars="0"/>
              <w:rPr>
                <w:rFonts w:hint="default" w:ascii="Times New Roman" w:hAnsi="Times New Roman" w:cs="Times New Roman"/>
                <w:color w:val="000000" w:themeColor="text1"/>
                <w:highlight w:val="none"/>
                <w:lang w:val="en-US" w:eastAsia="zh-CN"/>
                <w14:textFill>
                  <w14:solidFill>
                    <w14:schemeClr w14:val="tx1"/>
                  </w14:solidFill>
                </w14:textFill>
              </w:rPr>
            </w:pPr>
            <w:bookmarkStart w:id="12" w:name="_Toc9683"/>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地下水、土壤环境质量现状</w:t>
            </w:r>
            <w:bookmarkEnd w:id="12"/>
          </w:p>
          <w:p w14:paraId="61DF6501">
            <w:pPr>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根据《建设项目环境影响报告表编制技术指南（污染影响类）（试行）》，地下水、土壤环境原则上不开展环境质量现状调查。</w:t>
            </w:r>
          </w:p>
          <w:p w14:paraId="566F71ED">
            <w:pPr>
              <w:pStyle w:val="3"/>
              <w:spacing w:line="360" w:lineRule="auto"/>
              <w:ind w:firstLine="480" w:firstLineChars="200"/>
              <w:rPr>
                <w:rFonts w:hint="default" w:ascii="Times New Roman" w:hAnsi="Times New Roman" w:cs="Times New Roman"/>
                <w:color w:val="000000" w:themeColor="text1"/>
                <w:highlight w:val="none"/>
                <w:lang w:val="en-US" w:eastAsia="zh-CN"/>
                <w14:textFill>
                  <w14:solidFill>
                    <w14:schemeClr w14:val="tx1"/>
                  </w14:solidFill>
                </w14:textFill>
              </w:rPr>
            </w:pPr>
            <w:bookmarkStart w:id="13" w:name="_Toc15606"/>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租赁陕西省西咸新区泾河新城永乐工业园区南北大道陕西国坤时代科技有限公司2号厂房现有厂房。</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根据现场踏勘，现有厂房已进行硬化，无裸露土壤；危废贮存库等均</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按照要求进行</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防渗处理，不存在地下水、土壤环境影响途径。无需开展地下水、土壤环境质量现状调查。</w:t>
            </w:r>
            <w:bookmarkEnd w:id="13"/>
          </w:p>
        </w:tc>
      </w:tr>
      <w:tr w14:paraId="06707F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98" w:hRule="atLeast"/>
          <w:jc w:val="center"/>
        </w:trPr>
        <w:tc>
          <w:tcPr>
            <w:tcW w:w="464" w:type="dxa"/>
            <w:noWrap w:val="0"/>
            <w:vAlign w:val="center"/>
          </w:tcPr>
          <w:p w14:paraId="7AA65B85">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环境</w:t>
            </w:r>
          </w:p>
          <w:p w14:paraId="75FCE4BB">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保护</w:t>
            </w:r>
          </w:p>
          <w:p w14:paraId="77A1054F">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目标</w:t>
            </w:r>
          </w:p>
        </w:tc>
        <w:tc>
          <w:tcPr>
            <w:tcW w:w="8526" w:type="dxa"/>
            <w:noWrap w:val="0"/>
            <w:vAlign w:val="top"/>
          </w:tcPr>
          <w:p w14:paraId="63B5B883">
            <w:pPr>
              <w:numPr>
                <w:ilvl w:val="0"/>
                <w:numId w:val="5"/>
              </w:numPr>
              <w:adjustRightInd w:val="0"/>
              <w:snapToGrid w:val="0"/>
              <w:spacing w:line="360" w:lineRule="auto"/>
              <w:jc w:val="both"/>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t>大气环境</w:t>
            </w:r>
          </w:p>
          <w:p w14:paraId="611923FF">
            <w:pPr>
              <w:pStyle w:val="3"/>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bookmarkStart w:id="14" w:name="_Toc19306"/>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本项目厂界外500米范围内无自然保护区、风景名胜区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和</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文化区等保</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护目标</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color w:val="000000" w:themeColor="text1"/>
                <w:kern w:val="0"/>
                <w:sz w:val="24"/>
                <w:szCs w:val="20"/>
                <w:highlight w:val="none"/>
                <w14:textFill>
                  <w14:solidFill>
                    <w14:schemeClr w14:val="tx1"/>
                  </w14:solidFill>
                </w14:textFill>
              </w:rPr>
              <w:t>项目厂界外500m范围内大气环境保护目标</w:t>
            </w:r>
            <w:r>
              <w:rPr>
                <w:rFonts w:hint="eastAsia"/>
                <w:color w:val="000000" w:themeColor="text1"/>
                <w:kern w:val="0"/>
                <w:sz w:val="24"/>
                <w:szCs w:val="20"/>
                <w:highlight w:val="none"/>
                <w:lang w:val="en-US" w:eastAsia="zh-CN"/>
                <w14:textFill>
                  <w14:solidFill>
                    <w14:schemeClr w14:val="tx1"/>
                  </w14:solidFill>
                </w14:textFill>
              </w:rPr>
              <w:t>见下表</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bookmarkEnd w:id="14"/>
          </w:p>
          <w:p w14:paraId="1C2C3E8C">
            <w:pPr>
              <w:snapToGrid w:val="0"/>
              <w:jc w:val="center"/>
              <w:rPr>
                <w:b/>
                <w:bCs/>
                <w:color w:val="000000" w:themeColor="text1"/>
                <w:kern w:val="0"/>
                <w:szCs w:val="21"/>
                <w:highlight w:val="none"/>
                <w14:textFill>
                  <w14:solidFill>
                    <w14:schemeClr w14:val="tx1"/>
                  </w14:solidFill>
                </w14:textFill>
              </w:rPr>
            </w:pPr>
            <w:r>
              <w:rPr>
                <w:b/>
                <w:bCs/>
                <w:color w:val="000000" w:themeColor="text1"/>
                <w:kern w:val="0"/>
                <w:szCs w:val="21"/>
                <w:highlight w:val="none"/>
                <w14:textFill>
                  <w14:solidFill>
                    <w14:schemeClr w14:val="tx1"/>
                  </w14:solidFill>
                </w14:textFill>
              </w:rPr>
              <w:t>表</w:t>
            </w:r>
            <w:r>
              <w:rPr>
                <w:rFonts w:hint="eastAsia"/>
                <w:b/>
                <w:bCs/>
                <w:color w:val="000000" w:themeColor="text1"/>
                <w:kern w:val="0"/>
                <w:szCs w:val="21"/>
                <w:highlight w:val="none"/>
                <w14:textFill>
                  <w14:solidFill>
                    <w14:schemeClr w14:val="tx1"/>
                  </w14:solidFill>
                </w14:textFill>
              </w:rPr>
              <w:t>3-</w:t>
            </w:r>
            <w:r>
              <w:rPr>
                <w:rFonts w:hint="eastAsia"/>
                <w:b/>
                <w:bCs/>
                <w:color w:val="000000" w:themeColor="text1"/>
                <w:kern w:val="0"/>
                <w:szCs w:val="21"/>
                <w:highlight w:val="none"/>
                <w:lang w:val="en-US" w:eastAsia="zh-CN"/>
                <w14:textFill>
                  <w14:solidFill>
                    <w14:schemeClr w14:val="tx1"/>
                  </w14:solidFill>
                </w14:textFill>
              </w:rPr>
              <w:t xml:space="preserve">4 </w:t>
            </w:r>
            <w:r>
              <w:rPr>
                <w:b/>
                <w:bCs/>
                <w:color w:val="000000" w:themeColor="text1"/>
                <w:kern w:val="0"/>
                <w:szCs w:val="21"/>
                <w:highlight w:val="none"/>
                <w14:textFill>
                  <w14:solidFill>
                    <w14:schemeClr w14:val="tx1"/>
                  </w14:solidFill>
                </w14:textFill>
              </w:rPr>
              <w:t>主要环境保护目标一览表</w:t>
            </w:r>
          </w:p>
          <w:tbl>
            <w:tblPr>
              <w:tblStyle w:val="25"/>
              <w:tblW w:w="49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56"/>
              <w:gridCol w:w="543"/>
              <w:gridCol w:w="859"/>
              <w:gridCol w:w="811"/>
              <w:gridCol w:w="551"/>
              <w:gridCol w:w="704"/>
              <w:gridCol w:w="2010"/>
              <w:gridCol w:w="680"/>
              <w:gridCol w:w="680"/>
              <w:gridCol w:w="826"/>
            </w:tblGrid>
            <w:tr w14:paraId="142C0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tblHeader/>
                <w:jc w:val="center"/>
              </w:trPr>
              <w:tc>
                <w:tcPr>
                  <w:tcW w:w="338" w:type="pct"/>
                  <w:vMerge w:val="restart"/>
                  <w:noWrap w:val="0"/>
                  <w:vAlign w:val="center"/>
                </w:tcPr>
                <w:p w14:paraId="04035B11">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环境</w:t>
                  </w:r>
                </w:p>
                <w:p w14:paraId="3092A961">
                  <w:pPr>
                    <w:adjustRightInd w:val="0"/>
                    <w:snapToGrid w:val="0"/>
                    <w:jc w:val="center"/>
                    <w:rPr>
                      <w:b/>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要素</w:t>
                  </w:r>
                </w:p>
              </w:tc>
              <w:tc>
                <w:tcPr>
                  <w:tcW w:w="330" w:type="pct"/>
                  <w:vMerge w:val="restart"/>
                  <w:noWrap w:val="0"/>
                  <w:vAlign w:val="center"/>
                </w:tcPr>
                <w:p w14:paraId="38954286">
                  <w:pPr>
                    <w:adjustRightInd w:val="0"/>
                    <w:snapToGrid w:val="0"/>
                    <w:jc w:val="center"/>
                    <w:rPr>
                      <w:b/>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名称</w:t>
                  </w:r>
                </w:p>
              </w:tc>
              <w:tc>
                <w:tcPr>
                  <w:tcW w:w="1015" w:type="pct"/>
                  <w:gridSpan w:val="2"/>
                  <w:noWrap w:val="0"/>
                  <w:vAlign w:val="center"/>
                </w:tcPr>
                <w:p w14:paraId="4A211A04">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坐标/m</w:t>
                  </w:r>
                </w:p>
              </w:tc>
              <w:tc>
                <w:tcPr>
                  <w:tcW w:w="335" w:type="pct"/>
                  <w:vMerge w:val="restart"/>
                  <w:noWrap w:val="0"/>
                  <w:vAlign w:val="center"/>
                </w:tcPr>
                <w:p w14:paraId="0219F768">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保护</w:t>
                  </w:r>
                </w:p>
                <w:p w14:paraId="2308860C">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对象</w:t>
                  </w:r>
                </w:p>
              </w:tc>
              <w:tc>
                <w:tcPr>
                  <w:tcW w:w="428" w:type="pct"/>
                  <w:vMerge w:val="restart"/>
                  <w:noWrap w:val="0"/>
                  <w:vAlign w:val="center"/>
                </w:tcPr>
                <w:p w14:paraId="6A2EFA21">
                  <w:pPr>
                    <w:adjustRightInd w:val="0"/>
                    <w:snapToGrid w:val="0"/>
                    <w:jc w:val="center"/>
                    <w:rPr>
                      <w:rFonts w:hint="eastAsia"/>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人数</w:t>
                  </w:r>
                </w:p>
                <w:p w14:paraId="55DEC6FB">
                  <w:pPr>
                    <w:adjustRightInd w:val="0"/>
                    <w:snapToGrid w:val="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w:t>
                  </w:r>
                  <w:r>
                    <w:rPr>
                      <w:rFonts w:hint="eastAsia"/>
                      <w:color w:val="000000" w:themeColor="text1"/>
                      <w:kern w:val="0"/>
                      <w:szCs w:val="21"/>
                      <w:highlight w:val="none"/>
                      <w14:textFill>
                        <w14:solidFill>
                          <w14:schemeClr w14:val="tx1"/>
                        </w14:solidFill>
                      </w14:textFill>
                    </w:rPr>
                    <w:t>人</w:t>
                  </w:r>
                </w:p>
              </w:tc>
              <w:tc>
                <w:tcPr>
                  <w:tcW w:w="1222" w:type="pct"/>
                  <w:vMerge w:val="restart"/>
                  <w:noWrap w:val="0"/>
                  <w:vAlign w:val="center"/>
                </w:tcPr>
                <w:p w14:paraId="7954673C">
                  <w:pPr>
                    <w:adjustRightInd w:val="0"/>
                    <w:snapToGrid w:val="0"/>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质量标准</w:t>
                  </w:r>
                </w:p>
              </w:tc>
              <w:tc>
                <w:tcPr>
                  <w:tcW w:w="413" w:type="pct"/>
                  <w:vMerge w:val="restart"/>
                  <w:noWrap w:val="0"/>
                  <w:vAlign w:val="center"/>
                </w:tcPr>
                <w:p w14:paraId="6D144029">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环境功能区</w:t>
                  </w:r>
                </w:p>
              </w:tc>
              <w:tc>
                <w:tcPr>
                  <w:tcW w:w="413" w:type="pct"/>
                  <w:vMerge w:val="restart"/>
                  <w:noWrap w:val="0"/>
                  <w:vAlign w:val="center"/>
                </w:tcPr>
                <w:p w14:paraId="4F8A34D2">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相对厂址方位</w:t>
                  </w:r>
                </w:p>
              </w:tc>
              <w:tc>
                <w:tcPr>
                  <w:tcW w:w="502" w:type="pct"/>
                  <w:vMerge w:val="restart"/>
                  <w:noWrap w:val="0"/>
                  <w:vAlign w:val="center"/>
                </w:tcPr>
                <w:p w14:paraId="12A06996">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相对厂界距离/m</w:t>
                  </w:r>
                </w:p>
              </w:tc>
            </w:tr>
            <w:tr w14:paraId="15551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 w:hRule="atLeast"/>
                <w:tblHeader/>
                <w:jc w:val="center"/>
              </w:trPr>
              <w:tc>
                <w:tcPr>
                  <w:tcW w:w="338" w:type="pct"/>
                  <w:vMerge w:val="continue"/>
                  <w:noWrap w:val="0"/>
                  <w:vAlign w:val="center"/>
                </w:tcPr>
                <w:p w14:paraId="144AF122">
                  <w:pPr>
                    <w:adjustRightInd w:val="0"/>
                    <w:snapToGrid w:val="0"/>
                    <w:jc w:val="center"/>
                    <w:rPr>
                      <w:b/>
                      <w:color w:val="000000" w:themeColor="text1"/>
                      <w:szCs w:val="21"/>
                      <w:highlight w:val="none"/>
                      <w14:textFill>
                        <w14:solidFill>
                          <w14:schemeClr w14:val="tx1"/>
                        </w14:solidFill>
                      </w14:textFill>
                    </w:rPr>
                  </w:pPr>
                </w:p>
              </w:tc>
              <w:tc>
                <w:tcPr>
                  <w:tcW w:w="330" w:type="pct"/>
                  <w:vMerge w:val="continue"/>
                  <w:noWrap w:val="0"/>
                  <w:vAlign w:val="center"/>
                </w:tcPr>
                <w:p w14:paraId="72858A6E">
                  <w:pPr>
                    <w:adjustRightInd w:val="0"/>
                    <w:snapToGrid w:val="0"/>
                    <w:jc w:val="center"/>
                    <w:rPr>
                      <w:b/>
                      <w:color w:val="000000" w:themeColor="text1"/>
                      <w:szCs w:val="21"/>
                      <w:highlight w:val="none"/>
                      <w14:textFill>
                        <w14:solidFill>
                          <w14:schemeClr w14:val="tx1"/>
                        </w14:solidFill>
                      </w14:textFill>
                    </w:rPr>
                  </w:pPr>
                </w:p>
              </w:tc>
              <w:tc>
                <w:tcPr>
                  <w:tcW w:w="522" w:type="pct"/>
                  <w:noWrap w:val="0"/>
                  <w:vAlign w:val="center"/>
                </w:tcPr>
                <w:p w14:paraId="139B7835">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E</w:t>
                  </w:r>
                </w:p>
              </w:tc>
              <w:tc>
                <w:tcPr>
                  <w:tcW w:w="493" w:type="pct"/>
                  <w:noWrap w:val="0"/>
                  <w:vAlign w:val="center"/>
                </w:tcPr>
                <w:p w14:paraId="09127293">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N</w:t>
                  </w:r>
                </w:p>
              </w:tc>
              <w:tc>
                <w:tcPr>
                  <w:tcW w:w="335" w:type="pct"/>
                  <w:vMerge w:val="continue"/>
                  <w:noWrap w:val="0"/>
                  <w:vAlign w:val="center"/>
                </w:tcPr>
                <w:p w14:paraId="2298DBB7">
                  <w:pPr>
                    <w:adjustRightInd w:val="0"/>
                    <w:snapToGrid w:val="0"/>
                    <w:jc w:val="center"/>
                    <w:rPr>
                      <w:color w:val="000000" w:themeColor="text1"/>
                      <w:kern w:val="0"/>
                      <w:szCs w:val="21"/>
                      <w:highlight w:val="none"/>
                      <w14:textFill>
                        <w14:solidFill>
                          <w14:schemeClr w14:val="tx1"/>
                        </w14:solidFill>
                      </w14:textFill>
                    </w:rPr>
                  </w:pPr>
                </w:p>
              </w:tc>
              <w:tc>
                <w:tcPr>
                  <w:tcW w:w="428" w:type="pct"/>
                  <w:vMerge w:val="continue"/>
                  <w:noWrap w:val="0"/>
                  <w:vAlign w:val="center"/>
                </w:tcPr>
                <w:p w14:paraId="7FF02B2B">
                  <w:pPr>
                    <w:adjustRightInd w:val="0"/>
                    <w:snapToGrid w:val="0"/>
                    <w:jc w:val="center"/>
                    <w:rPr>
                      <w:color w:val="000000" w:themeColor="text1"/>
                      <w:kern w:val="0"/>
                      <w:szCs w:val="21"/>
                      <w:highlight w:val="none"/>
                      <w14:textFill>
                        <w14:solidFill>
                          <w14:schemeClr w14:val="tx1"/>
                        </w14:solidFill>
                      </w14:textFill>
                    </w:rPr>
                  </w:pPr>
                </w:p>
              </w:tc>
              <w:tc>
                <w:tcPr>
                  <w:tcW w:w="1222" w:type="pct"/>
                  <w:vMerge w:val="continue"/>
                  <w:noWrap w:val="0"/>
                  <w:vAlign w:val="center"/>
                </w:tcPr>
                <w:p w14:paraId="4EC82841">
                  <w:pPr>
                    <w:adjustRightInd w:val="0"/>
                    <w:snapToGrid w:val="0"/>
                    <w:jc w:val="center"/>
                    <w:rPr>
                      <w:color w:val="000000" w:themeColor="text1"/>
                      <w:kern w:val="0"/>
                      <w:szCs w:val="21"/>
                      <w:highlight w:val="none"/>
                      <w14:textFill>
                        <w14:solidFill>
                          <w14:schemeClr w14:val="tx1"/>
                        </w14:solidFill>
                      </w14:textFill>
                    </w:rPr>
                  </w:pPr>
                </w:p>
              </w:tc>
              <w:tc>
                <w:tcPr>
                  <w:tcW w:w="413" w:type="pct"/>
                  <w:vMerge w:val="continue"/>
                  <w:noWrap w:val="0"/>
                  <w:vAlign w:val="center"/>
                </w:tcPr>
                <w:p w14:paraId="60FAC9C6">
                  <w:pPr>
                    <w:adjustRightInd w:val="0"/>
                    <w:snapToGrid w:val="0"/>
                    <w:jc w:val="center"/>
                    <w:rPr>
                      <w:color w:val="000000" w:themeColor="text1"/>
                      <w:kern w:val="0"/>
                      <w:szCs w:val="21"/>
                      <w:highlight w:val="none"/>
                      <w14:textFill>
                        <w14:solidFill>
                          <w14:schemeClr w14:val="tx1"/>
                        </w14:solidFill>
                      </w14:textFill>
                    </w:rPr>
                  </w:pPr>
                </w:p>
              </w:tc>
              <w:tc>
                <w:tcPr>
                  <w:tcW w:w="413" w:type="pct"/>
                  <w:vMerge w:val="continue"/>
                  <w:noWrap w:val="0"/>
                  <w:vAlign w:val="center"/>
                </w:tcPr>
                <w:p w14:paraId="44538996">
                  <w:pPr>
                    <w:adjustRightInd w:val="0"/>
                    <w:snapToGrid w:val="0"/>
                    <w:jc w:val="center"/>
                    <w:rPr>
                      <w:color w:val="000000" w:themeColor="text1"/>
                      <w:kern w:val="0"/>
                      <w:szCs w:val="21"/>
                      <w:highlight w:val="none"/>
                      <w14:textFill>
                        <w14:solidFill>
                          <w14:schemeClr w14:val="tx1"/>
                        </w14:solidFill>
                      </w14:textFill>
                    </w:rPr>
                  </w:pPr>
                </w:p>
              </w:tc>
              <w:tc>
                <w:tcPr>
                  <w:tcW w:w="502" w:type="pct"/>
                  <w:vMerge w:val="continue"/>
                  <w:noWrap w:val="0"/>
                  <w:vAlign w:val="center"/>
                </w:tcPr>
                <w:p w14:paraId="294BE24B">
                  <w:pPr>
                    <w:adjustRightInd w:val="0"/>
                    <w:snapToGrid w:val="0"/>
                    <w:jc w:val="center"/>
                    <w:rPr>
                      <w:color w:val="000000" w:themeColor="text1"/>
                      <w:kern w:val="0"/>
                      <w:szCs w:val="21"/>
                      <w:highlight w:val="none"/>
                      <w14:textFill>
                        <w14:solidFill>
                          <w14:schemeClr w14:val="tx1"/>
                        </w14:solidFill>
                      </w14:textFill>
                    </w:rPr>
                  </w:pPr>
                </w:p>
              </w:tc>
            </w:tr>
            <w:tr w14:paraId="4D485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jc w:val="center"/>
              </w:trPr>
              <w:tc>
                <w:tcPr>
                  <w:tcW w:w="338" w:type="pct"/>
                  <w:noWrap w:val="0"/>
                  <w:vAlign w:val="center"/>
                </w:tcPr>
                <w:p w14:paraId="326D8135">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环境</w:t>
                  </w:r>
                </w:p>
                <w:p w14:paraId="2DF078FA">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空气</w:t>
                  </w:r>
                </w:p>
              </w:tc>
              <w:tc>
                <w:tcPr>
                  <w:tcW w:w="330" w:type="pct"/>
                  <w:noWrap w:val="0"/>
                  <w:vAlign w:val="center"/>
                </w:tcPr>
                <w:p w14:paraId="653D8CB3">
                  <w:pPr>
                    <w:adjustRightInd w:val="0"/>
                    <w:snapToGrid w:val="0"/>
                    <w:jc w:val="center"/>
                    <w:rPr>
                      <w:rFonts w:hint="eastAsia"/>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新村</w:t>
                  </w:r>
                </w:p>
              </w:tc>
              <w:tc>
                <w:tcPr>
                  <w:tcW w:w="522" w:type="pct"/>
                  <w:noWrap w:val="0"/>
                  <w:vAlign w:val="center"/>
                </w:tcPr>
                <w:p w14:paraId="16268ECF">
                  <w:pPr>
                    <w:adjustRightInd w:val="0"/>
                    <w:snapToGrid w:val="0"/>
                    <w:jc w:val="center"/>
                    <w:rPr>
                      <w:rFonts w:hint="default" w:ascii="Times New Roman" w:hAnsi="Times New Roman"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108°56′52.833″</w:t>
                  </w:r>
                </w:p>
              </w:tc>
              <w:tc>
                <w:tcPr>
                  <w:tcW w:w="493" w:type="pct"/>
                  <w:noWrap w:val="0"/>
                  <w:vAlign w:val="center"/>
                </w:tcPr>
                <w:p w14:paraId="208C3AE3">
                  <w:pPr>
                    <w:adjustRightInd w:val="0"/>
                    <w:snapToGrid w:val="0"/>
                    <w:jc w:val="center"/>
                    <w:rPr>
                      <w:rFonts w:hint="default" w:ascii="Times New Roman" w:hAnsi="Times New Roman"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34°32′</w:t>
                  </w:r>
                </w:p>
                <w:p w14:paraId="5A9C9510">
                  <w:pPr>
                    <w:adjustRightInd w:val="0"/>
                    <w:snapToGrid w:val="0"/>
                    <w:jc w:val="center"/>
                    <w:rPr>
                      <w:rFonts w:hint="default" w:ascii="Times New Roman" w:hAnsi="Times New Roman"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42.324″</w:t>
                  </w:r>
                </w:p>
              </w:tc>
              <w:tc>
                <w:tcPr>
                  <w:tcW w:w="335" w:type="pct"/>
                  <w:noWrap w:val="0"/>
                  <w:vAlign w:val="center"/>
                </w:tcPr>
                <w:p w14:paraId="0AD64994">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居民</w:t>
                  </w:r>
                </w:p>
              </w:tc>
              <w:tc>
                <w:tcPr>
                  <w:tcW w:w="428" w:type="pct"/>
                  <w:noWrap w:val="0"/>
                  <w:vAlign w:val="center"/>
                </w:tcPr>
                <w:p w14:paraId="3834C665">
                  <w:pPr>
                    <w:adjustRightInd w:val="0"/>
                    <w:snapToGrid w:val="0"/>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162</w:t>
                  </w:r>
                </w:p>
              </w:tc>
              <w:tc>
                <w:tcPr>
                  <w:tcW w:w="1222" w:type="pct"/>
                  <w:noWrap w:val="0"/>
                  <w:vAlign w:val="center"/>
                </w:tcPr>
                <w:p w14:paraId="2B27B47F">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《环境空气质量标准》（GB3095-2012）</w:t>
                  </w:r>
                </w:p>
              </w:tc>
              <w:tc>
                <w:tcPr>
                  <w:tcW w:w="413" w:type="pct"/>
                  <w:noWrap w:val="0"/>
                  <w:vAlign w:val="center"/>
                </w:tcPr>
                <w:p w14:paraId="6314EDDE">
                  <w:pPr>
                    <w:adjustRightInd w:val="0"/>
                    <w:snapToGrid w:val="0"/>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二类</w:t>
                  </w:r>
                </w:p>
              </w:tc>
              <w:tc>
                <w:tcPr>
                  <w:tcW w:w="413" w:type="pct"/>
                  <w:noWrap w:val="0"/>
                  <w:vAlign w:val="center"/>
                </w:tcPr>
                <w:p w14:paraId="2313F166">
                  <w:pPr>
                    <w:adjustRightInd w:val="0"/>
                    <w:snapToGrid w:val="0"/>
                    <w:jc w:val="center"/>
                    <w:rPr>
                      <w:rFonts w:hint="eastAsia"/>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北</w:t>
                  </w:r>
                </w:p>
              </w:tc>
              <w:tc>
                <w:tcPr>
                  <w:tcW w:w="502" w:type="pct"/>
                  <w:noWrap w:val="0"/>
                  <w:vAlign w:val="center"/>
                </w:tcPr>
                <w:p w14:paraId="484F2229">
                  <w:pPr>
                    <w:adjustRightInd w:val="0"/>
                    <w:snapToGrid w:val="0"/>
                    <w:jc w:val="center"/>
                    <w:rPr>
                      <w:rFonts w:hint="default"/>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420</w:t>
                  </w:r>
                </w:p>
              </w:tc>
            </w:tr>
          </w:tbl>
          <w:p w14:paraId="6B47A871">
            <w:pPr>
              <w:pStyle w:val="3"/>
              <w:numPr>
                <w:ilvl w:val="0"/>
                <w:numId w:val="5"/>
              </w:numPr>
              <w:spacing w:line="360" w:lineRule="auto"/>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bookmarkStart w:id="15" w:name="_Toc5228"/>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声环境</w:t>
            </w:r>
            <w:bookmarkEnd w:id="15"/>
          </w:p>
          <w:p w14:paraId="6B6EEB62">
            <w:pPr>
              <w:spacing w:line="360" w:lineRule="auto"/>
              <w:ind w:firstLine="480" w:firstLineChars="200"/>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本项目厂界外50米范围内无声环境保护目标。</w:t>
            </w:r>
          </w:p>
          <w:p w14:paraId="2627265D">
            <w:pPr>
              <w:numPr>
                <w:ilvl w:val="0"/>
                <w:numId w:val="5"/>
              </w:numPr>
              <w:spacing w:line="360" w:lineRule="auto"/>
              <w:ind w:left="0" w:leftChars="0" w:firstLine="0" w:firstLineChars="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地下水环境</w:t>
            </w:r>
          </w:p>
          <w:p w14:paraId="43FFD3B2">
            <w:pPr>
              <w:pStyle w:val="3"/>
              <w:spacing w:line="360" w:lineRule="auto"/>
              <w:ind w:firstLine="480" w:firstLineChars="200"/>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bookmarkStart w:id="16" w:name="_Toc19578"/>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本项目厂界外500米范围内无地下水集中式饮用水水源和热水、矿泉水、温泉等特殊地下水资源。</w:t>
            </w:r>
            <w:bookmarkEnd w:id="16"/>
          </w:p>
          <w:p w14:paraId="1C30BC37">
            <w:pPr>
              <w:pStyle w:val="3"/>
              <w:numPr>
                <w:ilvl w:val="0"/>
                <w:numId w:val="5"/>
              </w:numPr>
              <w:spacing w:line="360" w:lineRule="auto"/>
              <w:ind w:left="0" w:leftChars="0" w:firstLine="0" w:firstLineChars="0"/>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bookmarkStart w:id="17" w:name="_Toc23167"/>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生态环境</w:t>
            </w:r>
            <w:bookmarkEnd w:id="17"/>
          </w:p>
          <w:p w14:paraId="620B3ACA">
            <w:pPr>
              <w:spacing w:line="360" w:lineRule="auto"/>
              <w:ind w:firstLine="480" w:firstLineChars="200"/>
              <w:rPr>
                <w:rFonts w:hint="default"/>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本项目位于</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陕西省西咸新区泾河新城永乐工业园区南北大道陕西国坤时代科技有限公司2号厂房</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根据现场踏勘，项目租用</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现有</w:t>
            </w:r>
            <w:r>
              <w:rPr>
                <w:rFonts w:hint="default" w:ascii="Times New Roman" w:hAnsi="Times New Roman" w:eastAsia="宋体" w:cs="Times New Roman"/>
                <w:color w:val="000000" w:themeColor="text1"/>
                <w:sz w:val="24"/>
                <w:highlight w:val="none"/>
                <w14:textFill>
                  <w14:solidFill>
                    <w14:schemeClr w14:val="tx1"/>
                  </w14:solidFill>
                </w14:textFill>
              </w:rPr>
              <w:t>厂房</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已进行硬化</w: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不新增用地</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用地范围内无生态环境保护目标。</w:t>
            </w:r>
          </w:p>
        </w:tc>
      </w:tr>
      <w:tr w14:paraId="055228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64" w:type="dxa"/>
            <w:noWrap w:val="0"/>
            <w:tcMar>
              <w:left w:w="28" w:type="dxa"/>
              <w:right w:w="28" w:type="dxa"/>
            </w:tcMar>
            <w:vAlign w:val="center"/>
          </w:tcPr>
          <w:p w14:paraId="0111C7F0">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污染</w:t>
            </w:r>
          </w:p>
          <w:p w14:paraId="40EE34C7">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物排</w:t>
            </w:r>
          </w:p>
          <w:p w14:paraId="01B96DA3">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放控</w:t>
            </w:r>
          </w:p>
          <w:p w14:paraId="788A9C4C">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制标</w:t>
            </w:r>
          </w:p>
          <w:p w14:paraId="2CC49A9F">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准</w:t>
            </w:r>
          </w:p>
        </w:tc>
        <w:tc>
          <w:tcPr>
            <w:tcW w:w="8526" w:type="dxa"/>
            <w:noWrap w:val="0"/>
            <w:vAlign w:val="top"/>
          </w:tcPr>
          <w:p w14:paraId="53C0EF5C">
            <w:pPr>
              <w:numPr>
                <w:ilvl w:val="0"/>
                <w:numId w:val="6"/>
              </w:numPr>
              <w:adjustRightInd w:val="0"/>
              <w:snapToGrid w:val="0"/>
              <w:spacing w:line="360" w:lineRule="auto"/>
              <w:jc w:val="both"/>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t>废气</w:t>
            </w:r>
          </w:p>
          <w:p w14:paraId="15D09426">
            <w:pPr>
              <w:pStyle w:val="61"/>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000000" w:themeColor="text1"/>
                <w:sz w:val="24"/>
                <w:szCs w:val="24"/>
                <w:highlight w:val="none"/>
                <w:lang w:bidi="ar"/>
                <w14:textFill>
                  <w14:solidFill>
                    <w14:schemeClr w14:val="tx1"/>
                  </w14:solidFill>
                </w14:textFill>
              </w:rPr>
            </w:pPr>
            <w:bookmarkStart w:id="18" w:name="_Toc32655"/>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项目运营期有组织</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颗粒物</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执行</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《大气污染物综合排放标准》（GB16297-1996）表2中二级排放限值，无组织颗粒物</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执行</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《大气污染物综合排放标准》（GB16297-1996）表2中无组织排放限值</w:t>
            </w:r>
            <w:r>
              <w:rPr>
                <w:rFonts w:hint="default" w:ascii="Times New Roman" w:hAnsi="Times New Roman" w:cs="Times New Roman"/>
                <w:color w:val="000000" w:themeColor="text1"/>
                <w:sz w:val="24"/>
                <w:szCs w:val="24"/>
                <w:highlight w:val="none"/>
                <w:lang w:bidi="ar"/>
                <w14:textFill>
                  <w14:solidFill>
                    <w14:schemeClr w14:val="tx1"/>
                  </w14:solidFill>
                </w14:textFill>
              </w:rPr>
              <w:t>。</w:t>
            </w:r>
            <w:bookmarkEnd w:id="18"/>
          </w:p>
          <w:p w14:paraId="15C72063">
            <w:pPr>
              <w:jc w:val="center"/>
              <w:rPr>
                <w:rFonts w:hint="default" w:ascii="Times New Roman" w:hAnsi="Times New Roman" w:cs="Times New Roman"/>
                <w:b/>
                <w:bCs/>
                <w:color w:val="000000" w:themeColor="text1"/>
                <w:sz w:val="21"/>
                <w:szCs w:val="21"/>
                <w:highlight w:val="none"/>
                <w:lang w:val="en-US" w:eastAsia="zh-CN" w:bidi="ar"/>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bidi="ar"/>
                <w14:textFill>
                  <w14:solidFill>
                    <w14:schemeClr w14:val="tx1"/>
                  </w14:solidFill>
                </w14:textFill>
              </w:rPr>
              <w:t>表3-</w:t>
            </w:r>
            <w:r>
              <w:rPr>
                <w:rFonts w:hint="eastAsia" w:ascii="Times New Roman" w:hAnsi="Times New Roman" w:cs="Times New Roman"/>
                <w:b/>
                <w:bCs/>
                <w:color w:val="000000" w:themeColor="text1"/>
                <w:sz w:val="21"/>
                <w:szCs w:val="21"/>
                <w:highlight w:val="none"/>
                <w:lang w:val="en-US" w:eastAsia="zh-CN" w:bidi="ar"/>
                <w14:textFill>
                  <w14:solidFill>
                    <w14:schemeClr w14:val="tx1"/>
                  </w14:solidFill>
                </w14:textFill>
              </w:rPr>
              <w:t>5</w:t>
            </w:r>
            <w:r>
              <w:rPr>
                <w:rFonts w:hint="default" w:ascii="Times New Roman" w:hAnsi="Times New Roman" w:cs="Times New Roman"/>
                <w:b/>
                <w:bCs/>
                <w:color w:val="000000" w:themeColor="text1"/>
                <w:sz w:val="21"/>
                <w:szCs w:val="21"/>
                <w:highlight w:val="none"/>
                <w:lang w:val="en-US" w:eastAsia="zh-CN" w:bidi="ar"/>
                <w14:textFill>
                  <w14:solidFill>
                    <w14:schemeClr w14:val="tx1"/>
                  </w14:solidFill>
                </w14:textFill>
              </w:rPr>
              <w:t xml:space="preserve"> 废气污染物排放执行标准</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872"/>
              <w:gridCol w:w="1500"/>
              <w:gridCol w:w="1286"/>
              <w:gridCol w:w="1175"/>
              <w:gridCol w:w="2279"/>
            </w:tblGrid>
            <w:tr w14:paraId="313E3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pct"/>
                  <w:noWrap w:val="0"/>
                  <w:vAlign w:val="center"/>
                </w:tcPr>
                <w:p w14:paraId="0F8C72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t>污染源</w:t>
                  </w:r>
                </w:p>
              </w:tc>
              <w:tc>
                <w:tcPr>
                  <w:tcW w:w="525" w:type="pct"/>
                  <w:noWrap w:val="0"/>
                  <w:vAlign w:val="center"/>
                </w:tcPr>
                <w:p w14:paraId="6E6621E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t>污染物</w:t>
                  </w:r>
                </w:p>
              </w:tc>
              <w:tc>
                <w:tcPr>
                  <w:tcW w:w="903" w:type="pct"/>
                  <w:noWrap w:val="0"/>
                  <w:vAlign w:val="top"/>
                </w:tcPr>
                <w:p w14:paraId="17529A4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t>排放浓度限值</w:t>
                  </w:r>
                </w:p>
                <w:p w14:paraId="04FFEF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t>（mg/m</w:t>
                  </w:r>
                  <w:r>
                    <w:rPr>
                      <w:rFonts w:hint="default" w:ascii="Times New Roman" w:hAnsi="Times New Roman" w:eastAsia="宋体" w:cs="Times New Roman"/>
                      <w:b/>
                      <w:bCs/>
                      <w:color w:val="000000" w:themeColor="text1"/>
                      <w:sz w:val="21"/>
                      <w:szCs w:val="21"/>
                      <w:highlight w:val="none"/>
                      <w:u w:val="none"/>
                      <w:vertAlign w:val="superscript"/>
                      <w14:textFill>
                        <w14:solidFill>
                          <w14:schemeClr w14:val="tx1"/>
                        </w14:solidFill>
                      </w14:textFill>
                    </w:rPr>
                    <w:t>3</w:t>
                  </w:r>
                  <w:r>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t>）</w:t>
                  </w:r>
                </w:p>
              </w:tc>
              <w:tc>
                <w:tcPr>
                  <w:tcW w:w="774" w:type="pct"/>
                  <w:noWrap w:val="0"/>
                  <w:vAlign w:val="top"/>
                </w:tcPr>
                <w:p w14:paraId="0541662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t>排气筒高度（m）</w:t>
                  </w:r>
                </w:p>
              </w:tc>
              <w:tc>
                <w:tcPr>
                  <w:tcW w:w="708" w:type="pct"/>
                  <w:noWrap w:val="0"/>
                  <w:vAlign w:val="top"/>
                </w:tcPr>
                <w:p w14:paraId="6CACE3C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t>排放速率</w:t>
                  </w:r>
                </w:p>
                <w:p w14:paraId="4444813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t>（kg/h）</w:t>
                  </w:r>
                </w:p>
              </w:tc>
              <w:tc>
                <w:tcPr>
                  <w:tcW w:w="1373" w:type="pct"/>
                  <w:noWrap w:val="0"/>
                  <w:vAlign w:val="center"/>
                </w:tcPr>
                <w:p w14:paraId="6D5C8C3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t>标准名称</w:t>
                  </w:r>
                </w:p>
              </w:tc>
            </w:tr>
            <w:tr w14:paraId="5E2C3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pct"/>
                  <w:noWrap w:val="0"/>
                  <w:vAlign w:val="center"/>
                </w:tcPr>
                <w:p w14:paraId="4297FF50">
                  <w:pPr>
                    <w:keepNext w:val="0"/>
                    <w:keepLines w:val="0"/>
                    <w:pageBreakBefore w:val="0"/>
                    <w:widowControl/>
                    <w:kinsoku/>
                    <w:wordWrap/>
                    <w:overflowPunct/>
                    <w:topLinePunct w:val="0"/>
                    <w:autoSpaceDE/>
                    <w:autoSpaceDN/>
                    <w:bidi w:val="0"/>
                    <w:adjustRightInd/>
                    <w:snapToGrid/>
                    <w:jc w:val="center"/>
                    <w:textAlignment w:val="auto"/>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上料、破碎和打包</w:t>
                  </w:r>
                </w:p>
                <w:p w14:paraId="28C828AB">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u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工序废气排放口</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（DA001）</w:t>
                  </w:r>
                </w:p>
              </w:tc>
              <w:tc>
                <w:tcPr>
                  <w:tcW w:w="525" w:type="pct"/>
                  <w:noWrap w:val="0"/>
                  <w:vAlign w:val="center"/>
                </w:tcPr>
                <w:p w14:paraId="415E948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颗粒物</w:t>
                  </w:r>
                </w:p>
              </w:tc>
              <w:tc>
                <w:tcPr>
                  <w:tcW w:w="903" w:type="pct"/>
                  <w:noWrap w:val="0"/>
                  <w:vAlign w:val="center"/>
                </w:tcPr>
                <w:p w14:paraId="71F19F0A">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t>120</w:t>
                  </w:r>
                </w:p>
              </w:tc>
              <w:tc>
                <w:tcPr>
                  <w:tcW w:w="774" w:type="pct"/>
                  <w:noWrap w:val="0"/>
                  <w:vAlign w:val="center"/>
                </w:tcPr>
                <w:p w14:paraId="025796D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18</w:t>
                  </w:r>
                </w:p>
              </w:tc>
              <w:tc>
                <w:tcPr>
                  <w:tcW w:w="708" w:type="pct"/>
                  <w:noWrap w:val="0"/>
                  <w:vAlign w:val="center"/>
                </w:tcPr>
                <w:p w14:paraId="0A6D74FE">
                  <w:pPr>
                    <w:keepNext w:val="0"/>
                    <w:keepLines w:val="0"/>
                    <w:pageBreakBefore w:val="0"/>
                    <w:widowControl/>
                    <w:kinsoku/>
                    <w:wordWrap/>
                    <w:overflowPunct/>
                    <w:topLinePunct w:val="0"/>
                    <w:autoSpaceDE/>
                    <w:autoSpaceDN/>
                    <w:bidi w:val="0"/>
                    <w:adjustRightInd/>
                    <w:snapToGrid/>
                    <w:jc w:val="center"/>
                    <w:textAlignment w:val="auto"/>
                    <w:rPr>
                      <w:rFonts w:hint="eastAsia"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4.94</w:t>
                  </w:r>
                </w:p>
                <w:p w14:paraId="408B5B59">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（采用内插法计算）</w:t>
                  </w:r>
                </w:p>
              </w:tc>
              <w:tc>
                <w:tcPr>
                  <w:tcW w:w="1373" w:type="pct"/>
                  <w:noWrap w:val="0"/>
                  <w:vAlign w:val="center"/>
                </w:tcPr>
                <w:p w14:paraId="0424B8AF">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《大气污染物综合</w:t>
                  </w:r>
                </w:p>
                <w:p w14:paraId="37249203">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排放标准》（GB16297-1996）</w:t>
                  </w:r>
                </w:p>
                <w:p w14:paraId="5E099ADC">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表2中排放限值</w:t>
                  </w:r>
                </w:p>
              </w:tc>
            </w:tr>
            <w:tr w14:paraId="5B1E3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4" w:type="pct"/>
                  <w:noWrap w:val="0"/>
                  <w:vAlign w:val="center"/>
                </w:tcPr>
                <w:p w14:paraId="6C4E5623">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u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u w:val="none"/>
                      <w14:textFill>
                        <w14:solidFill>
                          <w14:schemeClr w14:val="tx1"/>
                        </w14:solidFill>
                      </w14:textFill>
                    </w:rPr>
                    <w:t>厂界</w:t>
                  </w:r>
                </w:p>
              </w:tc>
              <w:tc>
                <w:tcPr>
                  <w:tcW w:w="525" w:type="pct"/>
                  <w:noWrap w:val="0"/>
                  <w:vAlign w:val="center"/>
                </w:tcPr>
                <w:p w14:paraId="797AEF1B">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u w:val="none"/>
                      <w:lang w:val="en-US" w:eastAsia="zh-CN"/>
                      <w14:textFill>
                        <w14:solidFill>
                          <w14:schemeClr w14:val="tx1"/>
                        </w14:solidFill>
                      </w14:textFill>
                    </w:rPr>
                    <w:t>颗粒物</w:t>
                  </w:r>
                </w:p>
              </w:tc>
              <w:tc>
                <w:tcPr>
                  <w:tcW w:w="903" w:type="pct"/>
                  <w:noWrap w:val="0"/>
                  <w:vAlign w:val="center"/>
                </w:tcPr>
                <w:p w14:paraId="254C566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u w:val="none"/>
                      <w:lang w:val="en-US" w:eastAsia="zh-CN"/>
                      <w14:textFill>
                        <w14:solidFill>
                          <w14:schemeClr w14:val="tx1"/>
                        </w14:solidFill>
                      </w14:textFill>
                    </w:rPr>
                    <w:t>1.0</w:t>
                  </w:r>
                </w:p>
              </w:tc>
              <w:tc>
                <w:tcPr>
                  <w:tcW w:w="774" w:type="pct"/>
                  <w:noWrap w:val="0"/>
                  <w:vAlign w:val="center"/>
                </w:tcPr>
                <w:p w14:paraId="0C59EB54">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708" w:type="pct"/>
                  <w:noWrap w:val="0"/>
                  <w:vAlign w:val="center"/>
                </w:tcPr>
                <w:p w14:paraId="392C0951">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1373" w:type="pct"/>
                  <w:noWrap w:val="0"/>
                  <w:vAlign w:val="center"/>
                </w:tcPr>
                <w:p w14:paraId="03A5D1F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大气污染物综合</w:t>
                  </w:r>
                </w:p>
                <w:p w14:paraId="44C10FE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排放标准》</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GB16297-1996</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p>
                <w:p w14:paraId="7B275A5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表2中无组织排放限值</w:t>
                  </w:r>
                </w:p>
              </w:tc>
            </w:tr>
          </w:tbl>
          <w:p w14:paraId="55C9122D">
            <w:pPr>
              <w:pStyle w:val="3"/>
              <w:numPr>
                <w:ilvl w:val="0"/>
                <w:numId w:val="6"/>
              </w:numPr>
              <w:spacing w:line="360" w:lineRule="auto"/>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bookmarkStart w:id="19" w:name="_Toc3574"/>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废水</w:t>
            </w:r>
            <w:bookmarkEnd w:id="19"/>
          </w:p>
          <w:p w14:paraId="01DCDAFE">
            <w:pPr>
              <w:spacing w:line="360" w:lineRule="auto"/>
              <w:ind w:firstLine="480" w:firstLineChars="200"/>
              <w:rPr>
                <w:rFonts w:hint="default" w:ascii="Times New Roman" w:hAnsi="Times New Roman" w:eastAsia="宋体" w:cs="Times New Roman"/>
                <w:bCs/>
                <w:snapToGrid w:val="0"/>
                <w:color w:val="000000" w:themeColor="text1"/>
                <w:kern w:val="0"/>
                <w:sz w:val="24"/>
                <w:szCs w:val="24"/>
                <w:highlight w:val="none"/>
                <w:lang w:val="en-GB" w:eastAsia="zh-CN" w:bidi="ar-SA"/>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项目运营期生活污水执行</w:t>
            </w:r>
            <w:r>
              <w:rPr>
                <w:rFonts w:hint="default" w:ascii="Times New Roman" w:hAnsi="Times New Roman" w:eastAsia="宋体" w:cs="Times New Roman"/>
                <w:bCs/>
                <w:snapToGrid w:val="0"/>
                <w:color w:val="000000" w:themeColor="text1"/>
                <w:kern w:val="0"/>
                <w:sz w:val="24"/>
                <w:szCs w:val="24"/>
                <w:highlight w:val="none"/>
                <w:lang w:val="en-US" w:eastAsia="zh-CN" w:bidi="ar-SA"/>
                <w14:textFill>
                  <w14:solidFill>
                    <w14:schemeClr w14:val="tx1"/>
                  </w14:solidFill>
                </w14:textFill>
              </w:rPr>
              <w:t>《污水综合排放标准》（GB8978-1996</w:t>
            </w:r>
            <w:r>
              <w:rPr>
                <w:rFonts w:hint="default" w:ascii="Times New Roman" w:hAnsi="Times New Roman" w:cs="Times New Roman"/>
                <w:bCs/>
                <w:snapToGrid w:val="0"/>
                <w:color w:val="000000" w:themeColor="text1"/>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Cs/>
                <w:snapToGrid w:val="0"/>
                <w:color w:val="000000" w:themeColor="text1"/>
                <w:kern w:val="0"/>
                <w:sz w:val="24"/>
                <w:szCs w:val="24"/>
                <w:highlight w:val="none"/>
                <w:lang w:val="en-US" w:eastAsia="zh-CN" w:bidi="ar-SA"/>
                <w14:textFill>
                  <w14:solidFill>
                    <w14:schemeClr w14:val="tx1"/>
                  </w14:solidFill>
                </w14:textFill>
              </w:rPr>
              <w:t>表4三级标准</w:t>
            </w:r>
            <w:r>
              <w:rPr>
                <w:rFonts w:hint="default" w:ascii="Times New Roman" w:hAnsi="Times New Roman" w:eastAsia="宋体" w:cs="Times New Roman"/>
                <w:bCs/>
                <w:snapToGrid w:val="0"/>
                <w:color w:val="000000" w:themeColor="text1"/>
                <w:kern w:val="0"/>
                <w:sz w:val="24"/>
                <w:szCs w:val="24"/>
                <w:highlight w:val="none"/>
                <w:lang w:val="en-GB" w:eastAsia="zh-CN" w:bidi="ar-SA"/>
                <w14:textFill>
                  <w14:solidFill>
                    <w14:schemeClr w14:val="tx1"/>
                  </w14:solidFill>
                </w14:textFill>
              </w:rPr>
              <w:t>及《污水排入城镇下水道水质标准》（GB/T31962-2015</w:t>
            </w:r>
            <w:r>
              <w:rPr>
                <w:rFonts w:hint="default" w:ascii="Times New Roman" w:hAnsi="Times New Roman" w:cs="Times New Roman"/>
                <w:bCs/>
                <w:snapToGrid w:val="0"/>
                <w:color w:val="000000" w:themeColor="text1"/>
                <w:kern w:val="0"/>
                <w:sz w:val="24"/>
                <w:szCs w:val="24"/>
                <w:highlight w:val="none"/>
                <w:lang w:val="en-GB" w:eastAsia="zh-CN" w:bidi="ar-SA"/>
                <w14:textFill>
                  <w14:solidFill>
                    <w14:schemeClr w14:val="tx1"/>
                  </w14:solidFill>
                </w14:textFill>
              </w:rPr>
              <w:t>）</w:t>
            </w:r>
            <w:r>
              <w:rPr>
                <w:rFonts w:hint="default" w:ascii="Times New Roman" w:hAnsi="Times New Roman" w:eastAsia="宋体" w:cs="Times New Roman"/>
                <w:bCs/>
                <w:snapToGrid w:val="0"/>
                <w:color w:val="000000" w:themeColor="text1"/>
                <w:kern w:val="0"/>
                <w:sz w:val="24"/>
                <w:szCs w:val="24"/>
                <w:highlight w:val="none"/>
                <w:lang w:val="en-US" w:eastAsia="zh-CN" w:bidi="ar-SA"/>
                <w14:textFill>
                  <w14:solidFill>
                    <w14:schemeClr w14:val="tx1"/>
                  </w14:solidFill>
                </w14:textFill>
              </w:rPr>
              <w:t>表1中B</w:t>
            </w:r>
            <w:r>
              <w:rPr>
                <w:rFonts w:hint="default" w:ascii="Times New Roman" w:hAnsi="Times New Roman" w:eastAsia="宋体" w:cs="Times New Roman"/>
                <w:bCs/>
                <w:snapToGrid w:val="0"/>
                <w:color w:val="000000" w:themeColor="text1"/>
                <w:kern w:val="0"/>
                <w:sz w:val="24"/>
                <w:szCs w:val="24"/>
                <w:highlight w:val="none"/>
                <w:lang w:val="en-GB" w:eastAsia="zh-CN" w:bidi="ar-SA"/>
                <w14:textFill>
                  <w14:solidFill>
                    <w14:schemeClr w14:val="tx1"/>
                  </w14:solidFill>
                </w14:textFill>
              </w:rPr>
              <w:t>级</w:t>
            </w:r>
            <w:r>
              <w:rPr>
                <w:rFonts w:hint="default" w:ascii="Times New Roman" w:hAnsi="Times New Roman" w:eastAsia="宋体" w:cs="Times New Roman"/>
                <w:bCs/>
                <w:snapToGrid w:val="0"/>
                <w:color w:val="000000" w:themeColor="text1"/>
                <w:kern w:val="0"/>
                <w:sz w:val="24"/>
                <w:szCs w:val="24"/>
                <w:highlight w:val="none"/>
                <w:lang w:val="en-US" w:eastAsia="zh-CN" w:bidi="ar-SA"/>
                <w14:textFill>
                  <w14:solidFill>
                    <w14:schemeClr w14:val="tx1"/>
                  </w14:solidFill>
                </w14:textFill>
              </w:rPr>
              <w:t>标准限值要求</w:t>
            </w:r>
            <w:r>
              <w:rPr>
                <w:rFonts w:hint="default" w:ascii="Times New Roman" w:hAnsi="Times New Roman" w:eastAsia="宋体" w:cs="Times New Roman"/>
                <w:bCs/>
                <w:snapToGrid w:val="0"/>
                <w:color w:val="000000" w:themeColor="text1"/>
                <w:kern w:val="0"/>
                <w:sz w:val="24"/>
                <w:szCs w:val="24"/>
                <w:highlight w:val="none"/>
                <w:lang w:val="en-GB" w:eastAsia="zh-CN" w:bidi="ar-SA"/>
                <w14:textFill>
                  <w14:solidFill>
                    <w14:schemeClr w14:val="tx1"/>
                  </w14:solidFill>
                </w14:textFill>
              </w:rPr>
              <w:t>。</w:t>
            </w:r>
          </w:p>
          <w:p w14:paraId="2F3B74FC">
            <w:pPr>
              <w:spacing w:line="240" w:lineRule="auto"/>
              <w:jc w:val="center"/>
              <w:rPr>
                <w:rFonts w:hint="default" w:ascii="Times New Roman" w:hAnsi="Times New Roman" w:eastAsia="宋体" w:cs="Times New Roman"/>
                <w:b/>
                <w:bCs w:val="0"/>
                <w:snapToGrid w:val="0"/>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
                <w:bCs w:val="0"/>
                <w:snapToGrid w:val="0"/>
                <w:color w:val="000000" w:themeColor="text1"/>
                <w:kern w:val="0"/>
                <w:sz w:val="21"/>
                <w:szCs w:val="21"/>
                <w:highlight w:val="none"/>
                <w:lang w:val="en-US" w:eastAsia="zh-CN" w:bidi="ar-SA"/>
                <w14:textFill>
                  <w14:solidFill>
                    <w14:schemeClr w14:val="tx1"/>
                  </w14:solidFill>
                </w14:textFill>
              </w:rPr>
              <w:t>表3-</w:t>
            </w:r>
            <w:r>
              <w:rPr>
                <w:rFonts w:hint="eastAsia" w:ascii="Times New Roman" w:hAnsi="Times New Roman" w:eastAsia="宋体" w:cs="Times New Roman"/>
                <w:b/>
                <w:bCs w:val="0"/>
                <w:snapToGrid w:val="0"/>
                <w:color w:val="000000" w:themeColor="text1"/>
                <w:kern w:val="0"/>
                <w:sz w:val="21"/>
                <w:szCs w:val="21"/>
                <w:highlight w:val="none"/>
                <w:lang w:val="en-US" w:eastAsia="zh-CN" w:bidi="ar-SA"/>
                <w14:textFill>
                  <w14:solidFill>
                    <w14:schemeClr w14:val="tx1"/>
                  </w14:solidFill>
                </w14:textFill>
              </w:rPr>
              <w:t>6</w:t>
            </w:r>
            <w:r>
              <w:rPr>
                <w:rFonts w:hint="default" w:ascii="Times New Roman" w:hAnsi="Times New Roman" w:eastAsia="宋体" w:cs="Times New Roman"/>
                <w:b/>
                <w:bCs w:val="0"/>
                <w:snapToGrid w:val="0"/>
                <w:color w:val="000000" w:themeColor="text1"/>
                <w:kern w:val="0"/>
                <w:sz w:val="21"/>
                <w:szCs w:val="21"/>
                <w:highlight w:val="none"/>
                <w:lang w:val="en-US" w:eastAsia="zh-CN" w:bidi="ar-SA"/>
                <w14:textFill>
                  <w14:solidFill>
                    <w14:schemeClr w14:val="tx1"/>
                  </w14:solidFill>
                </w14:textFill>
              </w:rPr>
              <w:t xml:space="preserve"> 废水污染物排放执行标准</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1847"/>
              <w:gridCol w:w="1690"/>
              <w:gridCol w:w="3660"/>
            </w:tblGrid>
            <w:tr w14:paraId="3D3FE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noWrap w:val="0"/>
                  <w:vAlign w:val="center"/>
                </w:tcPr>
                <w:p w14:paraId="103D40A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lang w:val="en-US" w:eastAsia="zh-CN"/>
                      <w14:textFill>
                        <w14:solidFill>
                          <w14:schemeClr w14:val="tx1"/>
                        </w14:solidFill>
                      </w14:textFill>
                    </w:rPr>
                    <w:t>污染源</w:t>
                  </w:r>
                </w:p>
              </w:tc>
              <w:tc>
                <w:tcPr>
                  <w:tcW w:w="1112" w:type="pct"/>
                  <w:noWrap w:val="0"/>
                  <w:vAlign w:val="center"/>
                </w:tcPr>
                <w:p w14:paraId="6DB1C86F">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lang w:val="en-US" w:eastAsia="zh-CN"/>
                      <w14:textFill>
                        <w14:solidFill>
                          <w14:schemeClr w14:val="tx1"/>
                        </w14:solidFill>
                      </w14:textFill>
                    </w:rPr>
                    <w:t>污染物</w:t>
                  </w:r>
                </w:p>
              </w:tc>
              <w:tc>
                <w:tcPr>
                  <w:tcW w:w="1018" w:type="pct"/>
                  <w:noWrap w:val="0"/>
                  <w:vAlign w:val="center"/>
                </w:tcPr>
                <w:p w14:paraId="74D7DD3F">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lang w:val="en-US" w:eastAsia="zh-CN"/>
                      <w14:textFill>
                        <w14:solidFill>
                          <w14:schemeClr w14:val="tx1"/>
                        </w14:solidFill>
                      </w14:textFill>
                    </w:rPr>
                    <w:t>标准限值（mg/L）</w:t>
                  </w:r>
                </w:p>
              </w:tc>
              <w:tc>
                <w:tcPr>
                  <w:tcW w:w="2204" w:type="pct"/>
                  <w:noWrap w:val="0"/>
                  <w:vAlign w:val="center"/>
                </w:tcPr>
                <w:p w14:paraId="04AD2E12">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u w:val="none"/>
                      <w14:textFill>
                        <w14:solidFill>
                          <w14:schemeClr w14:val="tx1"/>
                        </w14:solidFill>
                      </w14:textFill>
                    </w:rPr>
                    <w:t>标准名称</w:t>
                  </w:r>
                </w:p>
              </w:tc>
            </w:tr>
            <w:tr w14:paraId="66466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restart"/>
                  <w:noWrap w:val="0"/>
                  <w:vAlign w:val="center"/>
                </w:tcPr>
                <w:p w14:paraId="36D9FBBE">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u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生活污水</w:t>
                  </w:r>
                </w:p>
              </w:tc>
              <w:tc>
                <w:tcPr>
                  <w:tcW w:w="1112" w:type="pct"/>
                  <w:noWrap w:val="0"/>
                  <w:vAlign w:val="center"/>
                </w:tcPr>
                <w:p w14:paraId="433E1980">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PH</w:t>
                  </w:r>
                </w:p>
              </w:tc>
              <w:tc>
                <w:tcPr>
                  <w:tcW w:w="1018" w:type="pct"/>
                  <w:noWrap w:val="0"/>
                  <w:vAlign w:val="center"/>
                </w:tcPr>
                <w:p w14:paraId="68575020">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t>6-9</w:t>
                  </w:r>
                  <w:r>
                    <w:rPr>
                      <w:rFonts w:hint="eastAsia"/>
                      <w:lang w:eastAsia="zh-CN"/>
                    </w:rPr>
                    <w:t>（</w:t>
                  </w:r>
                  <w:r>
                    <w:rPr>
                      <w:rFonts w:hint="eastAsia"/>
                      <w:lang w:val="en-US" w:eastAsia="zh-CN"/>
                    </w:rPr>
                    <w:t>无量纲</w:t>
                  </w:r>
                  <w:r>
                    <w:rPr>
                      <w:rFonts w:hint="eastAsia"/>
                      <w:lang w:eastAsia="zh-CN"/>
                    </w:rPr>
                    <w:t>）</w:t>
                  </w:r>
                </w:p>
              </w:tc>
              <w:tc>
                <w:tcPr>
                  <w:tcW w:w="2204" w:type="pct"/>
                  <w:vMerge w:val="restart"/>
                  <w:noWrap w:val="0"/>
                  <w:vAlign w:val="center"/>
                </w:tcPr>
                <w:p w14:paraId="0DF010E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《污水综合排放标准》</w:t>
                  </w:r>
                </w:p>
                <w:p w14:paraId="3FE441FB">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（GB8978-1996）</w:t>
                  </w:r>
                  <w:r>
                    <w:rPr>
                      <w:rFonts w:hint="default" w:ascii="Times New Roman" w:hAnsi="Times New Roman" w:cs="Times New Roman"/>
                      <w:color w:val="000000" w:themeColor="text1"/>
                      <w:szCs w:val="21"/>
                      <w:highlight w:val="none"/>
                      <w:lang w:val="en-US" w:eastAsia="zh-CN"/>
                      <w14:textFill>
                        <w14:solidFill>
                          <w14:schemeClr w14:val="tx1"/>
                        </w14:solidFill>
                      </w14:textFill>
                    </w:rPr>
                    <w:t>表4中</w:t>
                  </w:r>
                  <w:r>
                    <w:rPr>
                      <w:rFonts w:hint="default" w:ascii="Times New Roman" w:hAnsi="Times New Roman" w:cs="Times New Roman"/>
                      <w:color w:val="000000" w:themeColor="text1"/>
                      <w:szCs w:val="21"/>
                      <w:highlight w:val="none"/>
                      <w14:textFill>
                        <w14:solidFill>
                          <w14:schemeClr w14:val="tx1"/>
                        </w14:solidFill>
                      </w14:textFill>
                    </w:rPr>
                    <w:t>三级标准</w:t>
                  </w:r>
                </w:p>
              </w:tc>
            </w:tr>
            <w:tr w14:paraId="71BFD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1101E1C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u w:val="none"/>
                      <w14:textFill>
                        <w14:solidFill>
                          <w14:schemeClr w14:val="tx1"/>
                        </w14:solidFill>
                      </w14:textFill>
                    </w:rPr>
                  </w:pPr>
                </w:p>
              </w:tc>
              <w:tc>
                <w:tcPr>
                  <w:tcW w:w="1112" w:type="pct"/>
                  <w:noWrap w:val="0"/>
                  <w:vAlign w:val="center"/>
                </w:tcPr>
                <w:p w14:paraId="5E6DEFDC">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化学需氧量</w:t>
                  </w:r>
                </w:p>
              </w:tc>
              <w:tc>
                <w:tcPr>
                  <w:tcW w:w="1018" w:type="pct"/>
                  <w:noWrap w:val="0"/>
                  <w:vAlign w:val="center"/>
                </w:tcPr>
                <w:p w14:paraId="4B364586">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t>500</w:t>
                  </w:r>
                </w:p>
              </w:tc>
              <w:tc>
                <w:tcPr>
                  <w:tcW w:w="2204" w:type="pct"/>
                  <w:vMerge w:val="continue"/>
                  <w:noWrap w:val="0"/>
                  <w:vAlign w:val="center"/>
                </w:tcPr>
                <w:p w14:paraId="37B63FA1">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771FE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73414711">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112" w:type="pct"/>
                  <w:noWrap w:val="0"/>
                  <w:vAlign w:val="center"/>
                </w:tcPr>
                <w:p w14:paraId="7F71881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五日生化需氧量</w:t>
                  </w:r>
                </w:p>
              </w:tc>
              <w:tc>
                <w:tcPr>
                  <w:tcW w:w="1018" w:type="pct"/>
                  <w:noWrap w:val="0"/>
                  <w:vAlign w:val="center"/>
                </w:tcPr>
                <w:p w14:paraId="66BE955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t>300</w:t>
                  </w:r>
                </w:p>
              </w:tc>
              <w:tc>
                <w:tcPr>
                  <w:tcW w:w="2204" w:type="pct"/>
                  <w:vMerge w:val="continue"/>
                  <w:noWrap w:val="0"/>
                  <w:vAlign w:val="center"/>
                </w:tcPr>
                <w:p w14:paraId="61881C38">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7731C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3256453F">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112" w:type="pct"/>
                  <w:noWrap w:val="0"/>
                  <w:vAlign w:val="center"/>
                </w:tcPr>
                <w:p w14:paraId="45A04162">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悬浮物</w:t>
                  </w:r>
                </w:p>
              </w:tc>
              <w:tc>
                <w:tcPr>
                  <w:tcW w:w="1018" w:type="pct"/>
                  <w:noWrap w:val="0"/>
                  <w:vAlign w:val="center"/>
                </w:tcPr>
                <w:p w14:paraId="0337DCA9">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t>400</w:t>
                  </w:r>
                </w:p>
              </w:tc>
              <w:tc>
                <w:tcPr>
                  <w:tcW w:w="2204" w:type="pct"/>
                  <w:vMerge w:val="continue"/>
                  <w:noWrap w:val="0"/>
                  <w:vAlign w:val="center"/>
                </w:tcPr>
                <w:p w14:paraId="5979DB52">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4177A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4" w:type="pct"/>
                  <w:vMerge w:val="continue"/>
                  <w:noWrap w:val="0"/>
                  <w:vAlign w:val="center"/>
                </w:tcPr>
                <w:p w14:paraId="0DF7EA5D">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112" w:type="pct"/>
                  <w:noWrap w:val="0"/>
                  <w:vAlign w:val="center"/>
                </w:tcPr>
                <w:p w14:paraId="373E1484">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氨氮</w:t>
                  </w:r>
                </w:p>
              </w:tc>
              <w:tc>
                <w:tcPr>
                  <w:tcW w:w="1018" w:type="pct"/>
                  <w:noWrap w:val="0"/>
                  <w:vAlign w:val="center"/>
                </w:tcPr>
                <w:p w14:paraId="56118C86">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t>45</w:t>
                  </w:r>
                </w:p>
              </w:tc>
              <w:tc>
                <w:tcPr>
                  <w:tcW w:w="2204" w:type="pct"/>
                  <w:noWrap w:val="0"/>
                  <w:vAlign w:val="center"/>
                </w:tcPr>
                <w:p w14:paraId="34692491">
                  <w:pPr>
                    <w:wordWrap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《污水排入城镇下水道水质标准》</w:t>
                  </w:r>
                </w:p>
                <w:p w14:paraId="4860CCC7">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（GB/T31962-2015）表1</w:t>
                  </w:r>
                  <w:r>
                    <w:rPr>
                      <w:rFonts w:hint="default" w:ascii="Times New Roman" w:hAnsi="Times New Roman" w:cs="Times New Roman"/>
                      <w:color w:val="000000" w:themeColor="text1"/>
                      <w:highlight w:val="none"/>
                      <w:lang w:eastAsia="zh-CN"/>
                      <w14:textFill>
                        <w14:solidFill>
                          <w14:schemeClr w14:val="tx1"/>
                        </w14:solidFill>
                      </w14:textFill>
                    </w:rPr>
                    <w:t>中</w:t>
                  </w:r>
                  <w:r>
                    <w:rPr>
                      <w:rFonts w:hint="default" w:ascii="Times New Roman" w:hAnsi="Times New Roman" w:cs="Times New Roman"/>
                      <w:color w:val="000000" w:themeColor="text1"/>
                      <w:highlight w:val="none"/>
                      <w:lang w:val="en-US" w:eastAsia="zh-CN"/>
                      <w14:textFill>
                        <w14:solidFill>
                          <w14:schemeClr w14:val="tx1"/>
                        </w14:solidFill>
                      </w14:textFill>
                    </w:rPr>
                    <w:t>B级</w:t>
                  </w:r>
                  <w:r>
                    <w:rPr>
                      <w:rFonts w:hint="default" w:ascii="Times New Roman" w:hAnsi="Times New Roman" w:cs="Times New Roman"/>
                      <w:color w:val="000000" w:themeColor="text1"/>
                      <w:highlight w:val="none"/>
                      <w14:textFill>
                        <w14:solidFill>
                          <w14:schemeClr w14:val="tx1"/>
                        </w14:solidFill>
                      </w14:textFill>
                    </w:rPr>
                    <w:t>标准</w:t>
                  </w:r>
                </w:p>
              </w:tc>
            </w:tr>
          </w:tbl>
          <w:p w14:paraId="13B142B9">
            <w:pPr>
              <w:numPr>
                <w:ilvl w:val="0"/>
                <w:numId w:val="6"/>
              </w:numPr>
              <w:spacing w:line="360" w:lineRule="auto"/>
              <w:ind w:left="0" w:leftChars="0" w:firstLine="0" w:firstLineChars="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噪声</w:t>
            </w:r>
          </w:p>
          <w:p w14:paraId="05CEA724">
            <w:pPr>
              <w:pStyle w:val="3"/>
              <w:keepNext/>
              <w:keepLines w:val="0"/>
              <w:pageBreakBefore w:val="0"/>
              <w:widowControl w:val="0"/>
              <w:kinsoku/>
              <w:wordWrap w:val="0"/>
              <w:overflowPunct w:val="0"/>
              <w:topLinePunct w:val="0"/>
              <w:autoSpaceDE/>
              <w:autoSpaceDN/>
              <w:bidi w:val="0"/>
              <w:adjustRightInd/>
              <w:snapToGrid w:val="0"/>
              <w:spacing w:line="360" w:lineRule="auto"/>
              <w:ind w:firstLine="480" w:firstLineChars="200"/>
              <w:textAlignment w:val="auto"/>
              <w:rPr>
                <w:rFonts w:hint="default" w:ascii="Times New Roman" w:hAnsi="Times New Roman" w:cs="Times New Roman"/>
                <w:color w:val="000000" w:themeColor="text1"/>
                <w:sz w:val="24"/>
                <w:highlight w:val="none"/>
                <w14:textFill>
                  <w14:solidFill>
                    <w14:schemeClr w14:val="tx1"/>
                  </w14:solidFill>
                </w14:textFill>
              </w:rPr>
            </w:pPr>
            <w:bookmarkStart w:id="20" w:name="_Toc26925"/>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项目施工期噪声执行</w:t>
            </w:r>
            <w:r>
              <w:rPr>
                <w:rFonts w:hint="default" w:ascii="Times New Roman" w:hAnsi="Times New Roman" w:cs="Times New Roman"/>
                <w:color w:val="000000" w:themeColor="text1"/>
                <w:sz w:val="24"/>
                <w:highlight w:val="none"/>
                <w14:textFill>
                  <w14:solidFill>
                    <w14:schemeClr w14:val="tx1"/>
                  </w14:solidFill>
                </w14:textFill>
              </w:rPr>
              <w:t>《建筑施工场界环境噪声排放标准》（GB12523-2011）中相关要求；</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运营期噪声执行</w:t>
            </w:r>
            <w:r>
              <w:rPr>
                <w:rFonts w:hint="default" w:ascii="Times New Roman" w:hAnsi="Times New Roman" w:cs="Times New Roman"/>
                <w:color w:val="000000" w:themeColor="text1"/>
                <w:sz w:val="24"/>
                <w:highlight w:val="none"/>
                <w14:textFill>
                  <w14:solidFill>
                    <w14:schemeClr w14:val="tx1"/>
                  </w14:solidFill>
                </w14:textFill>
              </w:rPr>
              <w:t>《工业企业厂界环境噪声排放标准》（GB12348-2008）</w:t>
            </w:r>
            <w:r>
              <w:rPr>
                <w:rFonts w:hint="default" w:ascii="Times New Roman" w:hAnsi="Times New Roman"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类标准。</w:t>
            </w:r>
            <w:bookmarkEnd w:id="20"/>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根据《西咸新区声环境功能区划方案》</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项目地属声环境3类区（永乐店站片区-西界原点东路</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北界原点大道</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东界延西高速</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南界高泾大道）。</w:t>
            </w:r>
          </w:p>
          <w:p w14:paraId="4263439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表3-</w:t>
            </w:r>
            <w:r>
              <w:rPr>
                <w:rFonts w:hint="eastAsia" w:ascii="Times New Roman" w:hAnsi="Times New Roman" w:cs="Times New Roman"/>
                <w:b/>
                <w:bCs/>
                <w:color w:val="000000" w:themeColor="text1"/>
                <w:sz w:val="21"/>
                <w:szCs w:val="21"/>
                <w:highlight w:val="none"/>
                <w:lang w:val="en-US" w:eastAsia="zh-CN"/>
                <w14:textFill>
                  <w14:solidFill>
                    <w14:schemeClr w14:val="tx1"/>
                  </w14:solidFill>
                </w14:textFill>
              </w:rPr>
              <w:t>7</w:t>
            </w: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 xml:space="preserve"> 噪声排放执行标准</w:t>
            </w:r>
          </w:p>
          <w:tbl>
            <w:tblPr>
              <w:tblStyle w:val="26"/>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9"/>
              <w:gridCol w:w="1650"/>
              <w:gridCol w:w="2030"/>
            </w:tblGrid>
            <w:tr w14:paraId="2877A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vMerge w:val="restart"/>
                  <w:noWrap w:val="0"/>
                  <w:vAlign w:val="center"/>
                </w:tcPr>
                <w:p w14:paraId="46EBC0AB">
                  <w:pPr>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cs="Times New Roman"/>
                      <w:b/>
                      <w:color w:val="000000" w:themeColor="text1"/>
                      <w:szCs w:val="21"/>
                      <w:highlight w:val="none"/>
                      <w:lang w:val="en-US" w:eastAsia="zh-CN"/>
                      <w14:textFill>
                        <w14:solidFill>
                          <w14:schemeClr w14:val="tx1"/>
                        </w14:solidFill>
                      </w14:textFill>
                    </w:rPr>
                    <w:t>执行标准</w:t>
                  </w:r>
                </w:p>
              </w:tc>
              <w:tc>
                <w:tcPr>
                  <w:tcW w:w="2190" w:type="pct"/>
                  <w:gridSpan w:val="2"/>
                  <w:noWrap w:val="0"/>
                  <w:vAlign w:val="center"/>
                </w:tcPr>
                <w:p w14:paraId="00D242B3">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噪声限值dB(A)</w:t>
                  </w:r>
                </w:p>
              </w:tc>
            </w:tr>
            <w:tr w14:paraId="579B9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vMerge w:val="continue"/>
                  <w:noWrap w:val="0"/>
                  <w:vAlign w:val="center"/>
                </w:tcPr>
                <w:p w14:paraId="4DEB7999">
                  <w:pPr>
                    <w:jc w:val="center"/>
                    <w:rPr>
                      <w:rFonts w:hint="default" w:ascii="Times New Roman" w:hAnsi="Times New Roman" w:cs="Times New Roman"/>
                      <w:b/>
                      <w:color w:val="000000" w:themeColor="text1"/>
                      <w:szCs w:val="21"/>
                      <w:highlight w:val="none"/>
                      <w:lang w:val="en-US" w:eastAsia="zh-CN"/>
                      <w14:textFill>
                        <w14:solidFill>
                          <w14:schemeClr w14:val="tx1"/>
                        </w14:solidFill>
                      </w14:textFill>
                    </w:rPr>
                  </w:pPr>
                </w:p>
              </w:tc>
              <w:tc>
                <w:tcPr>
                  <w:tcW w:w="982" w:type="pct"/>
                  <w:noWrap w:val="0"/>
                  <w:vAlign w:val="center"/>
                </w:tcPr>
                <w:p w14:paraId="6EFD04BC">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昼间</w:t>
                  </w:r>
                </w:p>
              </w:tc>
              <w:tc>
                <w:tcPr>
                  <w:tcW w:w="1208" w:type="pct"/>
                  <w:noWrap w:val="0"/>
                  <w:vAlign w:val="center"/>
                </w:tcPr>
                <w:p w14:paraId="566F2396">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夜间</w:t>
                  </w:r>
                </w:p>
              </w:tc>
            </w:tr>
            <w:tr w14:paraId="7D2D7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noWrap w:val="0"/>
                  <w:vAlign w:val="center"/>
                </w:tcPr>
                <w:p w14:paraId="089DDA72">
                  <w:pPr>
                    <w:wordWrap w:val="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《建筑施工场界环境噪声排放标准》</w:t>
                  </w:r>
                </w:p>
                <w:p w14:paraId="4D4CE81E">
                  <w:pPr>
                    <w:wordWrap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(GB12523-2011)</w:t>
                  </w:r>
                </w:p>
              </w:tc>
              <w:tc>
                <w:tcPr>
                  <w:tcW w:w="982" w:type="pct"/>
                  <w:noWrap w:val="0"/>
                  <w:vAlign w:val="center"/>
                </w:tcPr>
                <w:p w14:paraId="5EE200E1">
                  <w:pPr>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70</w:t>
                  </w:r>
                </w:p>
              </w:tc>
              <w:tc>
                <w:tcPr>
                  <w:tcW w:w="1208" w:type="pct"/>
                  <w:noWrap w:val="0"/>
                  <w:vAlign w:val="center"/>
                </w:tcPr>
                <w:p w14:paraId="4E2A6251">
                  <w:pPr>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55</w:t>
                  </w:r>
                </w:p>
              </w:tc>
            </w:tr>
            <w:tr w14:paraId="09ADD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09" w:type="pct"/>
                  <w:noWrap w:val="0"/>
                  <w:vAlign w:val="center"/>
                </w:tcPr>
                <w:p w14:paraId="75EF900F">
                  <w:pPr>
                    <w:wordWrap w:val="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《工业企业厂界环境噪声排放标准》</w:t>
                  </w:r>
                </w:p>
                <w:p w14:paraId="37F40A5D">
                  <w:pPr>
                    <w:wordWrap w:val="0"/>
                    <w:jc w:val="center"/>
                    <w:rPr>
                      <w:rFonts w:hint="default" w:ascii="Times New Roman" w:hAnsi="Times New Roman" w:eastAsia="宋体" w:cs="Times New Roman"/>
                      <w:color w:val="000000" w:themeColor="text1"/>
                      <w:szCs w:val="21"/>
                      <w:highlight w:val="none"/>
                      <w:lang w:val="en-US"/>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（GB12348-2008）</w:t>
                  </w:r>
                  <w:r>
                    <w:rPr>
                      <w:rFonts w:hint="default" w:ascii="Times New Roman" w:hAnsi="Times New Roman" w:eastAsia="宋体" w:cs="Times New Roman"/>
                      <w:color w:val="000000" w:themeColor="text1"/>
                      <w:highlight w:val="none"/>
                      <w:lang w:val="en-US" w:eastAsia="zh-CN"/>
                      <w14:textFill>
                        <w14:solidFill>
                          <w14:schemeClr w14:val="tx1"/>
                        </w14:solidFill>
                      </w14:textFill>
                    </w:rPr>
                    <w:t>3类标准</w:t>
                  </w:r>
                </w:p>
              </w:tc>
              <w:tc>
                <w:tcPr>
                  <w:tcW w:w="982" w:type="pct"/>
                  <w:noWrap w:val="0"/>
                  <w:vAlign w:val="center"/>
                </w:tcPr>
                <w:p w14:paraId="71E03E2F">
                  <w:pPr>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65</w:t>
                  </w:r>
                </w:p>
              </w:tc>
              <w:tc>
                <w:tcPr>
                  <w:tcW w:w="1208" w:type="pct"/>
                  <w:noWrap w:val="0"/>
                  <w:vAlign w:val="center"/>
                </w:tcPr>
                <w:p w14:paraId="19C4313F">
                  <w:pPr>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55</w:t>
                  </w:r>
                </w:p>
              </w:tc>
            </w:tr>
          </w:tbl>
          <w:p w14:paraId="04489E34">
            <w:pPr>
              <w:pStyle w:val="3"/>
              <w:numPr>
                <w:ilvl w:val="0"/>
                <w:numId w:val="6"/>
              </w:numPr>
              <w:spacing w:line="360" w:lineRule="auto"/>
              <w:ind w:left="0" w:leftChars="0" w:firstLine="0" w:firstLineChars="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bookmarkStart w:id="21" w:name="_Toc1711"/>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固废</w:t>
            </w:r>
            <w:bookmarkEnd w:id="21"/>
          </w:p>
          <w:p w14:paraId="566ED985">
            <w:pPr>
              <w:keepNext w:val="0"/>
              <w:keepLines w:val="0"/>
              <w:pageBreakBefore w:val="0"/>
              <w:widowControl w:val="0"/>
              <w:kinsoku/>
              <w:wordWrap w:val="0"/>
              <w:overflowPunct w:val="0"/>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一般固体废物</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参照</w:t>
            </w:r>
            <w:r>
              <w:rPr>
                <w:rFonts w:hint="default" w:ascii="Times New Roman" w:hAnsi="Times New Roman" w:cs="Times New Roman"/>
                <w:color w:val="000000" w:themeColor="text1"/>
                <w:sz w:val="24"/>
                <w:szCs w:val="24"/>
                <w:highlight w:val="none"/>
                <w14:textFill>
                  <w14:solidFill>
                    <w14:schemeClr w14:val="tx1"/>
                  </w14:solidFill>
                </w14:textFill>
              </w:rPr>
              <w:t>《一般工业固体废物贮存和填埋污染控制标准》（GB18599-2020）；危险废物执行《危险废物贮存污染控制标准》（</w:t>
            </w:r>
            <w:r>
              <w:rPr>
                <w:rFonts w:hint="default" w:ascii="Times New Roman" w:hAnsi="Times New Roman" w:cs="Times New Roman"/>
                <w:color w:val="000000" w:themeColor="text1"/>
                <w:sz w:val="24"/>
                <w:szCs w:val="24"/>
                <w:highlight w:val="none"/>
                <w:lang w:eastAsia="zh-CN"/>
                <w14:textFill>
                  <w14:solidFill>
                    <w14:schemeClr w14:val="tx1"/>
                  </w14:solidFill>
                </w14:textFill>
              </w:rPr>
              <w:t>GB18597-2023</w:t>
            </w:r>
            <w:r>
              <w:rPr>
                <w:rFonts w:hint="default" w:ascii="Times New Roman" w:hAnsi="Times New Roman" w:cs="Times New Roman"/>
                <w:color w:val="000000" w:themeColor="text1"/>
                <w:sz w:val="24"/>
                <w:szCs w:val="24"/>
                <w:highlight w:val="none"/>
                <w14:textFill>
                  <w14:solidFill>
                    <w14:schemeClr w14:val="tx1"/>
                  </w14:solidFill>
                </w14:textFill>
              </w:rPr>
              <w:t>）中有关要求。</w:t>
            </w:r>
          </w:p>
        </w:tc>
      </w:tr>
      <w:tr w14:paraId="3F31A2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464" w:type="dxa"/>
            <w:noWrap w:val="0"/>
            <w:vAlign w:val="center"/>
          </w:tcPr>
          <w:p w14:paraId="50986CBF">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总量</w:t>
            </w:r>
          </w:p>
          <w:p w14:paraId="2AA9FDF5">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控制</w:t>
            </w:r>
          </w:p>
          <w:p w14:paraId="6D4D3208">
            <w:pPr>
              <w:adjustRightInd w:val="0"/>
              <w:snapToGrid w:val="0"/>
              <w:jc w:val="center"/>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指标</w:t>
            </w:r>
          </w:p>
        </w:tc>
        <w:tc>
          <w:tcPr>
            <w:tcW w:w="8526" w:type="dxa"/>
            <w:noWrap w:val="0"/>
            <w:vAlign w:val="center"/>
          </w:tcPr>
          <w:p w14:paraId="4D15BDA6">
            <w:pPr>
              <w:autoSpaceDE w:val="0"/>
              <w:adjustRightInd w:val="0"/>
              <w:snapToGrid w:val="0"/>
              <w:spacing w:before="156" w:beforeLines="50"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3C6D9BAE">
            <w:pPr>
              <w:autoSpaceDE w:val="0"/>
              <w:adjustRightInd w:val="0"/>
              <w:snapToGrid w:val="0"/>
              <w:spacing w:before="156" w:beforeLines="50"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5A0A6D22">
            <w:pPr>
              <w:autoSpaceDE w:val="0"/>
              <w:adjustRightInd w:val="0"/>
              <w:snapToGrid w:val="0"/>
              <w:spacing w:before="156" w:beforeLines="50"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0EC80AFB">
            <w:pPr>
              <w:autoSpaceDE w:val="0"/>
              <w:adjustRightInd w:val="0"/>
              <w:snapToGrid w:val="0"/>
              <w:spacing w:before="156" w:beforeLines="50" w:line="360" w:lineRule="auto"/>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根据《</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十</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四</w:t>
            </w:r>
            <w:r>
              <w:rPr>
                <w:rFonts w:hint="default" w:ascii="Times New Roman" w:hAnsi="Times New Roman" w:eastAsia="宋体" w:cs="Times New Roman"/>
                <w:color w:val="000000" w:themeColor="text1"/>
                <w:sz w:val="24"/>
                <w:highlight w:val="none"/>
                <w14:textFill>
                  <w14:solidFill>
                    <w14:schemeClr w14:val="tx1"/>
                  </w14:solidFill>
                </w14:textFill>
              </w:rPr>
              <w:t>五</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主要污染物总量控制规划编制技术指南》及陕西有关规定，国家</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十</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四</w:t>
            </w:r>
            <w:r>
              <w:rPr>
                <w:rFonts w:hint="default" w:ascii="Times New Roman" w:hAnsi="Times New Roman" w:eastAsia="宋体" w:cs="Times New Roman"/>
                <w:color w:val="000000" w:themeColor="text1"/>
                <w:sz w:val="24"/>
                <w:highlight w:val="none"/>
                <w14:textFill>
                  <w14:solidFill>
                    <w14:schemeClr w14:val="tx1"/>
                  </w14:solidFill>
                </w14:textFill>
              </w:rPr>
              <w:t>五</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主要污染物总量控制因子为：化学需氧量、氨氮、氮氧化物、挥发性有机物。</w:t>
            </w:r>
          </w:p>
          <w:p w14:paraId="0F65CDE5">
            <w:pPr>
              <w:autoSpaceDE w:val="0"/>
              <w:adjustRightInd w:val="0"/>
              <w:snapToGrid w:val="0"/>
              <w:spacing w:before="156" w:beforeLines="50"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根据工程分析，本项目不产生生产废水；生活污水依托</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陕西国坤时代科技有限化粪池</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处理</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后，</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排入泾河新城第二污水处理厂</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进一步</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处理，因此纳入泾河新城第二污水处理厂总量控制。</w:t>
            </w:r>
          </w:p>
          <w:p w14:paraId="2792EE2A">
            <w:pPr>
              <w:autoSpaceDE w:val="0"/>
              <w:adjustRightInd w:val="0"/>
              <w:snapToGrid w:val="0"/>
              <w:spacing w:before="156" w:beforeLines="50"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根据项目产排污特征，</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本项目废水中</w:t>
            </w:r>
            <w:r>
              <w:rPr>
                <w:rFonts w:hint="default" w:ascii="Times New Roman" w:hAnsi="Times New Roman" w:eastAsia="宋体" w:cs="Times New Roman"/>
                <w:color w:val="000000" w:themeColor="text1"/>
                <w:sz w:val="24"/>
                <w:highlight w:val="none"/>
                <w14:textFill>
                  <w14:solidFill>
                    <w14:schemeClr w14:val="tx1"/>
                  </w14:solidFill>
                </w14:textFill>
              </w:rPr>
              <w:t>化学需氧量</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排放量为0.14t/</w:t>
            </w:r>
            <w:r>
              <w:rPr>
                <w:rFonts w:hint="eastAsia" w:cs="Times New Roman"/>
                <w:color w:val="000000" w:themeColor="text1"/>
                <w:sz w:val="24"/>
                <w:highlight w:val="none"/>
                <w:lang w:val="en-US" w:eastAsia="zh-CN"/>
                <w14:textFill>
                  <w14:solidFill>
                    <w14:schemeClr w14:val="tx1"/>
                  </w14:solidFill>
                </w14:textFill>
              </w:rPr>
              <w:t>a，</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氨氮排放量为</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0.016</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t/</w:t>
            </w:r>
            <w:r>
              <w:rPr>
                <w:rFonts w:hint="eastAsia" w:cs="Times New Roman"/>
                <w:color w:val="000000" w:themeColor="text1"/>
                <w:sz w:val="24"/>
                <w:highlight w:val="none"/>
                <w:lang w:val="en-US" w:eastAsia="zh-CN"/>
                <w14:textFill>
                  <w14:solidFill>
                    <w14:schemeClr w14:val="tx1"/>
                  </w14:solidFill>
                </w14:textFill>
              </w:rPr>
              <w:t>a</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p>
          <w:p w14:paraId="2112DDC2">
            <w:pPr>
              <w:autoSpaceDE w:val="0"/>
              <w:adjustRightInd w:val="0"/>
              <w:snapToGrid w:val="0"/>
              <w:spacing w:before="156" w:beforeLines="50" w:line="360" w:lineRule="auto"/>
              <w:ind w:firstLine="480" w:firstLineChars="200"/>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本项目废气主要</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上料、破碎和打包工序产生的颗粒物</w:t>
            </w:r>
            <w:r>
              <w:rPr>
                <w:rFonts w:hint="eastAsia" w:cs="Times New Roman"/>
                <w:color w:val="000000" w:themeColor="text1"/>
                <w:sz w:val="24"/>
                <w:szCs w:val="24"/>
                <w:highlight w:val="none"/>
                <w:lang w:val="en-US" w:eastAsia="zh-CN"/>
                <w14:textFill>
                  <w14:solidFill>
                    <w14:schemeClr w14:val="tx1"/>
                  </w14:solidFill>
                </w14:textFill>
              </w:rPr>
              <w:t>，颗粒物排放量为</w:t>
            </w:r>
            <w:r>
              <w:rPr>
                <w:rFonts w:hint="eastAsia" w:cs="Times New Roman"/>
                <w:i w:val="0"/>
                <w:iCs w:val="0"/>
                <w:color w:val="000000" w:themeColor="text1"/>
                <w:kern w:val="0"/>
                <w:sz w:val="24"/>
                <w:szCs w:val="24"/>
                <w:highlight w:val="none"/>
                <w:u w:val="none"/>
                <w:lang w:val="en-US" w:eastAsia="zh-CN" w:bidi="ar"/>
                <w14:textFill>
                  <w14:solidFill>
                    <w14:schemeClr w14:val="tx1"/>
                  </w14:solidFill>
                </w14:textFill>
              </w:rPr>
              <w:t>1.495</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t/</w:t>
            </w:r>
            <w:r>
              <w:rPr>
                <w:rFonts w:hint="eastAsia" w:cs="Times New Roman"/>
                <w:color w:val="000000" w:themeColor="text1"/>
                <w:sz w:val="24"/>
                <w:szCs w:val="24"/>
                <w:highlight w:val="none"/>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1034AFCC">
            <w:pPr>
              <w:pStyle w:val="41"/>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
          <w:p w14:paraId="05CB8B70">
            <w:pPr>
              <w:pStyle w:val="41"/>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
          <w:p w14:paraId="1EF6D2CA">
            <w:pPr>
              <w:pStyle w:val="41"/>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
          <w:p w14:paraId="347EC5DB">
            <w:pPr>
              <w:pStyle w:val="41"/>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
          <w:p w14:paraId="3C8EBEC5">
            <w:pPr>
              <w:pStyle w:val="41"/>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
          <w:p w14:paraId="59E9996F">
            <w:pPr>
              <w:pStyle w:val="41"/>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
          <w:p w14:paraId="44ADE756">
            <w:pPr>
              <w:pStyle w:val="41"/>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
          <w:p w14:paraId="26479C7D">
            <w:pPr>
              <w:pStyle w:val="41"/>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
          <w:p w14:paraId="217D65D0">
            <w:pPr>
              <w:pStyle w:val="41"/>
              <w:rPr>
                <w:rFonts w:hint="default" w:ascii="Times New Roman" w:hAnsi="Times New Roman" w:cs="Times New Roman"/>
                <w:color w:val="000000" w:themeColor="text1"/>
                <w:sz w:val="24"/>
                <w:highlight w:val="none"/>
                <w14:textFill>
                  <w14:solidFill>
                    <w14:schemeClr w14:val="tx1"/>
                  </w14:solidFill>
                </w14:textFill>
              </w:rPr>
            </w:pPr>
          </w:p>
          <w:p w14:paraId="1099DE2C">
            <w:pPr>
              <w:pStyle w:val="41"/>
              <w:rPr>
                <w:rFonts w:hint="default" w:ascii="Times New Roman" w:hAnsi="Times New Roman" w:cs="Times New Roman"/>
                <w:color w:val="000000" w:themeColor="text1"/>
                <w:sz w:val="24"/>
                <w:highlight w:val="none"/>
                <w14:textFill>
                  <w14:solidFill>
                    <w14:schemeClr w14:val="tx1"/>
                  </w14:solidFill>
                </w14:textFill>
              </w:rPr>
            </w:pPr>
          </w:p>
          <w:p w14:paraId="1765B2C4">
            <w:pPr>
              <w:adjustRightInd w:val="0"/>
              <w:snapToGrid w:val="0"/>
              <w:spacing w:line="360" w:lineRule="auto"/>
              <w:jc w:val="both"/>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
          <w:p w14:paraId="1E4F19FA">
            <w:pPr>
              <w:adjustRightInd w:val="0"/>
              <w:snapToGrid w:val="0"/>
              <w:spacing w:line="360" w:lineRule="auto"/>
              <w:jc w:val="both"/>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pPr>
          </w:p>
        </w:tc>
      </w:tr>
    </w:tbl>
    <w:p w14:paraId="68CFE49A">
      <w:pPr>
        <w:pStyle w:val="21"/>
        <w:jc w:val="center"/>
        <w:outlineLvl w:val="0"/>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pPr>
      <w:r>
        <w:rPr>
          <w:rFonts w:hint="default" w:ascii="Times New Roman" w:hAnsi="Times New Roman" w:eastAsia="黑体" w:cs="Times New Roman"/>
          <w:snapToGrid w:val="0"/>
          <w:color w:val="000000" w:themeColor="text1"/>
          <w:sz w:val="36"/>
          <w:szCs w:val="36"/>
          <w:highlight w:val="none"/>
          <w14:textFill>
            <w14:solidFill>
              <w14:schemeClr w14:val="tx1"/>
            </w14:solidFill>
          </w14:textFill>
        </w:rPr>
        <w:br w:type="page"/>
      </w:r>
      <w:bookmarkStart w:id="22" w:name="_Toc6502"/>
      <w:r>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t>四、主要环境影响和保护措施</w:t>
      </w:r>
      <w:bookmarkEnd w:id="22"/>
    </w:p>
    <w:tbl>
      <w:tblPr>
        <w:tblStyle w:val="25"/>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8"/>
        <w:gridCol w:w="8440"/>
      </w:tblGrid>
      <w:tr w14:paraId="634D55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1" w:hRule="atLeast"/>
          <w:jc w:val="center"/>
        </w:trPr>
        <w:tc>
          <w:tcPr>
            <w:tcW w:w="468" w:type="dxa"/>
            <w:noWrap w:val="0"/>
            <w:tcMar>
              <w:left w:w="28" w:type="dxa"/>
              <w:right w:w="28" w:type="dxa"/>
            </w:tcMar>
            <w:vAlign w:val="center"/>
          </w:tcPr>
          <w:p w14:paraId="3CDD428B">
            <w:pPr>
              <w:pStyle w:val="21"/>
              <w:adjustRightInd w:val="0"/>
              <w:snapToGrid w:val="0"/>
              <w:spacing w:before="0" w:beforeAutospacing="0" w:after="0" w:afterAutospacing="0"/>
              <w:jc w:val="center"/>
              <w:rPr>
                <w:rFonts w:hint="default" w:ascii="Times New Roman" w:hAnsi="Times New Roman" w:cs="Times New Roman"/>
                <w:color w:val="000000" w:themeColor="text1"/>
                <w:kern w:val="2"/>
                <w:sz w:val="24"/>
                <w:szCs w:val="24"/>
                <w:highlight w:val="none"/>
                <w14:textFill>
                  <w14:solidFill>
                    <w14:schemeClr w14:val="tx1"/>
                  </w14:solidFill>
                </w14:textFill>
              </w:rPr>
            </w:pPr>
            <w:r>
              <w:rPr>
                <w:rFonts w:hint="default" w:ascii="Times New Roman" w:hAnsi="Times New Roman" w:cs="Times New Roman"/>
                <w:color w:val="000000" w:themeColor="text1"/>
                <w:kern w:val="2"/>
                <w:sz w:val="24"/>
                <w:szCs w:val="24"/>
                <w:highlight w:val="none"/>
                <w14:textFill>
                  <w14:solidFill>
                    <w14:schemeClr w14:val="tx1"/>
                  </w14:solidFill>
                </w14:textFill>
              </w:rPr>
              <w:t>施工</w:t>
            </w:r>
          </w:p>
          <w:p w14:paraId="2F034506">
            <w:pPr>
              <w:pStyle w:val="21"/>
              <w:adjustRightInd w:val="0"/>
              <w:snapToGrid w:val="0"/>
              <w:spacing w:before="0" w:beforeAutospacing="0" w:after="0" w:afterAutospacing="0"/>
              <w:jc w:val="center"/>
              <w:rPr>
                <w:rFonts w:hint="default" w:ascii="Times New Roman" w:hAnsi="Times New Roman" w:cs="Times New Roman"/>
                <w:color w:val="000000" w:themeColor="text1"/>
                <w:kern w:val="2"/>
                <w:sz w:val="24"/>
                <w:szCs w:val="24"/>
                <w:highlight w:val="none"/>
                <w14:textFill>
                  <w14:solidFill>
                    <w14:schemeClr w14:val="tx1"/>
                  </w14:solidFill>
                </w14:textFill>
              </w:rPr>
            </w:pPr>
            <w:r>
              <w:rPr>
                <w:rFonts w:hint="default" w:ascii="Times New Roman" w:hAnsi="Times New Roman" w:cs="Times New Roman"/>
                <w:color w:val="000000" w:themeColor="text1"/>
                <w:kern w:val="2"/>
                <w:sz w:val="24"/>
                <w:szCs w:val="24"/>
                <w:highlight w:val="none"/>
                <w14:textFill>
                  <w14:solidFill>
                    <w14:schemeClr w14:val="tx1"/>
                  </w14:solidFill>
                </w14:textFill>
              </w:rPr>
              <w:t>期环</w:t>
            </w:r>
          </w:p>
          <w:p w14:paraId="49C92C61">
            <w:pPr>
              <w:pStyle w:val="21"/>
              <w:adjustRightInd w:val="0"/>
              <w:snapToGrid w:val="0"/>
              <w:spacing w:before="0" w:beforeAutospacing="0" w:after="0" w:afterAutospacing="0"/>
              <w:jc w:val="center"/>
              <w:rPr>
                <w:rFonts w:hint="default" w:ascii="Times New Roman" w:hAnsi="Times New Roman" w:cs="Times New Roman"/>
                <w:color w:val="000000" w:themeColor="text1"/>
                <w:kern w:val="2"/>
                <w:sz w:val="24"/>
                <w:szCs w:val="24"/>
                <w:highlight w:val="none"/>
                <w14:textFill>
                  <w14:solidFill>
                    <w14:schemeClr w14:val="tx1"/>
                  </w14:solidFill>
                </w14:textFill>
              </w:rPr>
            </w:pPr>
            <w:r>
              <w:rPr>
                <w:rFonts w:hint="default" w:ascii="Times New Roman" w:hAnsi="Times New Roman" w:cs="Times New Roman"/>
                <w:color w:val="000000" w:themeColor="text1"/>
                <w:kern w:val="2"/>
                <w:sz w:val="24"/>
                <w:szCs w:val="24"/>
                <w:highlight w:val="none"/>
                <w14:textFill>
                  <w14:solidFill>
                    <w14:schemeClr w14:val="tx1"/>
                  </w14:solidFill>
                </w14:textFill>
              </w:rPr>
              <w:t>境保</w:t>
            </w:r>
          </w:p>
          <w:p w14:paraId="4ACF81DC">
            <w:pPr>
              <w:pStyle w:val="21"/>
              <w:adjustRightInd w:val="0"/>
              <w:snapToGrid w:val="0"/>
              <w:spacing w:before="0" w:beforeAutospacing="0" w:after="0" w:afterAutospacing="0"/>
              <w:jc w:val="center"/>
              <w:rPr>
                <w:rFonts w:hint="default" w:ascii="Times New Roman" w:hAnsi="Times New Roman" w:cs="Times New Roman"/>
                <w:color w:val="000000" w:themeColor="text1"/>
                <w:kern w:val="2"/>
                <w:sz w:val="24"/>
                <w:szCs w:val="24"/>
                <w:highlight w:val="none"/>
                <w14:textFill>
                  <w14:solidFill>
                    <w14:schemeClr w14:val="tx1"/>
                  </w14:solidFill>
                </w14:textFill>
              </w:rPr>
            </w:pPr>
            <w:r>
              <w:rPr>
                <w:rFonts w:hint="default" w:ascii="Times New Roman" w:hAnsi="Times New Roman" w:cs="Times New Roman"/>
                <w:color w:val="000000" w:themeColor="text1"/>
                <w:kern w:val="2"/>
                <w:sz w:val="24"/>
                <w:szCs w:val="24"/>
                <w:highlight w:val="none"/>
                <w14:textFill>
                  <w14:solidFill>
                    <w14:schemeClr w14:val="tx1"/>
                  </w14:solidFill>
                </w14:textFill>
              </w:rPr>
              <w:t>护措</w:t>
            </w:r>
          </w:p>
          <w:p w14:paraId="7B97FA10">
            <w:pPr>
              <w:pStyle w:val="21"/>
              <w:adjustRightInd w:val="0"/>
              <w:snapToGrid w:val="0"/>
              <w:spacing w:before="0" w:beforeAutospacing="0" w:after="0" w:afterAutospacing="0"/>
              <w:jc w:val="center"/>
              <w:rPr>
                <w:rFonts w:hint="default" w:ascii="Times New Roman" w:hAnsi="Times New Roman" w:cs="Times New Roman"/>
                <w:bCs/>
                <w:color w:val="000000" w:themeColor="text1"/>
                <w:kern w:val="2"/>
                <w:sz w:val="24"/>
                <w:szCs w:val="24"/>
                <w:highlight w:val="none"/>
                <w14:textFill>
                  <w14:solidFill>
                    <w14:schemeClr w14:val="tx1"/>
                  </w14:solidFill>
                </w14:textFill>
              </w:rPr>
            </w:pPr>
            <w:r>
              <w:rPr>
                <w:rFonts w:hint="default" w:ascii="Times New Roman" w:hAnsi="Times New Roman" w:cs="Times New Roman"/>
                <w:color w:val="000000" w:themeColor="text1"/>
                <w:kern w:val="2"/>
                <w:sz w:val="24"/>
                <w:szCs w:val="24"/>
                <w:highlight w:val="none"/>
                <w14:textFill>
                  <w14:solidFill>
                    <w14:schemeClr w14:val="tx1"/>
                  </w14:solidFill>
                </w14:textFill>
              </w:rPr>
              <w:t>施</w:t>
            </w:r>
          </w:p>
        </w:tc>
        <w:tc>
          <w:tcPr>
            <w:tcW w:w="8440" w:type="dxa"/>
            <w:noWrap w:val="0"/>
            <w:vAlign w:val="top"/>
          </w:tcPr>
          <w:p w14:paraId="5AEEB02C">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本项目位于</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陕西省西咸新区泾河新城永乐工业园区南北大道陕西国坤时代科技有限公司2号厂房</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，租用已建成厂房，厂房已进行地面硬化，施工期只进行生产设备和环保设施的安装及调试。</w:t>
            </w:r>
          </w:p>
          <w:p w14:paraId="48DA6C4A">
            <w:pPr>
              <w:numPr>
                <w:ilvl w:val="0"/>
                <w:numId w:val="0"/>
              </w:numPr>
              <w:adjustRightInd w:val="0"/>
              <w:snapToGrid w:val="0"/>
              <w:spacing w:line="360" w:lineRule="auto"/>
              <w:ind w:firstLine="480" w:firstLineChars="200"/>
              <w:jc w:val="both"/>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项目施工期较短，工程量不大，且不涉及土建工程，施工结束后污染也随之消失，对环境影响较小。</w:t>
            </w:r>
          </w:p>
          <w:p w14:paraId="0156041F">
            <w:pPr>
              <w:numPr>
                <w:ilvl w:val="0"/>
                <w:numId w:val="7"/>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施工期废气污染防治措施</w:t>
            </w:r>
          </w:p>
          <w:p w14:paraId="3017FEB0">
            <w:pPr>
              <w:adjustRightInd w:val="0"/>
              <w:snapToGrid w:val="0"/>
              <w:spacing w:line="360" w:lineRule="auto"/>
              <w:ind w:firstLine="480" w:firstLineChars="200"/>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项目施工期废气主要为施工和车辆运输等产生的悬浮微粒、施工粉尘，对施工地段附近的环境空气会产生一定的影响。运输扬尘采取适时洒水等措施，对大气环境影响较小。</w:t>
            </w:r>
          </w:p>
          <w:p w14:paraId="7AFEE1CF">
            <w:pPr>
              <w:numPr>
                <w:ilvl w:val="0"/>
                <w:numId w:val="7"/>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施工期废水污染防治措施</w:t>
            </w:r>
          </w:p>
          <w:p w14:paraId="5060A777">
            <w:pPr>
              <w:numPr>
                <w:ilvl w:val="0"/>
                <w:numId w:val="0"/>
              </w:numPr>
              <w:adjustRightInd w:val="0"/>
              <w:snapToGrid w:val="0"/>
              <w:spacing w:line="360" w:lineRule="auto"/>
              <w:ind w:firstLine="480" w:firstLineChars="200"/>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项目施工期废水主要为施工人员的生活废水，生活废水依托园区现有化粪池处理后经市政污水管网排入泾河新城第二污水处理厂进一步处理。</w:t>
            </w:r>
          </w:p>
          <w:p w14:paraId="3893E9FE">
            <w:pPr>
              <w:numPr>
                <w:ilvl w:val="0"/>
                <w:numId w:val="7"/>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施工期噪声污染防治措施</w:t>
            </w:r>
          </w:p>
          <w:p w14:paraId="1EE721A3">
            <w:pPr>
              <w:adjustRightInd w:val="0"/>
              <w:snapToGrid w:val="0"/>
              <w:spacing w:line="360" w:lineRule="auto"/>
              <w:ind w:firstLine="480" w:firstLineChars="200"/>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项目施工期噪声主要为施工机械、运输车辆等。为减少施工噪声对环境的影响，要求施工期间合理安排施工时间，均安排在白天进行施工，夜间不进行施工；严格安排施工方式，控制噪声环境污染；严格操作规程，加强施工机械管理，降低人为噪声影响；尽量选用噪声较低的施工设备，并加强维护保养，采取有效的隔声、减振、消声等措施，降低噪声排放。</w:t>
            </w:r>
          </w:p>
          <w:p w14:paraId="658F62DB">
            <w:pPr>
              <w:numPr>
                <w:ilvl w:val="0"/>
                <w:numId w:val="7"/>
              </w:numPr>
              <w:adjustRightInd w:val="0"/>
              <w:snapToGrid w:val="0"/>
              <w:spacing w:line="360" w:lineRule="auto"/>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施工期固体废物污染防治措施</w:t>
            </w:r>
          </w:p>
          <w:p w14:paraId="35FE8FAF">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项目施工期固体废物主要为施工人员生活垃圾、设备废包装材料等，设备废包装材料，</w:t>
            </w:r>
            <w:r>
              <w:rPr>
                <w:rFonts w:hint="default" w:ascii="Times New Roman" w:hAnsi="Times New Roman" w:eastAsia="宋体" w:cs="Times New Roman"/>
                <w:color w:val="000000" w:themeColor="text1"/>
                <w:sz w:val="24"/>
                <w:szCs w:val="24"/>
                <w:highlight w:val="none"/>
                <w14:textFill>
                  <w14:solidFill>
                    <w14:schemeClr w14:val="tx1"/>
                  </w14:solidFill>
                </w14:textFill>
              </w:rPr>
              <w:t>收集后运往城建部门指定地点；施工人员生活垃圾分类收集后，交由环卫部门统一清运处理。</w:t>
            </w:r>
          </w:p>
          <w:p w14:paraId="77850F7C">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p>
          <w:p w14:paraId="6A25A5E4">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p>
          <w:p w14:paraId="5849BE25">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tc>
      </w:tr>
    </w:tbl>
    <w:p w14:paraId="2DF1637E">
      <w:pPr>
        <w:adjustRightInd w:val="0"/>
        <w:snapToGrid w:val="0"/>
        <w:jc w:val="center"/>
        <w:rPr>
          <w:rFonts w:hint="default" w:ascii="Times New Roman" w:hAnsi="Times New Roman" w:cs="Times New Roman"/>
          <w:bCs/>
          <w:color w:val="000000" w:themeColor="text1"/>
          <w:sz w:val="24"/>
          <w:szCs w:val="24"/>
          <w:highlight w:val="none"/>
          <w14:textFill>
            <w14:solidFill>
              <w14:schemeClr w14:val="tx1"/>
            </w14:solidFill>
          </w14:textFill>
        </w:rPr>
        <w:sectPr>
          <w:pgSz w:w="11907" w:h="16840"/>
          <w:pgMar w:top="1701" w:right="1531" w:bottom="2127" w:left="1531" w:header="851" w:footer="851" w:gutter="0"/>
          <w:pgNumType w:fmt="decimal"/>
          <w:cols w:space="720" w:num="1"/>
          <w:docGrid w:linePitch="312" w:charSpace="0"/>
        </w:sectPr>
      </w:pPr>
    </w:p>
    <w:tbl>
      <w:tblPr>
        <w:tblStyle w:val="25"/>
        <w:tblW w:w="890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67"/>
        <w:gridCol w:w="8538"/>
      </w:tblGrid>
      <w:tr w14:paraId="6B82B2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9" w:hRule="atLeast"/>
          <w:jc w:val="center"/>
        </w:trPr>
        <w:tc>
          <w:tcPr>
            <w:tcW w:w="367" w:type="dxa"/>
            <w:noWrap w:val="0"/>
            <w:tcMar>
              <w:left w:w="28" w:type="dxa"/>
              <w:right w:w="28" w:type="dxa"/>
            </w:tcMar>
            <w:vAlign w:val="center"/>
          </w:tcPr>
          <w:p w14:paraId="61A867DC">
            <w:pPr>
              <w:adjustRightInd w:val="0"/>
              <w:snapToGrid w:val="0"/>
              <w:jc w:val="center"/>
              <w:rPr>
                <w:rFonts w:hint="default" w:ascii="Times New Roman" w:hAnsi="Times New Roman" w:cs="Times New Roman"/>
                <w:bCs/>
                <w:color w:val="000000" w:themeColor="text1"/>
                <w:sz w:val="24"/>
                <w:szCs w:val="24"/>
                <w:highlight w:val="none"/>
                <w14:textFill>
                  <w14:solidFill>
                    <w14:schemeClr w14:val="tx1"/>
                  </w14:solidFill>
                </w14:textFill>
              </w:rPr>
            </w:pPr>
            <w:r>
              <w:rPr>
                <w:rFonts w:hint="default" w:ascii="Times New Roman" w:hAnsi="Times New Roman" w:cs="Times New Roman"/>
                <w:bCs/>
                <w:color w:val="000000" w:themeColor="text1"/>
                <w:sz w:val="24"/>
                <w:szCs w:val="24"/>
                <w:highlight w:val="none"/>
                <w14:textFill>
                  <w14:solidFill>
                    <w14:schemeClr w14:val="tx1"/>
                  </w14:solidFill>
                </w14:textFill>
              </w:rPr>
              <w:t>运营</w:t>
            </w:r>
          </w:p>
          <w:p w14:paraId="1C4137E5">
            <w:pPr>
              <w:adjustRightInd w:val="0"/>
              <w:snapToGrid w:val="0"/>
              <w:jc w:val="center"/>
              <w:rPr>
                <w:rFonts w:hint="default" w:ascii="Times New Roman" w:hAnsi="Times New Roman" w:cs="Times New Roman"/>
                <w:bCs/>
                <w:color w:val="000000" w:themeColor="text1"/>
                <w:sz w:val="24"/>
                <w:szCs w:val="24"/>
                <w:highlight w:val="none"/>
                <w14:textFill>
                  <w14:solidFill>
                    <w14:schemeClr w14:val="tx1"/>
                  </w14:solidFill>
                </w14:textFill>
              </w:rPr>
            </w:pPr>
            <w:r>
              <w:rPr>
                <w:rFonts w:hint="default" w:ascii="Times New Roman" w:hAnsi="Times New Roman" w:cs="Times New Roman"/>
                <w:bCs/>
                <w:color w:val="000000" w:themeColor="text1"/>
                <w:sz w:val="24"/>
                <w:szCs w:val="24"/>
                <w:highlight w:val="none"/>
                <w14:textFill>
                  <w14:solidFill>
                    <w14:schemeClr w14:val="tx1"/>
                  </w14:solidFill>
                </w14:textFill>
              </w:rPr>
              <w:t>期环</w:t>
            </w:r>
          </w:p>
          <w:p w14:paraId="67F50FF2">
            <w:pPr>
              <w:adjustRightInd w:val="0"/>
              <w:snapToGrid w:val="0"/>
              <w:jc w:val="center"/>
              <w:rPr>
                <w:rFonts w:hint="default" w:ascii="Times New Roman" w:hAnsi="Times New Roman" w:cs="Times New Roman"/>
                <w:bCs/>
                <w:color w:val="000000" w:themeColor="text1"/>
                <w:sz w:val="24"/>
                <w:szCs w:val="24"/>
                <w:highlight w:val="none"/>
                <w14:textFill>
                  <w14:solidFill>
                    <w14:schemeClr w14:val="tx1"/>
                  </w14:solidFill>
                </w14:textFill>
              </w:rPr>
            </w:pPr>
            <w:r>
              <w:rPr>
                <w:rFonts w:hint="default" w:ascii="Times New Roman" w:hAnsi="Times New Roman" w:cs="Times New Roman"/>
                <w:bCs/>
                <w:color w:val="000000" w:themeColor="text1"/>
                <w:sz w:val="24"/>
                <w:szCs w:val="24"/>
                <w:highlight w:val="none"/>
                <w14:textFill>
                  <w14:solidFill>
                    <w14:schemeClr w14:val="tx1"/>
                  </w14:solidFill>
                </w14:textFill>
              </w:rPr>
              <w:t>境影</w:t>
            </w:r>
          </w:p>
          <w:p w14:paraId="198BBDEC">
            <w:pPr>
              <w:adjustRightInd w:val="0"/>
              <w:snapToGrid w:val="0"/>
              <w:jc w:val="center"/>
              <w:rPr>
                <w:rFonts w:hint="default" w:ascii="Times New Roman" w:hAnsi="Times New Roman" w:cs="Times New Roman"/>
                <w:bCs/>
                <w:color w:val="000000" w:themeColor="text1"/>
                <w:sz w:val="24"/>
                <w:szCs w:val="24"/>
                <w:highlight w:val="none"/>
                <w14:textFill>
                  <w14:solidFill>
                    <w14:schemeClr w14:val="tx1"/>
                  </w14:solidFill>
                </w14:textFill>
              </w:rPr>
            </w:pPr>
            <w:r>
              <w:rPr>
                <w:rFonts w:hint="default" w:ascii="Times New Roman" w:hAnsi="Times New Roman" w:cs="Times New Roman"/>
                <w:bCs/>
                <w:color w:val="000000" w:themeColor="text1"/>
                <w:sz w:val="24"/>
                <w:szCs w:val="24"/>
                <w:highlight w:val="none"/>
                <w14:textFill>
                  <w14:solidFill>
                    <w14:schemeClr w14:val="tx1"/>
                  </w14:solidFill>
                </w14:textFill>
              </w:rPr>
              <w:t>响和</w:t>
            </w:r>
          </w:p>
          <w:p w14:paraId="734EE16A">
            <w:pPr>
              <w:adjustRightInd w:val="0"/>
              <w:snapToGrid w:val="0"/>
              <w:jc w:val="center"/>
              <w:rPr>
                <w:rFonts w:hint="default" w:ascii="Times New Roman" w:hAnsi="Times New Roman" w:cs="Times New Roman"/>
                <w:bCs/>
                <w:color w:val="000000" w:themeColor="text1"/>
                <w:sz w:val="24"/>
                <w:szCs w:val="24"/>
                <w:highlight w:val="none"/>
                <w14:textFill>
                  <w14:solidFill>
                    <w14:schemeClr w14:val="tx1"/>
                  </w14:solidFill>
                </w14:textFill>
              </w:rPr>
            </w:pPr>
            <w:r>
              <w:rPr>
                <w:rFonts w:hint="default" w:ascii="Times New Roman" w:hAnsi="Times New Roman" w:cs="Times New Roman"/>
                <w:bCs/>
                <w:color w:val="000000" w:themeColor="text1"/>
                <w:sz w:val="24"/>
                <w:szCs w:val="24"/>
                <w:highlight w:val="none"/>
                <w14:textFill>
                  <w14:solidFill>
                    <w14:schemeClr w14:val="tx1"/>
                  </w14:solidFill>
                </w14:textFill>
              </w:rPr>
              <w:t>保护</w:t>
            </w:r>
          </w:p>
          <w:p w14:paraId="5FB57E6A">
            <w:pPr>
              <w:adjustRightInd w:val="0"/>
              <w:snapToGrid w:val="0"/>
              <w:jc w:val="center"/>
              <w:rPr>
                <w:rFonts w:hint="default" w:ascii="Times New Roman" w:hAnsi="Times New Roman" w:cs="Times New Roman"/>
                <w:bCs/>
                <w:color w:val="000000" w:themeColor="text1"/>
                <w:sz w:val="24"/>
                <w:szCs w:val="24"/>
                <w:highlight w:val="none"/>
                <w14:textFill>
                  <w14:solidFill>
                    <w14:schemeClr w14:val="tx1"/>
                  </w14:solidFill>
                </w14:textFill>
              </w:rPr>
            </w:pPr>
            <w:r>
              <w:rPr>
                <w:rFonts w:hint="default" w:ascii="Times New Roman" w:hAnsi="Times New Roman" w:cs="Times New Roman"/>
                <w:bCs/>
                <w:color w:val="000000" w:themeColor="text1"/>
                <w:sz w:val="24"/>
                <w:szCs w:val="24"/>
                <w:highlight w:val="none"/>
                <w14:textFill>
                  <w14:solidFill>
                    <w14:schemeClr w14:val="tx1"/>
                  </w14:solidFill>
                </w14:textFill>
              </w:rPr>
              <w:t>措施</w:t>
            </w:r>
          </w:p>
        </w:tc>
        <w:tc>
          <w:tcPr>
            <w:tcW w:w="8538" w:type="dxa"/>
            <w:noWrap w:val="0"/>
            <w:vAlign w:val="top"/>
          </w:tcPr>
          <w:p w14:paraId="3C133724">
            <w:pPr>
              <w:numPr>
                <w:ilvl w:val="0"/>
                <w:numId w:val="8"/>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废气</w:t>
            </w:r>
          </w:p>
          <w:p w14:paraId="4BE498BE">
            <w:pPr>
              <w:numPr>
                <w:ilvl w:val="1"/>
                <w:numId w:val="9"/>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废气源强核算</w:t>
            </w:r>
          </w:p>
          <w:p w14:paraId="0E13E639">
            <w:pPr>
              <w:pStyle w:val="6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本项目</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将</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收集到一般固废（工业固废、生活垃圾（废纸、废塑料、废纺织物、报废家具、园林垃圾、废包装物）、建筑垃圾中的轻浮物</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上游企业风选完的包装类塑料、装饰类塑料等</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、农业固体废物）</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作为</w:t>
            </w:r>
            <w:r>
              <w:rPr>
                <w:rFonts w:hint="default" w:ascii="Times New Roman" w:hAnsi="Times New Roman" w:eastAsia="宋体" w:cs="Times New Roman"/>
                <w:color w:val="000000" w:themeColor="text1"/>
                <w:kern w:val="0"/>
                <w:sz w:val="24"/>
                <w:szCs w:val="24"/>
                <w:highlight w:val="none"/>
                <w:lang w:val="zh-CN" w:eastAsia="zh-CN" w:bidi="ar"/>
                <w14:textFill>
                  <w14:solidFill>
                    <w14:schemeClr w14:val="tx1"/>
                  </w14:solidFill>
                </w14:textFill>
              </w:rPr>
              <w:t>RDF</w:t>
            </w:r>
            <w:r>
              <w:rPr>
                <w:rFonts w:hint="eastAsia" w:ascii="Times New Roman" w:hAnsi="Times New Roman" w:eastAsia="宋体" w:cs="Times New Roman"/>
                <w:color w:val="000000" w:themeColor="text1"/>
                <w:kern w:val="0"/>
                <w:sz w:val="24"/>
                <w:szCs w:val="24"/>
                <w:highlight w:val="none"/>
                <w:lang w:val="zh-CN" w:eastAsia="zh-CN" w:bidi="ar"/>
                <w14:textFill>
                  <w14:solidFill>
                    <w14:schemeClr w14:val="tx1"/>
                  </w14:solidFill>
                </w14:textFill>
              </w:rPr>
              <w:t>固体废物衍生燃料</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生产线</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的</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原料，运营期</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产生的废气主要为原料</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上料、破碎和打包</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工序产生的</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粉尘</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p>
          <w:p w14:paraId="4DE99EBA">
            <w:pPr>
              <w:pStyle w:val="6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1</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）原料存放粉尘</w:t>
            </w:r>
          </w:p>
          <w:p w14:paraId="3B10D6E1">
            <w:pPr>
              <w:pStyle w:val="6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项目原料全部存放于封闭车间内，来料包装为袋装或桶装，因此原料存放过程中粉尘产生量很小，本次评价不进行</w:t>
            </w:r>
            <w:r>
              <w:rPr>
                <w:rFonts w:hint="eastAsia" w:ascii="Times New Roman" w:hAnsi="Times New Roman" w:cs="Times New Roman"/>
                <w:color w:val="000000" w:themeColor="text1"/>
                <w:kern w:val="0"/>
                <w:sz w:val="24"/>
                <w:szCs w:val="24"/>
                <w:highlight w:val="none"/>
                <w:lang w:val="en-US" w:eastAsia="zh-CN" w:bidi="ar"/>
                <w14:textFill>
                  <w14:solidFill>
                    <w14:schemeClr w14:val="tx1"/>
                  </w14:solidFill>
                </w14:textFill>
              </w:rPr>
              <w:t>定量</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分析。</w:t>
            </w:r>
          </w:p>
          <w:p w14:paraId="163D5B8B">
            <w:pPr>
              <w:numPr>
                <w:ilvl w:val="0"/>
                <w:numId w:val="0"/>
              </w:numPr>
              <w:adjustRightInd w:val="0"/>
              <w:snapToGrid w:val="0"/>
              <w:spacing w:line="360" w:lineRule="auto"/>
              <w:ind w:left="0" w:leftChars="0" w:firstLine="480" w:firstLineChars="200"/>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r>
              <w:rPr>
                <w:rFonts w:hint="eastAsia" w:cs="Times New Roman"/>
                <w:color w:val="000000" w:themeColor="text1"/>
                <w:kern w:val="0"/>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r>
              <w:rPr>
                <w:rFonts w:hint="eastAsia" w:cs="Times New Roman"/>
                <w:color w:val="000000" w:themeColor="text1"/>
                <w:kern w:val="0"/>
                <w:sz w:val="24"/>
                <w:szCs w:val="24"/>
                <w:highlight w:val="none"/>
                <w:lang w:val="en-US" w:eastAsia="zh-CN" w:bidi="ar-SA"/>
                <w14:textFill>
                  <w14:solidFill>
                    <w14:schemeClr w14:val="tx1"/>
                  </w14:solidFill>
                </w14:textFill>
              </w:rPr>
              <w:t>上料、破碎和打包</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工序粉尘</w:t>
            </w:r>
          </w:p>
          <w:p w14:paraId="3C2C47C2">
            <w:pPr>
              <w:numPr>
                <w:ilvl w:val="0"/>
                <w:numId w:val="0"/>
              </w:numPr>
              <w:adjustRightInd w:val="0"/>
              <w:snapToGrid w:val="0"/>
              <w:spacing w:line="360" w:lineRule="auto"/>
              <w:ind w:firstLine="480" w:firstLineChars="200"/>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本项目生产过程中产生的废气主要来源于</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上料、</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一次破碎、二次破碎、三次</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破碎和打包</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工序，</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上料和打包工序粉尘经</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2</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个</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集气罩收集</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，破碎工序粉尘经管道收集</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后</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最终汇入一根</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主</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管路进入布袋除尘器。</w:t>
            </w:r>
          </w:p>
          <w:p w14:paraId="030691C1">
            <w:pPr>
              <w:adjustRightInd w:val="0"/>
              <w:snapToGrid w:val="0"/>
              <w:spacing w:line="360" w:lineRule="auto"/>
              <w:ind w:firstLine="480" w:firstLineChars="200"/>
              <w:rPr>
                <w:rFonts w:hint="eastAsia"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①</w:t>
            </w:r>
            <w:r>
              <w:rPr>
                <w:rFonts w:hint="eastAsia" w:cs="Times New Roman"/>
                <w:color w:val="000000" w:themeColor="text1"/>
                <w:kern w:val="0"/>
                <w:sz w:val="24"/>
                <w:szCs w:val="24"/>
                <w:highlight w:val="none"/>
                <w:lang w:val="en-US" w:eastAsia="zh-CN" w:bidi="ar"/>
                <w14:textFill>
                  <w14:solidFill>
                    <w14:schemeClr w14:val="tx1"/>
                  </w14:solidFill>
                </w14:textFill>
              </w:rPr>
              <w:t>集气罩风量计算</w:t>
            </w:r>
          </w:p>
          <w:p w14:paraId="769FC469">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参照《废气处理工程技术手册》中有关公式，结合项目设备规模，拟采用矩形四边式集气罩（上部集气罩）对废气进行收集，集气罩风量按照下式进行计算。</w:t>
            </w:r>
          </w:p>
          <w:p w14:paraId="1AA82DAA">
            <w:pPr>
              <w:adjustRightInd w:val="0"/>
              <w:snapToGrid w:val="0"/>
              <w:spacing w:line="360" w:lineRule="auto"/>
              <w:ind w:firstLine="480" w:firstLineChars="200"/>
              <w:rPr>
                <w:rFonts w:hint="eastAsia"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Q=k×L×H×</w:t>
            </w:r>
            <w:r>
              <w:rPr>
                <w:rFonts w:hint="default" w:ascii="Times New Roman" w:hAnsi="Times New Roman" w:cs="Times New Roman"/>
                <w:color w:val="000000" w:themeColor="text1"/>
                <w:sz w:val="24"/>
                <w:highlight w:val="none"/>
                <w:lang w:val="en-US" w:eastAsia="zh-CN"/>
                <w14:textFill>
                  <w14:solidFill>
                    <w14:schemeClr w14:val="tx1"/>
                  </w14:solidFill>
                </w14:textFill>
              </w:rPr>
              <w:t>V</w:t>
            </w:r>
            <w:r>
              <w:rPr>
                <w:rFonts w:hint="default" w:ascii="Times New Roman" w:hAnsi="Times New Roman" w:cs="Times New Roman"/>
                <w:color w:val="000000" w:themeColor="text1"/>
                <w:sz w:val="24"/>
                <w:highlight w:val="none"/>
                <w14:textFill>
                  <w14:solidFill>
                    <w14:schemeClr w14:val="tx1"/>
                  </w14:solidFill>
                </w14:textFill>
              </w:rPr>
              <w:t>x</w:t>
            </w:r>
            <w:r>
              <w:rPr>
                <w:rFonts w:hint="eastAsia" w:ascii="Times New Roman" w:hAnsi="Times New Roman" w:cs="Times New Roman"/>
                <w:color w:val="000000" w:themeColor="text1"/>
                <w:sz w:val="24"/>
                <w:highlight w:val="none"/>
                <w:lang w:val="en-US" w:eastAsia="zh-CN"/>
                <w14:textFill>
                  <w14:solidFill>
                    <w14:schemeClr w14:val="tx1"/>
                  </w14:solidFill>
                </w14:textFill>
              </w:rPr>
              <w:t xml:space="preserve">  </w:t>
            </w:r>
          </w:p>
          <w:p w14:paraId="777D4662">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式中：</w:t>
            </w:r>
          </w:p>
          <w:p w14:paraId="6058142B">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Q——处理风量，m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w:t>
            </w:r>
          </w:p>
          <w:p w14:paraId="5525BC4E">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k——安全系数，取1.3；</w:t>
            </w:r>
          </w:p>
          <w:p w14:paraId="118E5D16">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L——集气罩罩口敞开面的周长，m；</w:t>
            </w:r>
          </w:p>
          <w:p w14:paraId="08B680B2">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H——罩口至污染源的距离，m</w:t>
            </w:r>
            <w:r>
              <w:rPr>
                <w:rFonts w:hint="eastAsia"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本项目</w:t>
            </w:r>
            <w:r>
              <w:rPr>
                <w:rFonts w:hint="default" w:ascii="Times New Roman" w:hAnsi="Times New Roman" w:cs="Times New Roman"/>
                <w:color w:val="000000" w:themeColor="text1"/>
                <w:sz w:val="24"/>
                <w:highlight w:val="none"/>
                <w:lang w:val="en-US" w:eastAsia="zh-CN"/>
                <w14:textFill>
                  <w14:solidFill>
                    <w14:schemeClr w14:val="tx1"/>
                  </w14:solidFill>
                </w14:textFill>
              </w:rPr>
              <w:t>取</w:t>
            </w:r>
            <w:r>
              <w:rPr>
                <w:rFonts w:hint="default" w:ascii="Times New Roman" w:hAnsi="Times New Roman" w:cs="Times New Roman"/>
                <w:color w:val="000000" w:themeColor="text1"/>
                <w:sz w:val="24"/>
                <w:highlight w:val="none"/>
                <w14:textFill>
                  <w14:solidFill>
                    <w14:schemeClr w14:val="tx1"/>
                  </w14:solidFill>
                </w14:textFill>
              </w:rPr>
              <w:t>0.</w:t>
            </w:r>
            <w:r>
              <w:rPr>
                <w:rFonts w:hint="eastAsia" w:cs="Times New Roman"/>
                <w:color w:val="000000" w:themeColor="text1"/>
                <w:sz w:val="24"/>
                <w:highlight w:val="none"/>
                <w:lang w:val="en-US" w:eastAsia="zh-CN"/>
                <w14:textFill>
                  <w14:solidFill>
                    <w14:schemeClr w14:val="tx1"/>
                  </w14:solidFill>
                </w14:textFill>
              </w:rPr>
              <w:t>7</w:t>
            </w:r>
            <w:r>
              <w:rPr>
                <w:rFonts w:hint="default" w:ascii="Times New Roman" w:hAnsi="Times New Roman" w:cs="Times New Roman"/>
                <w:color w:val="000000" w:themeColor="text1"/>
                <w:sz w:val="24"/>
                <w:highlight w:val="none"/>
                <w14:textFill>
                  <w14:solidFill>
                    <w14:schemeClr w14:val="tx1"/>
                  </w14:solidFill>
                </w14:textFill>
              </w:rPr>
              <w:t>m</w:t>
            </w:r>
            <w:r>
              <w:rPr>
                <w:rFonts w:hint="eastAsia"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w:t>
            </w:r>
          </w:p>
          <w:p w14:paraId="12B723B6">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V</w:t>
            </w:r>
            <w:r>
              <w:rPr>
                <w:rFonts w:hint="default" w:ascii="Times New Roman" w:hAnsi="Times New Roman" w:cs="Times New Roman"/>
                <w:color w:val="000000" w:themeColor="text1"/>
                <w:sz w:val="24"/>
                <w:highlight w:val="none"/>
                <w14:textFill>
                  <w14:solidFill>
                    <w14:schemeClr w14:val="tx1"/>
                  </w14:solidFill>
                </w14:textFill>
              </w:rPr>
              <w:t>x——控制风速（本项目</w:t>
            </w:r>
            <w:r>
              <w:rPr>
                <w:rFonts w:hint="default" w:ascii="Times New Roman" w:hAnsi="Times New Roman" w:cs="Times New Roman"/>
                <w:color w:val="000000" w:themeColor="text1"/>
                <w:sz w:val="24"/>
                <w:highlight w:val="none"/>
                <w:lang w:val="en-US" w:eastAsia="zh-CN"/>
                <w14:textFill>
                  <w14:solidFill>
                    <w14:schemeClr w14:val="tx1"/>
                  </w14:solidFill>
                </w14:textFill>
              </w:rPr>
              <w:t>取</w:t>
            </w:r>
            <w:r>
              <w:rPr>
                <w:rFonts w:hint="default" w:ascii="Times New Roman" w:hAnsi="Times New Roman" w:cs="Times New Roman"/>
                <w:color w:val="000000" w:themeColor="text1"/>
                <w:sz w:val="24"/>
                <w:highlight w:val="none"/>
                <w14:textFill>
                  <w14:solidFill>
                    <w14:schemeClr w14:val="tx1"/>
                  </w14:solidFill>
                </w14:textFill>
              </w:rPr>
              <w:t>0.5m/s）；</w:t>
            </w:r>
          </w:p>
          <w:p w14:paraId="78E2F0F6">
            <w:pPr>
              <w:numPr>
                <w:ilvl w:val="0"/>
                <w:numId w:val="0"/>
              </w:numPr>
              <w:adjustRightInd w:val="0"/>
              <w:snapToGrid w:val="0"/>
              <w:spacing w:line="360" w:lineRule="auto"/>
              <w:ind w:firstLine="480" w:firstLineChars="200"/>
              <w:rPr>
                <w:rFonts w:hint="eastAsia" w:cs="Times New Roman"/>
                <w:color w:val="000000" w:themeColor="text1"/>
                <w:sz w:val="24"/>
                <w:highlight w:val="none"/>
                <w:lang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L取值：</w:t>
            </w:r>
            <w:r>
              <w:rPr>
                <w:rFonts w:hint="default" w:ascii="Times New Roman" w:hAnsi="Times New Roman" w:cs="Times New Roman"/>
                <w:color w:val="000000" w:themeColor="text1"/>
                <w:sz w:val="24"/>
                <w:szCs w:val="32"/>
                <w:highlight w:val="none"/>
                <w:lang w:val="en-US" w:eastAsia="zh-CN"/>
                <w14:textFill>
                  <w14:solidFill>
                    <w14:schemeClr w14:val="tx1"/>
                  </w14:solidFill>
                </w14:textFill>
              </w:rPr>
              <w:t>集气罩尺寸均为</w:t>
            </w:r>
            <w:r>
              <w:rPr>
                <w:rFonts w:hint="eastAsia" w:ascii="Times New Roman" w:hAnsi="Times New Roman" w:cs="Times New Roman"/>
                <w:color w:val="000000" w:themeColor="text1"/>
                <w:sz w:val="24"/>
                <w:szCs w:val="32"/>
                <w:highlight w:val="none"/>
                <w:lang w:val="en-US" w:eastAsia="zh-CN"/>
                <w14:textFill>
                  <w14:solidFill>
                    <w14:schemeClr w14:val="tx1"/>
                  </w14:solidFill>
                </w14:textFill>
              </w:rPr>
              <w:t>0.</w:t>
            </w:r>
            <w:r>
              <w:rPr>
                <w:rFonts w:hint="eastAsia" w:cs="Times New Roman"/>
                <w:color w:val="000000" w:themeColor="text1"/>
                <w:sz w:val="24"/>
                <w:szCs w:val="32"/>
                <w:highlight w:val="none"/>
                <w:lang w:val="en-US" w:eastAsia="zh-CN"/>
                <w14:textFill>
                  <w14:solidFill>
                    <w14:schemeClr w14:val="tx1"/>
                  </w14:solidFill>
                </w14:textFill>
              </w:rPr>
              <w:t>6</w:t>
            </w:r>
            <w:r>
              <w:rPr>
                <w:rFonts w:hint="default" w:ascii="Times New Roman" w:hAnsi="Times New Roman" w:cs="Times New Roman"/>
                <w:color w:val="000000" w:themeColor="text1"/>
                <w:sz w:val="24"/>
                <w:szCs w:val="32"/>
                <w:highlight w:val="none"/>
                <w:lang w:val="en-US" w:eastAsia="zh-CN"/>
                <w14:textFill>
                  <w14:solidFill>
                    <w14:schemeClr w14:val="tx1"/>
                  </w14:solidFill>
                </w14:textFill>
              </w:rPr>
              <w:t>*</w:t>
            </w:r>
            <w:r>
              <w:rPr>
                <w:rFonts w:hint="eastAsia" w:cs="Times New Roman"/>
                <w:color w:val="000000" w:themeColor="text1"/>
                <w:sz w:val="24"/>
                <w:szCs w:val="32"/>
                <w:highlight w:val="none"/>
                <w:lang w:val="en-US" w:eastAsia="zh-CN"/>
                <w14:textFill>
                  <w14:solidFill>
                    <w14:schemeClr w14:val="tx1"/>
                  </w14:solidFill>
                </w14:textFill>
              </w:rPr>
              <w:t>0.8</w:t>
            </w:r>
            <w:r>
              <w:rPr>
                <w:rFonts w:hint="default" w:ascii="Times New Roman" w:hAnsi="Times New Roman" w:cs="Times New Roman"/>
                <w:color w:val="000000" w:themeColor="text1"/>
                <w:sz w:val="24"/>
                <w:szCs w:val="32"/>
                <w:highlight w:val="none"/>
                <w:lang w:val="en-US" w:eastAsia="zh-CN"/>
                <w14:textFill>
                  <w14:solidFill>
                    <w14:schemeClr w14:val="tx1"/>
                  </w14:solidFill>
                </w14:textFill>
              </w:rPr>
              <w:t>m（在</w:t>
            </w:r>
            <w:r>
              <w:rPr>
                <w:rFonts w:hint="eastAsia" w:ascii="Times New Roman" w:hAnsi="Times New Roman" w:cs="Times New Roman"/>
                <w:color w:val="000000" w:themeColor="text1"/>
                <w:sz w:val="24"/>
                <w:szCs w:val="32"/>
                <w:highlight w:val="none"/>
                <w:lang w:val="en-US" w:eastAsia="zh-CN"/>
                <w14:textFill>
                  <w14:solidFill>
                    <w14:schemeClr w14:val="tx1"/>
                  </w14:solidFill>
                </w14:textFill>
              </w:rPr>
              <w:t>上料机和打包机</w:t>
            </w:r>
            <w:r>
              <w:rPr>
                <w:rFonts w:hint="default" w:ascii="Times New Roman" w:hAnsi="Times New Roman" w:cs="Times New Roman"/>
                <w:color w:val="000000" w:themeColor="text1"/>
                <w:sz w:val="24"/>
                <w:szCs w:val="32"/>
                <w:highlight w:val="none"/>
                <w:lang w:val="en-US" w:eastAsia="zh-CN"/>
                <w14:textFill>
                  <w14:solidFill>
                    <w14:schemeClr w14:val="tx1"/>
                  </w14:solidFill>
                </w14:textFill>
              </w:rPr>
              <w:t>上方安装集气罩），共</w:t>
            </w:r>
            <w:r>
              <w:rPr>
                <w:rFonts w:hint="eastAsia" w:ascii="Times New Roman" w:hAnsi="Times New Roman" w:cs="Times New Roman"/>
                <w:color w:val="000000" w:themeColor="text1"/>
                <w:sz w:val="24"/>
                <w:szCs w:val="32"/>
                <w:highlight w:val="none"/>
                <w:lang w:val="en-US" w:eastAsia="zh-CN"/>
                <w14:textFill>
                  <w14:solidFill>
                    <w14:schemeClr w14:val="tx1"/>
                  </w14:solidFill>
                </w14:textFill>
              </w:rPr>
              <w:t>2</w:t>
            </w:r>
            <w:r>
              <w:rPr>
                <w:rFonts w:hint="default" w:ascii="Times New Roman" w:hAnsi="Times New Roman" w:cs="Times New Roman"/>
                <w:color w:val="000000" w:themeColor="text1"/>
                <w:sz w:val="24"/>
                <w:szCs w:val="32"/>
                <w:highlight w:val="none"/>
                <w:lang w:val="en-US" w:eastAsia="zh-CN"/>
                <w14:textFill>
                  <w14:solidFill>
                    <w14:schemeClr w14:val="tx1"/>
                  </w14:solidFill>
                </w14:textFill>
              </w:rPr>
              <w:t>个集气罩</w:t>
            </w:r>
            <w:r>
              <w:rPr>
                <w:rFonts w:hint="eastAsia" w:cs="Times New Roman"/>
                <w:color w:val="000000" w:themeColor="text1"/>
                <w:sz w:val="24"/>
                <w:szCs w:val="32"/>
                <w:highlight w:val="none"/>
                <w:lang w:val="en-US"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废气收集总风量为</w:t>
            </w:r>
            <w:r>
              <w:rPr>
                <w:rFonts w:hint="eastAsia" w:cs="Times New Roman"/>
                <w:color w:val="000000" w:themeColor="text1"/>
                <w:sz w:val="24"/>
                <w:highlight w:val="none"/>
                <w:lang w:val="en-US" w:eastAsia="zh-CN"/>
                <w14:textFill>
                  <w14:solidFill>
                    <w14:schemeClr w14:val="tx1"/>
                  </w14:solidFill>
                </w14:textFill>
              </w:rPr>
              <w:t>9172.8</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w:t>
            </w:r>
            <w:r>
              <w:rPr>
                <w:rFonts w:hint="eastAsia" w:cs="Times New Roman"/>
                <w:color w:val="000000" w:themeColor="text1"/>
                <w:sz w:val="24"/>
                <w:highlight w:val="none"/>
                <w:lang w:eastAsia="zh-CN"/>
                <w14:textFill>
                  <w14:solidFill>
                    <w14:schemeClr w14:val="tx1"/>
                  </w14:solidFill>
                </w14:textFill>
              </w:rPr>
              <w:t>。</w:t>
            </w:r>
          </w:p>
          <w:p w14:paraId="5DF92073">
            <w:pPr>
              <w:pStyle w:val="41"/>
              <w:keepNext w:val="0"/>
              <w:keepLines w:val="0"/>
              <w:pageBreakBefore w:val="0"/>
              <w:widowControl w:val="0"/>
              <w:kinsoku/>
              <w:wordWrap/>
              <w:overflowPunct/>
              <w:topLinePunct w:val="0"/>
              <w:bidi w:val="0"/>
              <w:adjustRightInd w:val="0"/>
              <w:snapToGrid/>
              <w:spacing w:line="360" w:lineRule="auto"/>
              <w:ind w:firstLine="480" w:firstLineChars="200"/>
              <w:rPr>
                <w:rFonts w:hint="eastAsia" w:asci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②</w:t>
            </w:r>
            <w:r>
              <w:rPr>
                <w:rFonts w:hint="eastAsia" w:ascii="Times New Roman" w:eastAsia="宋体" w:cs="Times New Roman"/>
                <w:color w:val="000000" w:themeColor="text1"/>
                <w:kern w:val="0"/>
                <w:sz w:val="24"/>
                <w:szCs w:val="24"/>
                <w:highlight w:val="none"/>
                <w:lang w:val="en-US" w:eastAsia="zh-CN" w:bidi="ar"/>
                <w14:textFill>
                  <w14:solidFill>
                    <w14:schemeClr w14:val="tx1"/>
                  </w14:solidFill>
                </w14:textFill>
              </w:rPr>
              <w:t>管道风量计算</w:t>
            </w:r>
          </w:p>
          <w:p w14:paraId="3B25D99E">
            <w:pPr>
              <w:pStyle w:val="41"/>
              <w:keepNext w:val="0"/>
              <w:keepLines w:val="0"/>
              <w:pageBreakBefore w:val="0"/>
              <w:widowControl w:val="0"/>
              <w:kinsoku/>
              <w:wordWrap/>
              <w:overflowPunct/>
              <w:topLinePunct w:val="0"/>
              <w:bidi w:val="0"/>
              <w:adjustRightInd w:val="0"/>
              <w:snapToGrid/>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eastAsia" w:ascii="Times New Roman" w:eastAsia="宋体" w:cs="Times New Roman"/>
                <w:color w:val="000000" w:themeColor="text1"/>
                <w:kern w:val="0"/>
                <w:sz w:val="24"/>
                <w:szCs w:val="24"/>
                <w:highlight w:val="none"/>
                <w:lang w:val="en-US" w:eastAsia="zh-CN" w:bidi="ar"/>
                <w14:textFill>
                  <w14:solidFill>
                    <w14:schemeClr w14:val="tx1"/>
                  </w14:solidFill>
                </w14:textFill>
              </w:rPr>
              <w:t>三台撕碎机分别由管道连接布袋除尘器，根据密闭容器换气法，</w:t>
            </w:r>
            <w:r>
              <w:rPr>
                <w:rFonts w:hint="eastAsia" w:ascii="Times New Roman" w:eastAsia="宋体" w:cs="Times New Roman"/>
                <w:color w:val="000000" w:themeColor="text1"/>
                <w:sz w:val="24"/>
                <w:highlight w:val="none"/>
                <w:lang w:val="en-US" w:eastAsia="zh-CN"/>
                <w14:textFill>
                  <w14:solidFill>
                    <w14:schemeClr w14:val="tx1"/>
                  </w14:solidFill>
                </w14:textFill>
              </w:rPr>
              <w:t>管道</w:t>
            </w:r>
            <w:r>
              <w:rPr>
                <w:rFonts w:hint="default" w:ascii="Times New Roman" w:hAnsi="Times New Roman" w:cs="Times New Roman"/>
                <w:color w:val="000000" w:themeColor="text1"/>
                <w:sz w:val="24"/>
                <w:highlight w:val="none"/>
                <w14:textFill>
                  <w14:solidFill>
                    <w14:schemeClr w14:val="tx1"/>
                  </w14:solidFill>
                </w14:textFill>
              </w:rPr>
              <w:t>风量按照下式进行计算。</w:t>
            </w:r>
          </w:p>
          <w:p w14:paraId="5448BCC8">
            <w:pPr>
              <w:pStyle w:val="41"/>
              <w:keepNext w:val="0"/>
              <w:keepLines w:val="0"/>
              <w:pageBreakBefore w:val="0"/>
              <w:widowControl w:val="0"/>
              <w:kinsoku/>
              <w:wordWrap/>
              <w:overflowPunct/>
              <w:topLinePunct w:val="0"/>
              <w:bidi w:val="0"/>
              <w:adjustRightInd w:val="0"/>
              <w:snapToGrid/>
              <w:spacing w:line="360" w:lineRule="auto"/>
              <w:ind w:firstLine="480" w:firstLineChars="200"/>
              <w:rPr>
                <w:rFonts w:hint="eastAsia" w:asci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Q=</w:t>
            </w:r>
            <w:r>
              <w:rPr>
                <w:rFonts w:hint="eastAsia" w:ascii="Times New Roman" w:cs="Times New Roman"/>
                <w:color w:val="000000" w:themeColor="text1"/>
                <w:sz w:val="24"/>
                <w:highlight w:val="none"/>
                <w:lang w:val="en-US" w:eastAsia="zh-CN"/>
                <w14:textFill>
                  <w14:solidFill>
                    <w14:schemeClr w14:val="tx1"/>
                  </w14:solidFill>
                </w14:textFill>
              </w:rPr>
              <w:t>V</w:t>
            </w:r>
            <w:r>
              <w:rPr>
                <w:rFonts w:hint="default" w:ascii="Times New Roman" w:hAnsi="Times New Roman" w:cs="Times New Roman"/>
                <w:color w:val="000000" w:themeColor="text1"/>
                <w:sz w:val="24"/>
                <w:highlight w:val="none"/>
                <w14:textFill>
                  <w14:solidFill>
                    <w14:schemeClr w14:val="tx1"/>
                  </w14:solidFill>
                </w14:textFill>
              </w:rPr>
              <w:t>×</w:t>
            </w:r>
            <w:r>
              <w:rPr>
                <w:rFonts w:hint="eastAsia" w:ascii="Times New Roman" w:cs="Times New Roman"/>
                <w:color w:val="000000" w:themeColor="text1"/>
                <w:sz w:val="24"/>
                <w:highlight w:val="none"/>
                <w:lang w:val="en-US" w:eastAsia="zh-CN"/>
                <w14:textFill>
                  <w14:solidFill>
                    <w14:schemeClr w14:val="tx1"/>
                  </w14:solidFill>
                </w14:textFill>
              </w:rPr>
              <w:t>n</w:t>
            </w:r>
          </w:p>
          <w:p w14:paraId="5582403C">
            <w:pPr>
              <w:keepNext w:val="0"/>
              <w:keepLines w:val="0"/>
              <w:pageBreakBefore w:val="0"/>
              <w:widowControl w:val="0"/>
              <w:kinsoku/>
              <w:wordWrap/>
              <w:overflowPunct/>
              <w:topLinePunct w:val="0"/>
              <w:bidi w:val="0"/>
              <w:adjustRightInd w:val="0"/>
              <w:snapToGrid/>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式中：</w:t>
            </w:r>
          </w:p>
          <w:p w14:paraId="1684DC9F">
            <w:pPr>
              <w:pStyle w:val="41"/>
              <w:keepNext w:val="0"/>
              <w:keepLines w:val="0"/>
              <w:pageBreakBefore w:val="0"/>
              <w:widowControl w:val="0"/>
              <w:kinsoku/>
              <w:wordWrap/>
              <w:overflowPunct/>
              <w:topLinePunct w:val="0"/>
              <w:bidi w:val="0"/>
              <w:adjustRightInd w:val="0"/>
              <w:snapToGrid/>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eastAsia" w:ascii="Times New Roman" w:cs="Times New Roman"/>
                <w:color w:val="000000" w:themeColor="text1"/>
                <w:sz w:val="24"/>
                <w:highlight w:val="none"/>
                <w:lang w:val="en-US" w:eastAsia="zh-CN"/>
                <w14:textFill>
                  <w14:solidFill>
                    <w14:schemeClr w14:val="tx1"/>
                  </w14:solidFill>
                </w14:textFill>
              </w:rPr>
              <w:t>Q</w:t>
            </w:r>
            <w:r>
              <w:rPr>
                <w:rFonts w:hint="default" w:ascii="Times New Roman" w:hAnsi="Times New Roman" w:cs="Times New Roman"/>
                <w:color w:val="000000" w:themeColor="text1"/>
                <w:sz w:val="24"/>
                <w:highlight w:val="none"/>
                <w14:textFill>
                  <w14:solidFill>
                    <w14:schemeClr w14:val="tx1"/>
                  </w14:solidFill>
                </w14:textFill>
              </w:rPr>
              <w:t>——</w:t>
            </w:r>
            <w:r>
              <w:rPr>
                <w:rFonts w:hint="eastAsia" w:ascii="Times New Roman" w:cs="Times New Roman"/>
                <w:color w:val="000000" w:themeColor="text1"/>
                <w:sz w:val="24"/>
                <w:highlight w:val="none"/>
                <w:lang w:val="en-US" w:eastAsia="zh-CN"/>
                <w14:textFill>
                  <w14:solidFill>
                    <w14:schemeClr w14:val="tx1"/>
                  </w14:solidFill>
                </w14:textFill>
              </w:rPr>
              <w:t>容器所需风量，</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w:t>
            </w:r>
          </w:p>
          <w:p w14:paraId="4C81BB30">
            <w:pPr>
              <w:pStyle w:val="41"/>
              <w:keepNext w:val="0"/>
              <w:keepLines w:val="0"/>
              <w:pageBreakBefore w:val="0"/>
              <w:widowControl w:val="0"/>
              <w:kinsoku/>
              <w:wordWrap/>
              <w:overflowPunct/>
              <w:topLinePunct w:val="0"/>
              <w:bidi w:val="0"/>
              <w:adjustRightInd w:val="0"/>
              <w:snapToGrid/>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eastAsia" w:ascii="Times New Roman" w:cs="Times New Roman"/>
                <w:color w:val="000000" w:themeColor="text1"/>
                <w:sz w:val="24"/>
                <w:highlight w:val="none"/>
                <w:lang w:val="en-US" w:eastAsia="zh-CN"/>
                <w14:textFill>
                  <w14:solidFill>
                    <w14:schemeClr w14:val="tx1"/>
                  </w14:solidFill>
                </w14:textFill>
              </w:rPr>
              <w:t>V</w:t>
            </w:r>
            <w:r>
              <w:rPr>
                <w:rFonts w:hint="default" w:ascii="Times New Roman" w:hAnsi="Times New Roman" w:cs="Times New Roman"/>
                <w:color w:val="000000" w:themeColor="text1"/>
                <w:sz w:val="24"/>
                <w:highlight w:val="none"/>
                <w14:textFill>
                  <w14:solidFill>
                    <w14:schemeClr w14:val="tx1"/>
                  </w14:solidFill>
                </w14:textFill>
              </w:rPr>
              <w:t>——</w:t>
            </w:r>
            <w:r>
              <w:rPr>
                <w:rFonts w:hint="eastAsia" w:ascii="Times New Roman" w:cs="Times New Roman"/>
                <w:color w:val="000000" w:themeColor="text1"/>
                <w:sz w:val="24"/>
                <w:highlight w:val="none"/>
                <w:lang w:val="en-US" w:eastAsia="zh-CN"/>
                <w14:textFill>
                  <w14:solidFill>
                    <w14:schemeClr w14:val="tx1"/>
                  </w14:solidFill>
                </w14:textFill>
              </w:rPr>
              <w:t>密闭容器的有效容积，</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eastAsia" w:ascii="Times New Roman" w:cs="Times New Roman"/>
                <w:color w:val="000000" w:themeColor="text1"/>
                <w:sz w:val="24"/>
                <w:highlight w:val="none"/>
                <w:vertAlign w:val="superscript"/>
                <w:lang w:val="en-US" w:eastAsia="zh-CN"/>
                <w14:textFill>
                  <w14:solidFill>
                    <w14:schemeClr w14:val="tx1"/>
                  </w14:solidFill>
                </w14:textFill>
              </w:rPr>
              <w:t xml:space="preserve"> </w:t>
            </w:r>
            <w:r>
              <w:rPr>
                <w:rFonts w:hint="default" w:ascii="Times New Roman" w:hAnsi="Times New Roman" w:cs="Times New Roman"/>
                <w:color w:val="000000" w:themeColor="text1"/>
                <w:sz w:val="24"/>
                <w:highlight w:val="none"/>
                <w14:textFill>
                  <w14:solidFill>
                    <w14:schemeClr w14:val="tx1"/>
                  </w14:solidFill>
                </w14:textFill>
              </w:rPr>
              <w:t>；</w:t>
            </w:r>
          </w:p>
          <w:p w14:paraId="2CDED6CF">
            <w:pPr>
              <w:pStyle w:val="41"/>
              <w:keepNext w:val="0"/>
              <w:keepLines w:val="0"/>
              <w:pageBreakBefore w:val="0"/>
              <w:widowControl w:val="0"/>
              <w:kinsoku/>
              <w:wordWrap/>
              <w:overflowPunct/>
              <w:topLinePunct w:val="0"/>
              <w:bidi w:val="0"/>
              <w:adjustRightInd w:val="0"/>
              <w:snapToGrid/>
              <w:spacing w:line="360" w:lineRule="auto"/>
              <w:ind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cs="Times New Roman"/>
                <w:color w:val="000000" w:themeColor="text1"/>
                <w:sz w:val="24"/>
                <w:highlight w:val="none"/>
                <w:lang w:val="en-US" w:eastAsia="zh-CN"/>
                <w14:textFill>
                  <w14:solidFill>
                    <w14:schemeClr w14:val="tx1"/>
                  </w14:solidFill>
                </w14:textFill>
              </w:rPr>
              <w:t>n</w:t>
            </w:r>
            <w:r>
              <w:rPr>
                <w:rFonts w:hint="default" w:ascii="Times New Roman" w:hAnsi="Times New Roman" w:cs="Times New Roman"/>
                <w:color w:val="000000" w:themeColor="text1"/>
                <w:sz w:val="24"/>
                <w:highlight w:val="none"/>
                <w14:textFill>
                  <w14:solidFill>
                    <w14:schemeClr w14:val="tx1"/>
                  </w14:solidFill>
                </w14:textFill>
              </w:rPr>
              <w:t>——</w:t>
            </w:r>
            <w:r>
              <w:rPr>
                <w:rFonts w:hint="eastAsia" w:ascii="Times New Roman" w:cs="Times New Roman"/>
                <w:color w:val="000000" w:themeColor="text1"/>
                <w:sz w:val="24"/>
                <w:highlight w:val="none"/>
                <w:lang w:val="en-US" w:eastAsia="zh-CN"/>
                <w14:textFill>
                  <w14:solidFill>
                    <w14:schemeClr w14:val="tx1"/>
                  </w14:solidFill>
                </w14:textFill>
              </w:rPr>
              <w:t>换气次数（容器与撕碎机直接连通，取上限30次/h）。</w:t>
            </w:r>
          </w:p>
          <w:p w14:paraId="71B6E7E8">
            <w:pPr>
              <w:numPr>
                <w:ilvl w:val="0"/>
                <w:numId w:val="0"/>
              </w:numPr>
              <w:adjustRightInd w:val="0"/>
              <w:snapToGrid w:val="0"/>
              <w:spacing w:line="360" w:lineRule="auto"/>
              <w:ind w:firstLine="480" w:firstLineChars="200"/>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三台撕碎机有效容积均为1.6m×1m×1m，</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废气收集总风量为</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144</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m</w:t>
            </w:r>
            <w:r>
              <w:rPr>
                <w:rFonts w:hint="default" w:ascii="Times New Roman" w:hAnsi="Times New Roman" w:eastAsia="宋体" w:cs="Times New Roman"/>
                <w:color w:val="000000" w:themeColor="text1"/>
                <w:kern w:val="0"/>
                <w:sz w:val="24"/>
                <w:szCs w:val="24"/>
                <w:highlight w:val="none"/>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/h</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p>
          <w:p w14:paraId="2CE2C6B5">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故总风量为9316.8</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m</w:t>
            </w:r>
            <w:r>
              <w:rPr>
                <w:rFonts w:hint="default" w:ascii="Times New Roman" w:hAnsi="Times New Roman" w:eastAsia="宋体" w:cs="Times New Roman"/>
                <w:color w:val="000000" w:themeColor="text1"/>
                <w:kern w:val="0"/>
                <w:sz w:val="24"/>
                <w:szCs w:val="24"/>
                <w:highlight w:val="none"/>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/h</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考虑到漏风等损失因素，所以本环评建议风量取</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10000</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m</w:t>
            </w:r>
            <w:r>
              <w:rPr>
                <w:rFonts w:hint="default" w:ascii="Times New Roman" w:hAnsi="Times New Roman" w:eastAsia="宋体" w:cs="Times New Roman"/>
                <w:color w:val="000000" w:themeColor="text1"/>
                <w:kern w:val="0"/>
                <w:sz w:val="24"/>
                <w:szCs w:val="24"/>
                <w:highlight w:val="none"/>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/h。</w:t>
            </w:r>
          </w:p>
          <w:p w14:paraId="0D7D34E4">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《陕西省大气主要污染物许可排放量及实际排放量核定方法》表1中VOCs废气收集集气效率参考值：包围型集气设备-废气收集方式</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-敞开面控制风速在0.3-0.5m/s之间</w:t>
            </w:r>
            <w:r>
              <w:rPr>
                <w:rFonts w:hint="eastAsia" w:cs="Times New Roman"/>
                <w:color w:val="000000" w:themeColor="text1"/>
                <w:kern w:val="0"/>
                <w:sz w:val="24"/>
                <w:szCs w:val="24"/>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集气效率取值40%</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；全密封设备/空间</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设备废气排口直连设备有固定排放管</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或口</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直接与风管连接，设备整体密闭只留产品进出口，且进出口处有废气收集措施，收集系统运行时周边基本无VOCs散发</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收集效率</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为</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95%。</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综上，本次评价收集效率</w:t>
            </w:r>
            <w:r>
              <w:rPr>
                <w:rFonts w:hint="eastAsia" w:cs="Times New Roman"/>
                <w:color w:val="000000" w:themeColor="text1"/>
                <w:kern w:val="0"/>
                <w:sz w:val="24"/>
                <w:szCs w:val="24"/>
                <w:highlight w:val="none"/>
                <w:lang w:val="en-US" w:eastAsia="zh-CN" w:bidi="ar"/>
                <w14:textFill>
                  <w14:solidFill>
                    <w14:schemeClr w14:val="tx1"/>
                  </w14:solidFill>
                </w14:textFill>
              </w:rPr>
              <w:t>按照集气罩风量和</w:t>
            </w:r>
            <w:r>
              <w:rPr>
                <w:rFonts w:hint="eastAsia" w:ascii="Times New Roman" w:eastAsia="宋体" w:cs="Times New Roman"/>
                <w:color w:val="000000" w:themeColor="text1"/>
                <w:kern w:val="0"/>
                <w:sz w:val="24"/>
                <w:szCs w:val="24"/>
                <w:highlight w:val="none"/>
                <w:lang w:val="en-US" w:eastAsia="zh-CN" w:bidi="ar"/>
                <w14:textFill>
                  <w14:solidFill>
                    <w14:schemeClr w14:val="tx1"/>
                  </w14:solidFill>
                </w14:textFill>
              </w:rPr>
              <w:t>管道风量</w:t>
            </w:r>
            <w:r>
              <w:rPr>
                <w:rFonts w:hint="eastAsia" w:eastAsia="宋体" w:cs="Times New Roman"/>
                <w:color w:val="000000" w:themeColor="text1"/>
                <w:kern w:val="0"/>
                <w:sz w:val="24"/>
                <w:szCs w:val="24"/>
                <w:highlight w:val="none"/>
                <w:lang w:val="en-US" w:eastAsia="zh-CN" w:bidi="ar"/>
                <w14:textFill>
                  <w14:solidFill>
                    <w14:schemeClr w14:val="tx1"/>
                  </w14:solidFill>
                </w14:textFill>
              </w:rPr>
              <w:t>占总风量比值计算，最终收集效率取41%</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p>
          <w:p w14:paraId="042F4787">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auto"/>
              <w:rPr>
                <w:rFonts w:hint="eastAsia"/>
                <w:color w:val="000000" w:themeColor="text1"/>
                <w:lang w:val="en-US" w:eastAsia="zh-CN"/>
                <w14:textFill>
                  <w14:solidFill>
                    <w14:schemeClr w14:val="tx1"/>
                  </w14:solidFill>
                </w14:textFill>
              </w:rPr>
            </w:pPr>
            <w:r>
              <w:rPr>
                <w:rFonts w:hint="eastAsia" w:cs="Times New Roman"/>
                <w:color w:val="000000" w:themeColor="text1"/>
                <w:kern w:val="0"/>
                <w:sz w:val="24"/>
                <w:szCs w:val="24"/>
                <w:highlight w:val="none"/>
                <w:lang w:val="en-US" w:eastAsia="zh-CN" w:bidi="ar"/>
                <w14:textFill>
                  <w14:solidFill>
                    <w14:schemeClr w14:val="tx1"/>
                  </w14:solidFill>
                </w14:textFill>
              </w:rPr>
              <w:t>根据</w:t>
            </w:r>
            <w:r>
              <w:rPr>
                <w:rFonts w:hint="default" w:ascii="宋体" w:hAnsi="宋体" w:eastAsia="宋体" w:cs="宋体"/>
                <w:color w:val="000000" w:themeColor="text1"/>
                <w:kern w:val="0"/>
                <w:sz w:val="24"/>
                <w:szCs w:val="24"/>
                <w:highlight w:val="none"/>
                <w:lang w:val="en-US" w:eastAsia="zh-CN" w:bidi="ar"/>
                <w14:textFill>
                  <w14:solidFill>
                    <w14:schemeClr w14:val="tx1"/>
                  </w14:solidFill>
                </w14:textFill>
              </w:rPr>
              <w:t>《排放源统计调查产排污核算方法和系数手册》</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（生态环境部公告2021年第24 号）中 《4220 非金属废料和碎屑加工处理行业系数表》</w:t>
            </w:r>
            <w:r>
              <w:rPr>
                <w:rFonts w:hint="eastAsia" w:eastAsia="宋体" w:cs="Times New Roman"/>
                <w:color w:val="000000" w:themeColor="text1"/>
                <w:kern w:val="0"/>
                <w:sz w:val="24"/>
                <w:szCs w:val="24"/>
                <w:highlight w:val="none"/>
                <w:lang w:val="en-US" w:eastAsia="zh-CN" w:bidi="ar"/>
                <w14:textFill>
                  <w14:solidFill>
                    <w14:schemeClr w14:val="tx1"/>
                  </w14:solidFill>
                </w14:textFill>
              </w:rPr>
              <w:t>可知</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袋式除尘器处理效率</w:t>
            </w:r>
            <w:r>
              <w:rPr>
                <w:rFonts w:hint="eastAsia" w:cs="Times New Roman"/>
                <w:color w:val="000000" w:themeColor="text1"/>
                <w:kern w:val="0"/>
                <w:sz w:val="24"/>
                <w:szCs w:val="24"/>
                <w:highlight w:val="none"/>
                <w:lang w:val="en-US" w:eastAsia="zh-CN" w:bidi="ar"/>
                <w14:textFill>
                  <w14:solidFill>
                    <w14:schemeClr w14:val="tx1"/>
                  </w14:solidFill>
                </w14:textFill>
              </w:rPr>
              <w:t>为</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9</w:t>
            </w:r>
            <w:r>
              <w:rPr>
                <w:rFonts w:hint="eastAsia" w:cs="Times New Roman"/>
                <w:color w:val="000000" w:themeColor="text1"/>
                <w:kern w:val="0"/>
                <w:sz w:val="24"/>
                <w:szCs w:val="24"/>
                <w:highlight w:val="none"/>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年工作</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时间</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7920h。</w:t>
            </w:r>
          </w:p>
          <w:p w14:paraId="5C09C2EB">
            <w:pPr>
              <w:numPr>
                <w:ilvl w:val="0"/>
                <w:numId w:val="0"/>
              </w:numPr>
              <w:adjustRightInd w:val="0"/>
              <w:snapToGrid w:val="0"/>
              <w:spacing w:line="360" w:lineRule="auto"/>
              <w:ind w:left="0" w:leftChars="0" w:firstLine="480" w:firstLineChars="200"/>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eastAsia" w:ascii="宋体" w:hAnsi="宋体" w:cs="宋体"/>
                <w:color w:val="000000" w:themeColor="text1"/>
                <w:kern w:val="0"/>
                <w:sz w:val="24"/>
                <w:szCs w:val="24"/>
                <w:highlight w:val="none"/>
                <w:lang w:val="en-US" w:eastAsia="zh-CN" w:bidi="ar"/>
                <w14:textFill>
                  <w14:solidFill>
                    <w14:schemeClr w14:val="tx1"/>
                  </w14:solidFill>
                </w14:textFill>
              </w:rPr>
              <w:t>上料、破碎和打包</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工序</w:t>
            </w:r>
            <w:r>
              <w:rPr>
                <w:rFonts w:hint="default" w:ascii="宋体" w:hAnsi="宋体" w:eastAsia="宋体" w:cs="宋体"/>
                <w:color w:val="000000" w:themeColor="text1"/>
                <w:kern w:val="0"/>
                <w:sz w:val="24"/>
                <w:szCs w:val="24"/>
                <w:highlight w:val="none"/>
                <w:lang w:val="en-US" w:eastAsia="zh-CN" w:bidi="ar"/>
                <w14:textFill>
                  <w14:solidFill>
                    <w14:schemeClr w14:val="tx1"/>
                  </w14:solidFill>
                </w14:textFill>
              </w:rPr>
              <w:t>均在封闭厂房内完成。参照《排放源统计调查产排污核算方法和系数手册》</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（生态环境部公告2021年第24 号）中 《4220 非金属废料和碎屑加工处理行业系数表》中粉尘产生系数及排放量：</w:t>
            </w:r>
          </w:p>
          <w:p w14:paraId="2392F284">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表4-1</w:t>
            </w:r>
            <w:r>
              <w:rPr>
                <w:rFonts w:hint="eastAsia" w:cs="Times New Roman"/>
                <w:b/>
                <w:bCs/>
                <w:color w:val="000000" w:themeColor="text1"/>
                <w:sz w:val="21"/>
                <w:szCs w:val="21"/>
                <w:highlight w:val="none"/>
                <w:lang w:val="en-US" w:eastAsia="zh-CN"/>
                <w14:textFill>
                  <w14:solidFill>
                    <w14:schemeClr w14:val="tx1"/>
                  </w14:solidFill>
                </w14:textFill>
              </w:rPr>
              <w:t xml:space="preserve"> 产污</w:t>
            </w: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系数表</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0" w:type="dxa"/>
              </w:tblCellMar>
            </w:tblPr>
            <w:tblGrid>
              <w:gridCol w:w="437"/>
              <w:gridCol w:w="958"/>
              <w:gridCol w:w="1335"/>
              <w:gridCol w:w="960"/>
              <w:gridCol w:w="795"/>
              <w:gridCol w:w="3100"/>
              <w:gridCol w:w="727"/>
            </w:tblGrid>
            <w:tr w14:paraId="34616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Align w:val="center"/>
                </w:tcPr>
                <w:p w14:paraId="02898B3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宋体" w:cs="Times New Roman"/>
                      <w:b/>
                      <w:bCs/>
                      <w:color w:val="000000" w:themeColor="text1"/>
                      <w:highlight w:val="none"/>
                      <w:lang w:val="en-US" w:eastAsia="zh-CN"/>
                      <w14:textFill>
                        <w14:solidFill>
                          <w14:schemeClr w14:val="tx1"/>
                        </w14:solidFill>
                      </w14:textFill>
                    </w:rPr>
                  </w:pPr>
                  <w:r>
                    <w:rPr>
                      <w:rFonts w:hint="eastAsia" w:eastAsia="宋体" w:cs="Times New Roman"/>
                      <w:b/>
                      <w:bCs/>
                      <w:color w:val="000000" w:themeColor="text1"/>
                      <w:highlight w:val="none"/>
                      <w:lang w:val="en-US" w:eastAsia="zh-CN"/>
                      <w14:textFill>
                        <w14:solidFill>
                          <w14:schemeClr w14:val="tx1"/>
                        </w14:solidFill>
                      </w14:textFill>
                    </w:rPr>
                    <w:t>序号</w:t>
                  </w:r>
                </w:p>
              </w:tc>
              <w:tc>
                <w:tcPr>
                  <w:tcW w:w="576" w:type="pct"/>
                  <w:vAlign w:val="center"/>
                </w:tcPr>
                <w:p w14:paraId="65886DC8">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宋体" w:cs="Times New Roman"/>
                      <w:b/>
                      <w:bCs/>
                      <w:color w:val="000000" w:themeColor="text1"/>
                      <w:highlight w:val="none"/>
                      <w:lang w:val="en-US" w:eastAsia="zh-CN"/>
                      <w14:textFill>
                        <w14:solidFill>
                          <w14:schemeClr w14:val="tx1"/>
                        </w14:solidFill>
                      </w14:textFill>
                    </w:rPr>
                  </w:pPr>
                  <w:r>
                    <w:rPr>
                      <w:rFonts w:hint="default" w:eastAsia="宋体" w:cs="Times New Roman"/>
                      <w:b/>
                      <w:bCs/>
                      <w:color w:val="000000" w:themeColor="text1"/>
                      <w:highlight w:val="none"/>
                      <w:lang w:val="en-US" w:eastAsia="zh-CN"/>
                      <w14:textFill>
                        <w14:solidFill>
                          <w14:schemeClr w14:val="tx1"/>
                        </w14:solidFill>
                      </w14:textFill>
                    </w:rPr>
                    <w:t>废物种类</w:t>
                  </w:r>
                </w:p>
              </w:tc>
              <w:tc>
                <w:tcPr>
                  <w:tcW w:w="803" w:type="pct"/>
                  <w:vAlign w:val="center"/>
                </w:tcPr>
                <w:p w14:paraId="01F77BD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宋体" w:cs="Times New Roman"/>
                      <w:b/>
                      <w:bCs/>
                      <w:color w:val="000000" w:themeColor="text1"/>
                      <w:highlight w:val="none"/>
                      <w:lang w:val="en-US" w:eastAsia="zh-CN"/>
                      <w14:textFill>
                        <w14:solidFill>
                          <w14:schemeClr w14:val="tx1"/>
                        </w14:solidFill>
                      </w14:textFill>
                    </w:rPr>
                  </w:pPr>
                  <w:r>
                    <w:rPr>
                      <w:rFonts w:hint="default" w:eastAsia="宋体" w:cs="Times New Roman"/>
                      <w:b/>
                      <w:bCs/>
                      <w:color w:val="000000" w:themeColor="text1"/>
                      <w:highlight w:val="none"/>
                      <w:lang w:val="en-US" w:eastAsia="zh-CN"/>
                      <w14:textFill>
                        <w14:solidFill>
                          <w14:schemeClr w14:val="tx1"/>
                        </w14:solidFill>
                      </w14:textFill>
                    </w:rPr>
                    <w:t>固体废物名称</w:t>
                  </w:r>
                </w:p>
              </w:tc>
              <w:tc>
                <w:tcPr>
                  <w:tcW w:w="577" w:type="pct"/>
                  <w:vAlign w:val="center"/>
                </w:tcPr>
                <w:p w14:paraId="686F911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宋体" w:cs="Times New Roman"/>
                      <w:b/>
                      <w:bCs/>
                      <w:color w:val="000000" w:themeColor="text1"/>
                      <w:highlight w:val="none"/>
                      <w:lang w:val="en-US" w:eastAsia="zh-CN"/>
                      <w14:textFill>
                        <w14:solidFill>
                          <w14:schemeClr w14:val="tx1"/>
                        </w14:solidFill>
                      </w14:textFill>
                    </w:rPr>
                  </w:pPr>
                  <w:r>
                    <w:rPr>
                      <w:rFonts w:hint="eastAsia" w:eastAsia="宋体" w:cs="Times New Roman"/>
                      <w:b/>
                      <w:bCs/>
                      <w:color w:val="000000" w:themeColor="text1"/>
                      <w:highlight w:val="none"/>
                      <w:lang w:val="en-US" w:eastAsia="zh-CN"/>
                      <w14:textFill>
                        <w14:solidFill>
                          <w14:schemeClr w14:val="tx1"/>
                        </w14:solidFill>
                      </w14:textFill>
                    </w:rPr>
                    <w:t>原料用量（</w:t>
                  </w:r>
                  <w:r>
                    <w:rPr>
                      <w:rFonts w:hint="default" w:eastAsia="宋体" w:cs="Times New Roman"/>
                      <w:b/>
                      <w:bCs/>
                      <w:color w:val="000000" w:themeColor="text1"/>
                      <w:highlight w:val="none"/>
                      <w:lang w:val="en-US" w:eastAsia="zh-CN"/>
                      <w14:textFill>
                        <w14:solidFill>
                          <w14:schemeClr w14:val="tx1"/>
                        </w14:solidFill>
                      </w14:textFill>
                    </w:rPr>
                    <w:t>t/a</w:t>
                  </w:r>
                  <w:r>
                    <w:rPr>
                      <w:rFonts w:hint="eastAsia" w:eastAsia="宋体" w:cs="Times New Roman"/>
                      <w:b/>
                      <w:bCs/>
                      <w:color w:val="000000" w:themeColor="text1"/>
                      <w:highlight w:val="none"/>
                      <w:lang w:val="en-US" w:eastAsia="zh-CN"/>
                      <w14:textFill>
                        <w14:solidFill>
                          <w14:schemeClr w14:val="tx1"/>
                        </w14:solidFill>
                      </w14:textFill>
                    </w:rPr>
                    <w:t>）</w:t>
                  </w:r>
                </w:p>
              </w:tc>
              <w:tc>
                <w:tcPr>
                  <w:tcW w:w="478" w:type="pct"/>
                  <w:vAlign w:val="center"/>
                </w:tcPr>
                <w:p w14:paraId="4301A759">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宋体" w:cs="Times New Roman"/>
                      <w:b/>
                      <w:bCs/>
                      <w:color w:val="000000" w:themeColor="text1"/>
                      <w:highlight w:val="none"/>
                      <w:lang w:val="en-US" w:eastAsia="zh-CN"/>
                      <w14:textFill>
                        <w14:solidFill>
                          <w14:schemeClr w14:val="tx1"/>
                        </w14:solidFill>
                      </w14:textFill>
                    </w:rPr>
                  </w:pPr>
                  <w:r>
                    <w:rPr>
                      <w:rFonts w:hint="eastAsia" w:eastAsia="宋体" w:cs="Times New Roman"/>
                      <w:b/>
                      <w:bCs/>
                      <w:color w:val="000000" w:themeColor="text1"/>
                      <w:highlight w:val="none"/>
                      <w:lang w:val="en-US" w:eastAsia="zh-CN"/>
                      <w14:textFill>
                        <w14:solidFill>
                          <w14:schemeClr w14:val="tx1"/>
                        </w14:solidFill>
                      </w14:textFill>
                    </w:rPr>
                    <w:t>总量</w:t>
                  </w:r>
                </w:p>
                <w:p w14:paraId="205BDF9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宋体" w:cs="Times New Roman"/>
                      <w:b/>
                      <w:bCs/>
                      <w:color w:val="000000" w:themeColor="text1"/>
                      <w:highlight w:val="none"/>
                      <w:lang w:val="en-US" w:eastAsia="zh-CN"/>
                      <w14:textFill>
                        <w14:solidFill>
                          <w14:schemeClr w14:val="tx1"/>
                        </w14:solidFill>
                      </w14:textFill>
                    </w:rPr>
                  </w:pPr>
                  <w:r>
                    <w:rPr>
                      <w:rFonts w:hint="eastAsia" w:eastAsia="宋体" w:cs="Times New Roman"/>
                      <w:b/>
                      <w:bCs/>
                      <w:color w:val="000000" w:themeColor="text1"/>
                      <w:highlight w:val="none"/>
                      <w:lang w:val="en-US" w:eastAsia="zh-CN"/>
                      <w14:textFill>
                        <w14:solidFill>
                          <w14:schemeClr w14:val="tx1"/>
                        </w14:solidFill>
                      </w14:textFill>
                    </w:rPr>
                    <w:t>（t/a）</w:t>
                  </w:r>
                </w:p>
              </w:tc>
              <w:tc>
                <w:tcPr>
                  <w:tcW w:w="1864" w:type="pct"/>
                  <w:vAlign w:val="center"/>
                </w:tcPr>
                <w:p w14:paraId="65C490C9">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宋体" w:cs="Times New Roman"/>
                      <w:b/>
                      <w:bCs/>
                      <w:color w:val="000000" w:themeColor="text1"/>
                      <w:highlight w:val="none"/>
                      <w:lang w:val="en-US" w:eastAsia="zh-CN"/>
                      <w14:textFill>
                        <w14:solidFill>
                          <w14:schemeClr w14:val="tx1"/>
                        </w14:solidFill>
                      </w14:textFill>
                    </w:rPr>
                  </w:pPr>
                  <w:r>
                    <w:rPr>
                      <w:rFonts w:hint="default" w:eastAsia="宋体" w:cs="Times New Roman"/>
                      <w:b/>
                      <w:bCs/>
                      <w:color w:val="000000" w:themeColor="text1"/>
                      <w:highlight w:val="none"/>
                      <w:lang w:val="en-US" w:eastAsia="zh-CN"/>
                      <w14:textFill>
                        <w14:solidFill>
                          <w14:schemeClr w14:val="tx1"/>
                        </w14:solidFill>
                      </w14:textFill>
                    </w:rPr>
                    <w:t>《排放源统计调查产排污核算方法和系数手册》</w:t>
                  </w:r>
                  <w:r>
                    <w:rPr>
                      <w:rFonts w:hint="eastAsia" w:eastAsia="宋体" w:cs="Times New Roman"/>
                      <w:b/>
                      <w:bCs/>
                      <w:color w:val="000000" w:themeColor="text1"/>
                      <w:highlight w:val="none"/>
                      <w:lang w:val="en-US" w:eastAsia="zh-CN"/>
                      <w14:textFill>
                        <w14:solidFill>
                          <w14:schemeClr w14:val="tx1"/>
                        </w14:solidFill>
                      </w14:textFill>
                    </w:rPr>
                    <w:t>中的产污系数</w:t>
                  </w:r>
                </w:p>
              </w:tc>
              <w:tc>
                <w:tcPr>
                  <w:tcW w:w="437" w:type="pct"/>
                  <w:vAlign w:val="center"/>
                </w:tcPr>
                <w:p w14:paraId="7B60934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宋体" w:cs="Times New Roman"/>
                      <w:b/>
                      <w:bCs/>
                      <w:color w:val="000000" w:themeColor="text1"/>
                      <w:highlight w:val="none"/>
                      <w:lang w:val="en-US" w:eastAsia="zh-CN"/>
                      <w14:textFill>
                        <w14:solidFill>
                          <w14:schemeClr w14:val="tx1"/>
                        </w14:solidFill>
                      </w14:textFill>
                    </w:rPr>
                  </w:pPr>
                  <w:r>
                    <w:rPr>
                      <w:rFonts w:hint="eastAsia" w:eastAsia="宋体" w:cs="Times New Roman"/>
                      <w:b/>
                      <w:bCs/>
                      <w:color w:val="000000" w:themeColor="text1"/>
                      <w:highlight w:val="none"/>
                      <w:lang w:val="en-US" w:eastAsia="zh-CN"/>
                      <w14:textFill>
                        <w14:solidFill>
                          <w14:schemeClr w14:val="tx1"/>
                        </w14:solidFill>
                      </w14:textFill>
                    </w:rPr>
                    <w:t>颗粒物产生量（t/a）</w:t>
                  </w:r>
                </w:p>
              </w:tc>
            </w:tr>
            <w:tr w14:paraId="4DF0C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restart"/>
                  <w:vAlign w:val="center"/>
                </w:tcPr>
                <w:p w14:paraId="0DE09319">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1</w:t>
                  </w:r>
                </w:p>
                <w:p w14:paraId="4C1797B1">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restart"/>
                  <w:vAlign w:val="center"/>
                </w:tcPr>
                <w:p w14:paraId="0532AB20">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SW14</w:t>
                  </w:r>
                </w:p>
                <w:p w14:paraId="6926E0C9">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纺织皮革业废物</w:t>
                  </w:r>
                </w:p>
                <w:p w14:paraId="2755A049">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379025A1">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废丝</w:t>
                  </w:r>
                </w:p>
              </w:tc>
              <w:tc>
                <w:tcPr>
                  <w:tcW w:w="577" w:type="pct"/>
                  <w:vAlign w:val="center"/>
                </w:tcPr>
                <w:p w14:paraId="32B9F97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2500</w:t>
                  </w:r>
                </w:p>
              </w:tc>
              <w:tc>
                <w:tcPr>
                  <w:tcW w:w="478" w:type="pct"/>
                  <w:vMerge w:val="restart"/>
                  <w:vAlign w:val="center"/>
                </w:tcPr>
                <w:p w14:paraId="430AF88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p w14:paraId="2CD5B22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24500</w:t>
                  </w:r>
                </w:p>
              </w:tc>
              <w:tc>
                <w:tcPr>
                  <w:tcW w:w="1864" w:type="pct"/>
                  <w:vMerge w:val="restart"/>
                  <w:vAlign w:val="center"/>
                </w:tcPr>
                <w:p w14:paraId="2476A419">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废布/废纺织品</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w:t>
                  </w:r>
                </w:p>
                <w:p w14:paraId="055F4C2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375g/t-原料</w:t>
                  </w:r>
                </w:p>
              </w:tc>
              <w:tc>
                <w:tcPr>
                  <w:tcW w:w="437" w:type="pct"/>
                  <w:vMerge w:val="restart"/>
                  <w:vAlign w:val="center"/>
                </w:tcPr>
                <w:p w14:paraId="7E41970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9.188</w:t>
                  </w:r>
                </w:p>
              </w:tc>
            </w:tr>
            <w:tr w14:paraId="159AA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75686973">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7A1DFE51">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2971DB72">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革屑和革灰</w:t>
                  </w:r>
                </w:p>
              </w:tc>
              <w:tc>
                <w:tcPr>
                  <w:tcW w:w="577" w:type="pct"/>
                  <w:vAlign w:val="center"/>
                </w:tcPr>
                <w:p w14:paraId="157C876D">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10000</w:t>
                  </w:r>
                </w:p>
              </w:tc>
              <w:tc>
                <w:tcPr>
                  <w:tcW w:w="478" w:type="pct"/>
                  <w:vMerge w:val="continue"/>
                  <w:vAlign w:val="center"/>
                </w:tcPr>
                <w:p w14:paraId="1BF79CCD">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0753F17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both"/>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532D59E9">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5A79E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1F2FF5C5">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2FF4B6E5">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5D15D33D">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其他纺织皮革业废物</w:t>
                  </w:r>
                </w:p>
              </w:tc>
              <w:tc>
                <w:tcPr>
                  <w:tcW w:w="577" w:type="pct"/>
                  <w:vAlign w:val="center"/>
                </w:tcPr>
                <w:p w14:paraId="4A3DFC24">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12000</w:t>
                  </w:r>
                </w:p>
              </w:tc>
              <w:tc>
                <w:tcPr>
                  <w:tcW w:w="478" w:type="pct"/>
                  <w:vMerge w:val="continue"/>
                  <w:vAlign w:val="center"/>
                </w:tcPr>
                <w:p w14:paraId="52BB350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654EC0A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both"/>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249C34E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4AF3D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restart"/>
                  <w:vAlign w:val="center"/>
                </w:tcPr>
                <w:p w14:paraId="72B09FC1">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2</w:t>
                  </w:r>
                </w:p>
              </w:tc>
              <w:tc>
                <w:tcPr>
                  <w:tcW w:w="576" w:type="pct"/>
                  <w:vMerge w:val="restart"/>
                  <w:vAlign w:val="center"/>
                </w:tcPr>
                <w:p w14:paraId="7D8EB18C">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SW15</w:t>
                  </w:r>
                </w:p>
                <w:p w14:paraId="01267C6C">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造纸印刷业废物</w:t>
                  </w:r>
                </w:p>
                <w:p w14:paraId="78F8C311">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606FA2D7">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碎浆废物</w:t>
                  </w:r>
                </w:p>
              </w:tc>
              <w:tc>
                <w:tcPr>
                  <w:tcW w:w="577" w:type="pct"/>
                  <w:vAlign w:val="center"/>
                </w:tcPr>
                <w:p w14:paraId="378CF58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78" w:type="pct"/>
                  <w:vMerge w:val="restart"/>
                  <w:vAlign w:val="center"/>
                </w:tcPr>
                <w:p w14:paraId="736A81E8">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7400</w:t>
                  </w:r>
                </w:p>
              </w:tc>
              <w:tc>
                <w:tcPr>
                  <w:tcW w:w="1864" w:type="pct"/>
                  <w:vMerge w:val="restart"/>
                  <w:vAlign w:val="center"/>
                </w:tcPr>
                <w:p w14:paraId="33513866">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纸塑铝复合材料</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w:t>
                  </w:r>
                </w:p>
                <w:p w14:paraId="082F0FDB">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490g/t-原料</w:t>
                  </w:r>
                </w:p>
              </w:tc>
              <w:tc>
                <w:tcPr>
                  <w:tcW w:w="437" w:type="pct"/>
                  <w:vMerge w:val="restart"/>
                  <w:vAlign w:val="center"/>
                </w:tcPr>
                <w:p w14:paraId="26D96CB4">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3.626</w:t>
                  </w:r>
                </w:p>
              </w:tc>
            </w:tr>
            <w:tr w14:paraId="72922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12261938">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08E283C9">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70A486D9">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筛浆废物</w:t>
                  </w:r>
                </w:p>
              </w:tc>
              <w:tc>
                <w:tcPr>
                  <w:tcW w:w="577" w:type="pct"/>
                  <w:vAlign w:val="center"/>
                </w:tcPr>
                <w:p w14:paraId="73E6F0F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w:t>
                  </w:r>
                </w:p>
              </w:tc>
              <w:tc>
                <w:tcPr>
                  <w:tcW w:w="478" w:type="pct"/>
                  <w:vMerge w:val="continue"/>
                  <w:vAlign w:val="center"/>
                </w:tcPr>
                <w:p w14:paraId="10665737">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38E1041F">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6FB05B1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3177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1A56A2B6">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52638ED6">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71B9C5C4">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备料废渣</w:t>
                  </w:r>
                </w:p>
              </w:tc>
              <w:tc>
                <w:tcPr>
                  <w:tcW w:w="577" w:type="pct"/>
                  <w:vAlign w:val="center"/>
                </w:tcPr>
                <w:p w14:paraId="5D4982F5">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w:t>
                  </w:r>
                </w:p>
              </w:tc>
              <w:tc>
                <w:tcPr>
                  <w:tcW w:w="478" w:type="pct"/>
                  <w:vMerge w:val="continue"/>
                  <w:vAlign w:val="center"/>
                </w:tcPr>
                <w:p w14:paraId="58737D4D">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0D40550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18D296D7">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4D169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4973698B">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1CB12913">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513B5F56">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造纸备料废渣</w:t>
                  </w:r>
                </w:p>
              </w:tc>
              <w:tc>
                <w:tcPr>
                  <w:tcW w:w="577" w:type="pct"/>
                  <w:vAlign w:val="center"/>
                </w:tcPr>
                <w:p w14:paraId="46E497EF">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1400</w:t>
                  </w:r>
                </w:p>
              </w:tc>
              <w:tc>
                <w:tcPr>
                  <w:tcW w:w="478" w:type="pct"/>
                  <w:vMerge w:val="continue"/>
                  <w:vAlign w:val="center"/>
                </w:tcPr>
                <w:p w14:paraId="34D99C5E">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424202A7">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6AD91CF1">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1307D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44591595">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7DBD70F8">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0B4C9C44">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其他造纸印刷业废物</w:t>
                  </w:r>
                </w:p>
              </w:tc>
              <w:tc>
                <w:tcPr>
                  <w:tcW w:w="577" w:type="pct"/>
                  <w:vAlign w:val="center"/>
                </w:tcPr>
                <w:p w14:paraId="1C6CE6B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78" w:type="pct"/>
                  <w:vMerge w:val="continue"/>
                  <w:vAlign w:val="center"/>
                </w:tcPr>
                <w:p w14:paraId="4AD4D82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7562CB4E">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26176B3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27AE8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restart"/>
                  <w:vAlign w:val="center"/>
                </w:tcPr>
                <w:p w14:paraId="15C13FF6">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3</w:t>
                  </w:r>
                </w:p>
              </w:tc>
              <w:tc>
                <w:tcPr>
                  <w:tcW w:w="576" w:type="pct"/>
                  <w:vMerge w:val="restart"/>
                  <w:vAlign w:val="center"/>
                </w:tcPr>
                <w:p w14:paraId="47647837">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p w14:paraId="052F11E9">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SW17</w:t>
                  </w:r>
                </w:p>
                <w:p w14:paraId="62AF5DE9">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可再生类废物</w:t>
                  </w:r>
                </w:p>
                <w:p w14:paraId="2010F5CA">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7DC3FF5D">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废塑料</w:t>
                  </w:r>
                </w:p>
              </w:tc>
              <w:tc>
                <w:tcPr>
                  <w:tcW w:w="577" w:type="pct"/>
                  <w:vAlign w:val="center"/>
                </w:tcPr>
                <w:p w14:paraId="1F00D091">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78" w:type="pct"/>
                  <w:vMerge w:val="restart"/>
                  <w:vAlign w:val="center"/>
                </w:tcPr>
                <w:p w14:paraId="44B68E08">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p w14:paraId="45A5D7AB">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p w14:paraId="6B7ECC5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p w14:paraId="6486A61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22000</w:t>
                  </w:r>
                </w:p>
              </w:tc>
              <w:tc>
                <w:tcPr>
                  <w:tcW w:w="1864" w:type="pct"/>
                  <w:vMerge w:val="restart"/>
                  <w:vAlign w:val="center"/>
                </w:tcPr>
                <w:p w14:paraId="291D2E6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废布/废纺织品</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w:t>
                  </w:r>
                </w:p>
                <w:p w14:paraId="7F970992">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375g/t-原料</w:t>
                  </w:r>
                </w:p>
              </w:tc>
              <w:tc>
                <w:tcPr>
                  <w:tcW w:w="437" w:type="pct"/>
                  <w:vMerge w:val="restart"/>
                  <w:vAlign w:val="center"/>
                </w:tcPr>
                <w:p w14:paraId="23DD8A6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8.250</w:t>
                  </w:r>
                </w:p>
              </w:tc>
            </w:tr>
            <w:tr w14:paraId="5C3FE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7B1033BF">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628414AE">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4747D839">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废纸</w:t>
                  </w:r>
                </w:p>
              </w:tc>
              <w:tc>
                <w:tcPr>
                  <w:tcW w:w="577" w:type="pct"/>
                  <w:vAlign w:val="center"/>
                </w:tcPr>
                <w:p w14:paraId="2AA69CF1">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w:t>
                  </w:r>
                </w:p>
              </w:tc>
              <w:tc>
                <w:tcPr>
                  <w:tcW w:w="478" w:type="pct"/>
                  <w:vMerge w:val="continue"/>
                  <w:vAlign w:val="center"/>
                </w:tcPr>
                <w:p w14:paraId="4614DA4F">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0167CE6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both"/>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00D54801">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r>
            <w:tr w14:paraId="5689F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4FC5CFE5">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4CD601FD">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68156E1B">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废橡胶</w:t>
                  </w:r>
                </w:p>
              </w:tc>
              <w:tc>
                <w:tcPr>
                  <w:tcW w:w="577" w:type="pct"/>
                  <w:vAlign w:val="center"/>
                </w:tcPr>
                <w:p w14:paraId="132F1DA9">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w:t>
                  </w:r>
                </w:p>
              </w:tc>
              <w:tc>
                <w:tcPr>
                  <w:tcW w:w="478" w:type="pct"/>
                  <w:vMerge w:val="continue"/>
                  <w:vAlign w:val="center"/>
                </w:tcPr>
                <w:p w14:paraId="7A500DC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231CA209">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both"/>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45FAEB4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r>
            <w:tr w14:paraId="2189B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3808562A">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00928ED3">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4A708DE7">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废纺织品</w:t>
                  </w:r>
                </w:p>
              </w:tc>
              <w:tc>
                <w:tcPr>
                  <w:tcW w:w="577" w:type="pct"/>
                  <w:vAlign w:val="center"/>
                </w:tcPr>
                <w:p w14:paraId="2C7F51D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6000</w:t>
                  </w:r>
                </w:p>
              </w:tc>
              <w:tc>
                <w:tcPr>
                  <w:tcW w:w="478" w:type="pct"/>
                  <w:vMerge w:val="continue"/>
                  <w:vAlign w:val="center"/>
                </w:tcPr>
                <w:p w14:paraId="48F5212B">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1864166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both"/>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704CFB8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r>
            <w:tr w14:paraId="51061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4B54B8D7">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71EF073D">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5395077A">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废木材</w:t>
                  </w:r>
                </w:p>
              </w:tc>
              <w:tc>
                <w:tcPr>
                  <w:tcW w:w="577" w:type="pct"/>
                  <w:vAlign w:val="center"/>
                </w:tcPr>
                <w:p w14:paraId="118D36BE">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6000</w:t>
                  </w:r>
                </w:p>
              </w:tc>
              <w:tc>
                <w:tcPr>
                  <w:tcW w:w="478" w:type="pct"/>
                  <w:vMerge w:val="continue"/>
                  <w:vAlign w:val="center"/>
                </w:tcPr>
                <w:p w14:paraId="363F894D">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648E03BB">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both"/>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0613266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17E8B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7D1EB250">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5C7A8207">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076CEAA1">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废纤维及复合材料</w:t>
                  </w:r>
                </w:p>
              </w:tc>
              <w:tc>
                <w:tcPr>
                  <w:tcW w:w="577" w:type="pct"/>
                  <w:vAlign w:val="center"/>
                </w:tcPr>
                <w:p w14:paraId="075A16A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78" w:type="pct"/>
                  <w:vMerge w:val="continue"/>
                  <w:vAlign w:val="center"/>
                </w:tcPr>
                <w:p w14:paraId="4E2EBF17">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19F33C57">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both"/>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3F3616E7">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49494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1DF634AD">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1009964F">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728E0299">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报废风机叶片及边角料</w:t>
                  </w:r>
                </w:p>
              </w:tc>
              <w:tc>
                <w:tcPr>
                  <w:tcW w:w="577" w:type="pct"/>
                  <w:vAlign w:val="center"/>
                </w:tcPr>
                <w:p w14:paraId="7100F4E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78" w:type="pct"/>
                  <w:vMerge w:val="continue"/>
                  <w:vAlign w:val="center"/>
                </w:tcPr>
                <w:p w14:paraId="7DD02F9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745D61EB">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7AB6403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7E92F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15D34D18">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29822B33">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66C15EB8">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其他可再生类废物</w:t>
                  </w:r>
                </w:p>
              </w:tc>
              <w:tc>
                <w:tcPr>
                  <w:tcW w:w="577" w:type="pct"/>
                  <w:vAlign w:val="center"/>
                </w:tcPr>
                <w:p w14:paraId="57E7DD91">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78" w:type="pct"/>
                  <w:vMerge w:val="continue"/>
                  <w:vAlign w:val="center"/>
                </w:tcPr>
                <w:p w14:paraId="0A35BAE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3D843D26">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3A5420BE">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4F117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restart"/>
                  <w:vAlign w:val="center"/>
                </w:tcPr>
                <w:p w14:paraId="5EFF674B">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4</w:t>
                  </w:r>
                </w:p>
              </w:tc>
              <w:tc>
                <w:tcPr>
                  <w:tcW w:w="576" w:type="pct"/>
                  <w:vMerge w:val="restart"/>
                  <w:vAlign w:val="center"/>
                </w:tcPr>
                <w:p w14:paraId="1E490197">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SW59</w:t>
                  </w:r>
                </w:p>
                <w:p w14:paraId="24C1C4D0">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其他工业固体废物</w:t>
                  </w:r>
                </w:p>
                <w:p w14:paraId="735C337F">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p w14:paraId="5D5B3C39">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235FFCF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废干燥剂</w:t>
                  </w:r>
                </w:p>
              </w:tc>
              <w:tc>
                <w:tcPr>
                  <w:tcW w:w="577" w:type="pct"/>
                  <w:vAlign w:val="center"/>
                </w:tcPr>
                <w:p w14:paraId="7BBDC12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w:t>
                  </w:r>
                </w:p>
              </w:tc>
              <w:tc>
                <w:tcPr>
                  <w:tcW w:w="478" w:type="pct"/>
                  <w:vMerge w:val="restart"/>
                  <w:vAlign w:val="center"/>
                </w:tcPr>
                <w:p w14:paraId="1C94631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p w14:paraId="4644BB3E">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24100</w:t>
                  </w:r>
                </w:p>
              </w:tc>
              <w:tc>
                <w:tcPr>
                  <w:tcW w:w="1864" w:type="pct"/>
                  <w:vMerge w:val="restart"/>
                  <w:vAlign w:val="center"/>
                </w:tcPr>
                <w:p w14:paraId="70C37BF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纸塑铝复合材料</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w:t>
                  </w:r>
                </w:p>
                <w:p w14:paraId="4C0E0B9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490g/t-原料</w:t>
                  </w:r>
                </w:p>
              </w:tc>
              <w:tc>
                <w:tcPr>
                  <w:tcW w:w="437" w:type="pct"/>
                  <w:vMerge w:val="restart"/>
                  <w:vAlign w:val="center"/>
                </w:tcPr>
                <w:p w14:paraId="7DAA6FA7">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11.809</w:t>
                  </w:r>
                </w:p>
              </w:tc>
            </w:tr>
            <w:tr w14:paraId="5367B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03AEAB2A">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32EA1FE3">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4A1274C1">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废保温棉</w:t>
                  </w:r>
                </w:p>
              </w:tc>
              <w:tc>
                <w:tcPr>
                  <w:tcW w:w="577" w:type="pct"/>
                  <w:vAlign w:val="center"/>
                </w:tcPr>
                <w:p w14:paraId="15F9BD8D">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78" w:type="pct"/>
                  <w:vMerge w:val="continue"/>
                  <w:vAlign w:val="center"/>
                </w:tcPr>
                <w:p w14:paraId="473C887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541B88B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577DB15B">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11AEF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2E113001">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564169F6">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3E35EFA2">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废保冷材料</w:t>
                  </w:r>
                </w:p>
              </w:tc>
              <w:tc>
                <w:tcPr>
                  <w:tcW w:w="577" w:type="pct"/>
                  <w:vAlign w:val="center"/>
                </w:tcPr>
                <w:p w14:paraId="02385DC1">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78" w:type="pct"/>
                  <w:vMerge w:val="continue"/>
                  <w:vAlign w:val="center"/>
                </w:tcPr>
                <w:p w14:paraId="48D80B5D">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2E4E6A4F">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140A8855">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14C5E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003A3074">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36B31D91">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23A43125">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废吸附剂</w:t>
                  </w:r>
                </w:p>
              </w:tc>
              <w:tc>
                <w:tcPr>
                  <w:tcW w:w="577" w:type="pct"/>
                  <w:vAlign w:val="center"/>
                </w:tcPr>
                <w:p w14:paraId="4379E62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3000</w:t>
                  </w:r>
                </w:p>
              </w:tc>
              <w:tc>
                <w:tcPr>
                  <w:tcW w:w="478" w:type="pct"/>
                  <w:vMerge w:val="continue"/>
                  <w:vAlign w:val="center"/>
                </w:tcPr>
                <w:p w14:paraId="65CF56E4">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4D166F58">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30F5B9FF">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79023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586DF612">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6A9C933D">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134F7BCD">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废过滤材料</w:t>
                  </w:r>
                </w:p>
              </w:tc>
              <w:tc>
                <w:tcPr>
                  <w:tcW w:w="577" w:type="pct"/>
                  <w:vAlign w:val="center"/>
                </w:tcPr>
                <w:p w14:paraId="1C6CE426">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78" w:type="pct"/>
                  <w:vMerge w:val="continue"/>
                  <w:vAlign w:val="center"/>
                </w:tcPr>
                <w:p w14:paraId="03E34461">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00792B7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4C26D6D5">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5FFAB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0DEC5520">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3200E16F">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3977BC29">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其他工业生产过程中产生的固体废物</w:t>
                  </w:r>
                </w:p>
              </w:tc>
              <w:tc>
                <w:tcPr>
                  <w:tcW w:w="577" w:type="pct"/>
                  <w:vAlign w:val="center"/>
                </w:tcPr>
                <w:p w14:paraId="5A378BE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cs="Times New Roman"/>
                      <w:color w:val="000000" w:themeColor="text1"/>
                      <w:highlight w:val="none"/>
                      <w:lang w:val="en-US" w:eastAsia="zh-CN"/>
                      <w14:textFill>
                        <w14:solidFill>
                          <w14:schemeClr w14:val="tx1"/>
                        </w14:solidFill>
                      </w14:textFill>
                    </w:rPr>
                    <w:t>14</w:t>
                  </w:r>
                  <w:r>
                    <w:rPr>
                      <w:rFonts w:hint="eastAsia" w:cs="Times New Roman"/>
                      <w:color w:val="000000" w:themeColor="text1"/>
                      <w:highlight w:val="none"/>
                      <w:lang w:val="en-US" w:eastAsia="zh-CN"/>
                      <w14:textFill>
                        <w14:solidFill>
                          <w14:schemeClr w14:val="tx1"/>
                        </w14:solidFill>
                      </w14:textFill>
                    </w:rPr>
                    <w:t>1</w:t>
                  </w:r>
                  <w:r>
                    <w:rPr>
                      <w:rFonts w:hint="eastAsia" w:ascii="Times New Roman" w:hAnsi="Times New Roman" w:cs="Times New Roman"/>
                      <w:color w:val="000000" w:themeColor="text1"/>
                      <w:highlight w:val="none"/>
                      <w:lang w:val="en-US" w:eastAsia="zh-CN"/>
                      <w14:textFill>
                        <w14:solidFill>
                          <w14:schemeClr w14:val="tx1"/>
                        </w14:solidFill>
                      </w14:textFill>
                    </w:rPr>
                    <w:t>00</w:t>
                  </w:r>
                </w:p>
              </w:tc>
              <w:tc>
                <w:tcPr>
                  <w:tcW w:w="478" w:type="pct"/>
                  <w:vMerge w:val="continue"/>
                  <w:vAlign w:val="center"/>
                </w:tcPr>
                <w:p w14:paraId="3397426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79D880DE">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4A54BD2F">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7A968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restart"/>
                  <w:vAlign w:val="center"/>
                </w:tcPr>
                <w:p w14:paraId="24CB91D1">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5</w:t>
                  </w:r>
                </w:p>
              </w:tc>
              <w:tc>
                <w:tcPr>
                  <w:tcW w:w="576" w:type="pct"/>
                  <w:vMerge w:val="restart"/>
                  <w:vAlign w:val="center"/>
                </w:tcPr>
                <w:p w14:paraId="10B54C5A">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SW62</w:t>
                  </w:r>
                </w:p>
                <w:p w14:paraId="2FB54101">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可回收物</w:t>
                  </w:r>
                </w:p>
                <w:p w14:paraId="65795E54">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4F6207BC">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废纸</w:t>
                  </w:r>
                </w:p>
              </w:tc>
              <w:tc>
                <w:tcPr>
                  <w:tcW w:w="577" w:type="pct"/>
                  <w:vAlign w:val="center"/>
                </w:tcPr>
                <w:p w14:paraId="72030A9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78" w:type="pct"/>
                  <w:vMerge w:val="restart"/>
                  <w:vAlign w:val="center"/>
                </w:tcPr>
                <w:p w14:paraId="714CF1DF">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6000</w:t>
                  </w:r>
                </w:p>
              </w:tc>
              <w:tc>
                <w:tcPr>
                  <w:tcW w:w="1864" w:type="pct"/>
                  <w:vMerge w:val="restart"/>
                  <w:vAlign w:val="center"/>
                </w:tcPr>
                <w:p w14:paraId="65452FFA">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纸塑铝复合材料</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w:t>
                  </w:r>
                </w:p>
                <w:p w14:paraId="7FD8CCD8">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490g/t-原料</w:t>
                  </w:r>
                </w:p>
              </w:tc>
              <w:tc>
                <w:tcPr>
                  <w:tcW w:w="437" w:type="pct"/>
                  <w:vMerge w:val="restart"/>
                  <w:vAlign w:val="center"/>
                </w:tcPr>
                <w:p w14:paraId="6F30A5C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2.940</w:t>
                  </w:r>
                </w:p>
              </w:tc>
            </w:tr>
            <w:tr w14:paraId="613B8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76DA0A3F">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Arial" w:cs="Times New Roman"/>
                      <w:color w:val="000000" w:themeColor="text1"/>
                      <w:highlight w:val="none"/>
                      <w:lang w:val="en-US" w:eastAsia="zh-CN"/>
                      <w14:textFill>
                        <w14:solidFill>
                          <w14:schemeClr w14:val="tx1"/>
                        </w14:solidFill>
                      </w14:textFill>
                    </w:rPr>
                  </w:pPr>
                </w:p>
              </w:tc>
              <w:tc>
                <w:tcPr>
                  <w:tcW w:w="576" w:type="pct"/>
                  <w:vMerge w:val="continue"/>
                  <w:vAlign w:val="center"/>
                </w:tcPr>
                <w:p w14:paraId="6B69873F">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1CB293D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废塑料</w:t>
                  </w:r>
                </w:p>
              </w:tc>
              <w:tc>
                <w:tcPr>
                  <w:tcW w:w="577" w:type="pct"/>
                  <w:vAlign w:val="center"/>
                </w:tcPr>
                <w:p w14:paraId="1BCDEA1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2000</w:t>
                  </w:r>
                </w:p>
              </w:tc>
              <w:tc>
                <w:tcPr>
                  <w:tcW w:w="478" w:type="pct"/>
                  <w:vMerge w:val="continue"/>
                  <w:vAlign w:val="center"/>
                </w:tcPr>
                <w:p w14:paraId="05688EC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0A1028A4">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549D87E4">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5D493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3C4026E5">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033EE12E">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2B77C245">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废纺织物</w:t>
                  </w:r>
                </w:p>
              </w:tc>
              <w:tc>
                <w:tcPr>
                  <w:tcW w:w="577" w:type="pct"/>
                  <w:vAlign w:val="center"/>
                </w:tcPr>
                <w:p w14:paraId="0CD6EF7E">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2000</w:t>
                  </w:r>
                </w:p>
              </w:tc>
              <w:tc>
                <w:tcPr>
                  <w:tcW w:w="478" w:type="pct"/>
                  <w:vMerge w:val="continue"/>
                  <w:vAlign w:val="center"/>
                </w:tcPr>
                <w:p w14:paraId="2497285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25EF0798">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32DA3827">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1F997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Align w:val="center"/>
                </w:tcPr>
                <w:p w14:paraId="797D646D">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6</w:t>
                  </w:r>
                </w:p>
              </w:tc>
              <w:tc>
                <w:tcPr>
                  <w:tcW w:w="576" w:type="pct"/>
                  <w:vAlign w:val="center"/>
                </w:tcPr>
                <w:p w14:paraId="5ADDE75D">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SW6</w:t>
                  </w: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3</w:t>
                  </w:r>
                </w:p>
                <w:p w14:paraId="06556F3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大件垃圾</w:t>
                  </w:r>
                </w:p>
              </w:tc>
              <w:tc>
                <w:tcPr>
                  <w:tcW w:w="803" w:type="pct"/>
                  <w:vAlign w:val="center"/>
                </w:tcPr>
                <w:p w14:paraId="1896EBB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报废家具</w:t>
                  </w:r>
                </w:p>
              </w:tc>
              <w:tc>
                <w:tcPr>
                  <w:tcW w:w="577" w:type="pct"/>
                  <w:vAlign w:val="center"/>
                </w:tcPr>
                <w:p w14:paraId="1E67D1B9">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8000</w:t>
                  </w:r>
                </w:p>
              </w:tc>
              <w:tc>
                <w:tcPr>
                  <w:tcW w:w="478" w:type="pct"/>
                  <w:vAlign w:val="center"/>
                </w:tcPr>
                <w:p w14:paraId="5E18D1EB">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8000</w:t>
                  </w:r>
                </w:p>
              </w:tc>
              <w:tc>
                <w:tcPr>
                  <w:tcW w:w="1864" w:type="pct"/>
                  <w:vAlign w:val="center"/>
                </w:tcPr>
                <w:p w14:paraId="5E125057">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“木材边角料”：243</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g/t-原料</w:t>
                  </w:r>
                </w:p>
              </w:tc>
              <w:tc>
                <w:tcPr>
                  <w:tcW w:w="437" w:type="pct"/>
                  <w:vAlign w:val="center"/>
                </w:tcPr>
                <w:p w14:paraId="36C3717E">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1.944</w:t>
                  </w:r>
                </w:p>
              </w:tc>
            </w:tr>
            <w:tr w14:paraId="1ECAD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restart"/>
                  <w:vAlign w:val="center"/>
                </w:tcPr>
                <w:p w14:paraId="5B4BF0F0">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7</w:t>
                  </w:r>
                </w:p>
              </w:tc>
              <w:tc>
                <w:tcPr>
                  <w:tcW w:w="576" w:type="pct"/>
                  <w:vMerge w:val="restart"/>
                  <w:vAlign w:val="center"/>
                </w:tcPr>
                <w:p w14:paraId="7B7CAA2A">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SW64</w:t>
                  </w:r>
                </w:p>
                <w:p w14:paraId="32FBE56C">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其他垃圾</w:t>
                  </w:r>
                </w:p>
              </w:tc>
              <w:tc>
                <w:tcPr>
                  <w:tcW w:w="803" w:type="pct"/>
                  <w:vAlign w:val="center"/>
                </w:tcPr>
                <w:p w14:paraId="71D0687E">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园林垃圾</w:t>
                  </w:r>
                </w:p>
              </w:tc>
              <w:tc>
                <w:tcPr>
                  <w:tcW w:w="577" w:type="pct"/>
                  <w:vAlign w:val="center"/>
                </w:tcPr>
                <w:p w14:paraId="7569A0D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2000</w:t>
                  </w:r>
                </w:p>
              </w:tc>
              <w:tc>
                <w:tcPr>
                  <w:tcW w:w="478" w:type="pct"/>
                  <w:vMerge w:val="restart"/>
                  <w:vAlign w:val="center"/>
                </w:tcPr>
                <w:p w14:paraId="419DCCC1">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3000</w:t>
                  </w:r>
                </w:p>
              </w:tc>
              <w:tc>
                <w:tcPr>
                  <w:tcW w:w="1864" w:type="pct"/>
                  <w:vMerge w:val="restart"/>
                  <w:vAlign w:val="center"/>
                </w:tcPr>
                <w:p w14:paraId="66425943">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“薄膜塑料”：475</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g/t-原料</w:t>
                  </w:r>
                </w:p>
              </w:tc>
              <w:tc>
                <w:tcPr>
                  <w:tcW w:w="437" w:type="pct"/>
                  <w:vMerge w:val="restart"/>
                  <w:vAlign w:val="center"/>
                </w:tcPr>
                <w:p w14:paraId="51561969">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1.425</w:t>
                  </w:r>
                </w:p>
              </w:tc>
            </w:tr>
            <w:tr w14:paraId="582C8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50FFF6A8">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38346E42">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429CE4EE">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以上之外的生活垃圾</w:t>
                  </w:r>
                </w:p>
              </w:tc>
              <w:tc>
                <w:tcPr>
                  <w:tcW w:w="577" w:type="pct"/>
                  <w:vAlign w:val="center"/>
                </w:tcPr>
                <w:p w14:paraId="1D0190E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1000</w:t>
                  </w:r>
                </w:p>
              </w:tc>
              <w:tc>
                <w:tcPr>
                  <w:tcW w:w="478" w:type="pct"/>
                  <w:vMerge w:val="continue"/>
                  <w:vAlign w:val="center"/>
                </w:tcPr>
                <w:p w14:paraId="7AB5ABFE">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14F60E84">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6F567F09">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08C2D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Align w:val="center"/>
                </w:tcPr>
                <w:p w14:paraId="61A93056">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8</w:t>
                  </w:r>
                </w:p>
              </w:tc>
              <w:tc>
                <w:tcPr>
                  <w:tcW w:w="576" w:type="pct"/>
                  <w:vAlign w:val="center"/>
                </w:tcPr>
                <w:p w14:paraId="4D874852">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SW72</w:t>
                  </w:r>
                </w:p>
                <w:p w14:paraId="26696EDF">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工程垃圾</w:t>
                  </w:r>
                </w:p>
              </w:tc>
              <w:tc>
                <w:tcPr>
                  <w:tcW w:w="803" w:type="pct"/>
                  <w:vAlign w:val="center"/>
                </w:tcPr>
                <w:p w14:paraId="16218F4F">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工程垃圾</w:t>
                  </w:r>
                </w:p>
              </w:tc>
              <w:tc>
                <w:tcPr>
                  <w:tcW w:w="577" w:type="pct"/>
                  <w:vAlign w:val="center"/>
                </w:tcPr>
                <w:p w14:paraId="585672B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15000</w:t>
                  </w:r>
                </w:p>
              </w:tc>
              <w:tc>
                <w:tcPr>
                  <w:tcW w:w="478" w:type="pct"/>
                  <w:vAlign w:val="center"/>
                </w:tcPr>
                <w:p w14:paraId="44082FB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15000</w:t>
                  </w:r>
                </w:p>
              </w:tc>
              <w:tc>
                <w:tcPr>
                  <w:tcW w:w="1864" w:type="pct"/>
                  <w:vAlign w:val="center"/>
                </w:tcPr>
                <w:p w14:paraId="7BE00C3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纸塑铝复合材料</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490g/t-原料</w:t>
                  </w:r>
                </w:p>
              </w:tc>
              <w:tc>
                <w:tcPr>
                  <w:tcW w:w="437" w:type="pct"/>
                  <w:vAlign w:val="center"/>
                </w:tcPr>
                <w:p w14:paraId="1D380031">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7.350</w:t>
                  </w:r>
                </w:p>
              </w:tc>
            </w:tr>
            <w:tr w14:paraId="1504F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restart"/>
                  <w:vAlign w:val="center"/>
                </w:tcPr>
                <w:p w14:paraId="77523988">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9</w:t>
                  </w:r>
                </w:p>
              </w:tc>
              <w:tc>
                <w:tcPr>
                  <w:tcW w:w="576" w:type="pct"/>
                  <w:vMerge w:val="restart"/>
                  <w:vAlign w:val="center"/>
                </w:tcPr>
                <w:p w14:paraId="2D2FF7AD">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SW73</w:t>
                  </w:r>
                </w:p>
                <w:p w14:paraId="73B8710E">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拆除垃圾</w:t>
                  </w:r>
                </w:p>
              </w:tc>
              <w:tc>
                <w:tcPr>
                  <w:tcW w:w="803" w:type="pct"/>
                  <w:vAlign w:val="center"/>
                </w:tcPr>
                <w:p w14:paraId="130DBDF3">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各类建筑物、构筑物等拆除过程中产生的木材弃料</w:t>
                  </w:r>
                </w:p>
              </w:tc>
              <w:tc>
                <w:tcPr>
                  <w:tcW w:w="577" w:type="pct"/>
                  <w:vAlign w:val="center"/>
                </w:tcPr>
                <w:p w14:paraId="7DB9D9B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5000</w:t>
                  </w:r>
                </w:p>
              </w:tc>
              <w:tc>
                <w:tcPr>
                  <w:tcW w:w="478" w:type="pct"/>
                  <w:vMerge w:val="restart"/>
                  <w:vAlign w:val="center"/>
                </w:tcPr>
                <w:p w14:paraId="751BE44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30000</w:t>
                  </w:r>
                </w:p>
              </w:tc>
              <w:tc>
                <w:tcPr>
                  <w:tcW w:w="1864" w:type="pct"/>
                  <w:vMerge w:val="restart"/>
                  <w:vAlign w:val="center"/>
                </w:tcPr>
                <w:p w14:paraId="5684D121">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“木材边角料”：243</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g/t-原料</w:t>
                  </w:r>
                </w:p>
              </w:tc>
              <w:tc>
                <w:tcPr>
                  <w:tcW w:w="437" w:type="pct"/>
                  <w:vMerge w:val="restart"/>
                  <w:vAlign w:val="center"/>
                </w:tcPr>
                <w:p w14:paraId="4AEA94F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7.290</w:t>
                  </w:r>
                </w:p>
              </w:tc>
            </w:tr>
            <w:tr w14:paraId="66DBB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3497A2A2">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3E07999C">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25BAB9DD">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各类建筑物、构筑物等拆除过程中产生的塑料弃料</w:t>
                  </w:r>
                </w:p>
              </w:tc>
              <w:tc>
                <w:tcPr>
                  <w:tcW w:w="577" w:type="pct"/>
                  <w:vAlign w:val="center"/>
                </w:tcPr>
                <w:p w14:paraId="41E53207">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10000</w:t>
                  </w:r>
                </w:p>
              </w:tc>
              <w:tc>
                <w:tcPr>
                  <w:tcW w:w="478" w:type="pct"/>
                  <w:vMerge w:val="continue"/>
                  <w:vAlign w:val="center"/>
                </w:tcPr>
                <w:p w14:paraId="623DC761">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6AD702DF">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213498C9">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4161D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548475A5">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3A1FBE43">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7DB05D47">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以上之外的各类建筑物、构筑物等拆除过程中产生的其他弃料</w:t>
                  </w:r>
                </w:p>
              </w:tc>
              <w:tc>
                <w:tcPr>
                  <w:tcW w:w="577" w:type="pct"/>
                  <w:vAlign w:val="center"/>
                </w:tcPr>
                <w:p w14:paraId="1918CB71">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15000</w:t>
                  </w:r>
                </w:p>
              </w:tc>
              <w:tc>
                <w:tcPr>
                  <w:tcW w:w="478" w:type="pct"/>
                  <w:vMerge w:val="continue"/>
                  <w:vAlign w:val="center"/>
                </w:tcPr>
                <w:p w14:paraId="48E6EF1A">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584116C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5991C7C7">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7AA2E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Align w:val="center"/>
                </w:tcPr>
                <w:p w14:paraId="2C69F1EA">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10</w:t>
                  </w:r>
                </w:p>
              </w:tc>
              <w:tc>
                <w:tcPr>
                  <w:tcW w:w="576" w:type="pct"/>
                  <w:vAlign w:val="center"/>
                </w:tcPr>
                <w:p w14:paraId="20E22EAE">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SW74</w:t>
                  </w:r>
                </w:p>
                <w:p w14:paraId="3454A67C">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装修垃圾</w:t>
                  </w:r>
                </w:p>
              </w:tc>
              <w:tc>
                <w:tcPr>
                  <w:tcW w:w="803" w:type="pct"/>
                  <w:vAlign w:val="center"/>
                </w:tcPr>
                <w:p w14:paraId="46F6E7F7">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装修垃圾</w:t>
                  </w:r>
                </w:p>
              </w:tc>
              <w:tc>
                <w:tcPr>
                  <w:tcW w:w="577" w:type="pct"/>
                  <w:vAlign w:val="center"/>
                </w:tcPr>
                <w:p w14:paraId="71A25D0F">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5000</w:t>
                  </w:r>
                </w:p>
              </w:tc>
              <w:tc>
                <w:tcPr>
                  <w:tcW w:w="478" w:type="pct"/>
                  <w:vAlign w:val="center"/>
                </w:tcPr>
                <w:p w14:paraId="2B905C9D">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5000</w:t>
                  </w:r>
                </w:p>
              </w:tc>
              <w:tc>
                <w:tcPr>
                  <w:tcW w:w="1864" w:type="pct"/>
                  <w:vAlign w:val="center"/>
                </w:tcPr>
                <w:p w14:paraId="33431684">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纸塑铝复合材料</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490g/t-原料</w:t>
                  </w:r>
                </w:p>
              </w:tc>
              <w:tc>
                <w:tcPr>
                  <w:tcW w:w="437" w:type="pct"/>
                  <w:vAlign w:val="center"/>
                </w:tcPr>
                <w:p w14:paraId="274EF5BE">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2.450</w:t>
                  </w:r>
                </w:p>
              </w:tc>
            </w:tr>
            <w:tr w14:paraId="3458B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restart"/>
                  <w:vAlign w:val="center"/>
                </w:tcPr>
                <w:p w14:paraId="1E73E218">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11</w:t>
                  </w:r>
                </w:p>
              </w:tc>
              <w:tc>
                <w:tcPr>
                  <w:tcW w:w="576" w:type="pct"/>
                  <w:vMerge w:val="restart"/>
                  <w:vAlign w:val="center"/>
                </w:tcPr>
                <w:p w14:paraId="1C04FDAF">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SW80</w:t>
                  </w:r>
                </w:p>
                <w:p w14:paraId="1B5E9ACA">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农业废物</w:t>
                  </w:r>
                </w:p>
              </w:tc>
              <w:tc>
                <w:tcPr>
                  <w:tcW w:w="803" w:type="pct"/>
                  <w:vAlign w:val="center"/>
                </w:tcPr>
                <w:p w14:paraId="6397EF85">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废弃农用薄膜</w:t>
                  </w:r>
                </w:p>
              </w:tc>
              <w:tc>
                <w:tcPr>
                  <w:tcW w:w="577" w:type="pct"/>
                  <w:vAlign w:val="center"/>
                </w:tcPr>
                <w:p w14:paraId="724EB449">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5000</w:t>
                  </w:r>
                </w:p>
              </w:tc>
              <w:tc>
                <w:tcPr>
                  <w:tcW w:w="478" w:type="pct"/>
                  <w:vMerge w:val="restart"/>
                  <w:vAlign w:val="center"/>
                </w:tcPr>
                <w:p w14:paraId="69221FD5">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23000</w:t>
                  </w:r>
                </w:p>
              </w:tc>
              <w:tc>
                <w:tcPr>
                  <w:tcW w:w="1864" w:type="pct"/>
                  <w:vMerge w:val="restart"/>
                  <w:vAlign w:val="center"/>
                </w:tcPr>
                <w:p w14:paraId="7E7AE8D5">
                  <w:pPr>
                    <w:keepNext w:val="0"/>
                    <w:keepLines w:val="0"/>
                    <w:pageBreakBefore w:val="0"/>
                    <w:widowControl/>
                    <w:kinsoku/>
                    <w:wordWrap w:val="0"/>
                    <w:overflowPunct w:val="0"/>
                    <w:topLinePunct w:val="0"/>
                    <w:autoSpaceDE w:val="0"/>
                    <w:autoSpaceDN w:val="0"/>
                    <w:bidi w:val="0"/>
                    <w:adjustRightInd w:val="0"/>
                    <w:snapToGrid/>
                    <w:spacing w:line="240" w:lineRule="auto"/>
                    <w:ind w:left="0" w:right="0"/>
                    <w:jc w:val="center"/>
                    <w:textAlignment w:val="baseline"/>
                    <w:rPr>
                      <w:rFonts w:hint="eastAsia"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“薄膜塑料”：475</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g/t-原料</w:t>
                  </w:r>
                </w:p>
              </w:tc>
              <w:tc>
                <w:tcPr>
                  <w:tcW w:w="437" w:type="pct"/>
                  <w:vMerge w:val="restart"/>
                  <w:vAlign w:val="center"/>
                </w:tcPr>
                <w:p w14:paraId="52CEDC94">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10.925</w:t>
                  </w:r>
                </w:p>
              </w:tc>
            </w:tr>
            <w:tr w14:paraId="5D1FA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100E715C">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10B7CFEF">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2DBF0F73">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作物秸秆</w:t>
                  </w:r>
                </w:p>
              </w:tc>
              <w:tc>
                <w:tcPr>
                  <w:tcW w:w="577" w:type="pct"/>
                  <w:vAlign w:val="center"/>
                </w:tcPr>
                <w:p w14:paraId="358299C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8000</w:t>
                  </w:r>
                </w:p>
              </w:tc>
              <w:tc>
                <w:tcPr>
                  <w:tcW w:w="478" w:type="pct"/>
                  <w:vMerge w:val="continue"/>
                  <w:vAlign w:val="center"/>
                </w:tcPr>
                <w:p w14:paraId="7E0284AD">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16002D96">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23A133C6">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2B9C7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Merge w:val="continue"/>
                  <w:vAlign w:val="center"/>
                </w:tcPr>
                <w:p w14:paraId="339BBF64">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576" w:type="pct"/>
                  <w:vMerge w:val="continue"/>
                  <w:vAlign w:val="center"/>
                </w:tcPr>
                <w:p w14:paraId="6B67375C">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p>
              </w:tc>
              <w:tc>
                <w:tcPr>
                  <w:tcW w:w="803" w:type="pct"/>
                  <w:vAlign w:val="center"/>
                </w:tcPr>
                <w:p w14:paraId="62C2E468">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其他农业废物</w:t>
                  </w:r>
                </w:p>
              </w:tc>
              <w:tc>
                <w:tcPr>
                  <w:tcW w:w="577" w:type="pct"/>
                  <w:vAlign w:val="center"/>
                </w:tcPr>
                <w:p w14:paraId="35FFE876">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10000</w:t>
                  </w:r>
                </w:p>
              </w:tc>
              <w:tc>
                <w:tcPr>
                  <w:tcW w:w="478" w:type="pct"/>
                  <w:vMerge w:val="continue"/>
                  <w:vAlign w:val="center"/>
                </w:tcPr>
                <w:p w14:paraId="56EF155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p>
              </w:tc>
              <w:tc>
                <w:tcPr>
                  <w:tcW w:w="1864" w:type="pct"/>
                  <w:vMerge w:val="continue"/>
                  <w:vAlign w:val="center"/>
                </w:tcPr>
                <w:p w14:paraId="0FC4209B">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c>
                <w:tcPr>
                  <w:tcW w:w="437" w:type="pct"/>
                  <w:vMerge w:val="continue"/>
                  <w:vAlign w:val="center"/>
                </w:tcPr>
                <w:p w14:paraId="73286574">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eastAsia" w:eastAsia="Arial" w:cs="Times New Roman"/>
                      <w:color w:val="000000" w:themeColor="text1"/>
                      <w:highlight w:val="none"/>
                      <w:lang w:val="en-US" w:eastAsia="zh-CN"/>
                      <w14:textFill>
                        <w14:solidFill>
                          <w14:schemeClr w14:val="tx1"/>
                        </w14:solidFill>
                      </w14:textFill>
                    </w:rPr>
                  </w:pPr>
                </w:p>
              </w:tc>
            </w:tr>
            <w:tr w14:paraId="11F3F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Align w:val="center"/>
                </w:tcPr>
                <w:p w14:paraId="4D9DC965">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12</w:t>
                  </w:r>
                </w:p>
              </w:tc>
              <w:tc>
                <w:tcPr>
                  <w:tcW w:w="576" w:type="pct"/>
                  <w:vAlign w:val="center"/>
                </w:tcPr>
                <w:p w14:paraId="78E8C4B2">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SW81</w:t>
                  </w:r>
                </w:p>
                <w:p w14:paraId="3A922093">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林业废物</w:t>
                  </w:r>
                </w:p>
              </w:tc>
              <w:tc>
                <w:tcPr>
                  <w:tcW w:w="803" w:type="pct"/>
                  <w:vAlign w:val="center"/>
                </w:tcPr>
                <w:p w14:paraId="73E582FE">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林业废物</w:t>
                  </w:r>
                </w:p>
              </w:tc>
              <w:tc>
                <w:tcPr>
                  <w:tcW w:w="577" w:type="pct"/>
                  <w:vAlign w:val="center"/>
                </w:tcPr>
                <w:p w14:paraId="1F823197">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10000</w:t>
                  </w:r>
                </w:p>
              </w:tc>
              <w:tc>
                <w:tcPr>
                  <w:tcW w:w="478" w:type="pct"/>
                  <w:vAlign w:val="center"/>
                </w:tcPr>
                <w:p w14:paraId="213AE682">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10000</w:t>
                  </w:r>
                </w:p>
              </w:tc>
              <w:tc>
                <w:tcPr>
                  <w:tcW w:w="1864" w:type="pct"/>
                  <w:vAlign w:val="center"/>
                </w:tcPr>
                <w:p w14:paraId="72FBBB17">
                  <w:pPr>
                    <w:keepNext w:val="0"/>
                    <w:keepLines w:val="0"/>
                    <w:pageBreakBefore w:val="0"/>
                    <w:widowControl w:val="0"/>
                    <w:kinsoku/>
                    <w:wordWrap/>
                    <w:overflowPunct/>
                    <w:topLinePunct w:val="0"/>
                    <w:autoSpaceDE/>
                    <w:autoSpaceDN/>
                    <w:bidi w:val="0"/>
                    <w:adjustRightInd/>
                    <w:snapToGrid/>
                    <w:jc w:val="center"/>
                    <w:textAlignment w:val="auto"/>
                    <w:rPr>
                      <w:rFonts w:hint="eastAsia"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“薄膜塑料”：475</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g/t-原料</w:t>
                  </w:r>
                </w:p>
              </w:tc>
              <w:tc>
                <w:tcPr>
                  <w:tcW w:w="437" w:type="pct"/>
                  <w:vAlign w:val="center"/>
                </w:tcPr>
                <w:p w14:paraId="7CBA9E2B">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4.750</w:t>
                  </w:r>
                </w:p>
              </w:tc>
            </w:tr>
            <w:tr w14:paraId="59725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Align w:val="center"/>
                </w:tcPr>
                <w:p w14:paraId="098B8738">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ascii="Times New Roman" w:hAnsi="Times New Roman" w:eastAsia="Arial" w:cs="Times New Roman"/>
                      <w:color w:val="000000" w:themeColor="text1"/>
                      <w:highlight w:val="none"/>
                      <w:lang w:val="en-US" w:eastAsia="zh-CN"/>
                      <w14:textFill>
                        <w14:solidFill>
                          <w14:schemeClr w14:val="tx1"/>
                        </w14:solidFill>
                      </w14:textFill>
                    </w:rPr>
                    <w:t>13</w:t>
                  </w:r>
                </w:p>
              </w:tc>
              <w:tc>
                <w:tcPr>
                  <w:tcW w:w="576" w:type="pct"/>
                  <w:vAlign w:val="center"/>
                </w:tcPr>
                <w:p w14:paraId="2CD91D92">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SW83</w:t>
                  </w:r>
                </w:p>
                <w:p w14:paraId="1CFCEC9D">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eastAsia="zh-CN"/>
                      <w14:textFill>
                        <w14:solidFill>
                          <w14:schemeClr w14:val="tx1"/>
                        </w14:solidFill>
                      </w14:textFill>
                    </w:rPr>
                  </w:pPr>
                  <w:r>
                    <w:rPr>
                      <w:rFonts w:hint="default" w:ascii="Times New Roman" w:hAnsi="Times New Roman" w:eastAsia="Arial" w:cs="Times New Roman"/>
                      <w:color w:val="000000" w:themeColor="text1"/>
                      <w:highlight w:val="none"/>
                      <w:lang w:eastAsia="zh-CN"/>
                      <w14:textFill>
                        <w14:solidFill>
                          <w14:schemeClr w14:val="tx1"/>
                        </w14:solidFill>
                      </w14:textFill>
                    </w:rPr>
                    <w:t>渔业废物</w:t>
                  </w:r>
                </w:p>
              </w:tc>
              <w:tc>
                <w:tcPr>
                  <w:tcW w:w="803" w:type="pct"/>
                  <w:vAlign w:val="center"/>
                </w:tcPr>
                <w:p w14:paraId="66319847">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t>渔业废物</w:t>
                  </w:r>
                </w:p>
              </w:tc>
              <w:tc>
                <w:tcPr>
                  <w:tcW w:w="577" w:type="pct"/>
                  <w:vAlign w:val="center"/>
                </w:tcPr>
                <w:p w14:paraId="4E0B1143">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2100</w:t>
                  </w:r>
                </w:p>
              </w:tc>
              <w:tc>
                <w:tcPr>
                  <w:tcW w:w="478" w:type="pct"/>
                  <w:vAlign w:val="center"/>
                </w:tcPr>
                <w:p w14:paraId="52360860">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2100</w:t>
                  </w:r>
                </w:p>
              </w:tc>
              <w:tc>
                <w:tcPr>
                  <w:tcW w:w="1864" w:type="pct"/>
                  <w:vAlign w:val="center"/>
                </w:tcPr>
                <w:p w14:paraId="72B5BBE7">
                  <w:pPr>
                    <w:pStyle w:val="61"/>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Arial"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参考</w:t>
                  </w:r>
                  <w: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“薄膜塑料”：475</w:t>
                  </w:r>
                  <w: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t>g/t-原料</w:t>
                  </w:r>
                </w:p>
              </w:tc>
              <w:tc>
                <w:tcPr>
                  <w:tcW w:w="437" w:type="pct"/>
                  <w:vAlign w:val="center"/>
                </w:tcPr>
                <w:p w14:paraId="3B9ADA94">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0.998</w:t>
                  </w:r>
                </w:p>
              </w:tc>
            </w:tr>
            <w:tr w14:paraId="662B2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54" w:hRule="atLeast"/>
                <w:jc w:val="center"/>
              </w:trPr>
              <w:tc>
                <w:tcPr>
                  <w:tcW w:w="262" w:type="pct"/>
                  <w:vAlign w:val="center"/>
                </w:tcPr>
                <w:p w14:paraId="7EF2D07A">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14</w:t>
                  </w:r>
                </w:p>
              </w:tc>
              <w:tc>
                <w:tcPr>
                  <w:tcW w:w="576" w:type="pct"/>
                  <w:vAlign w:val="center"/>
                </w:tcPr>
                <w:p w14:paraId="3E138132">
                  <w:pPr>
                    <w:keepNext w:val="0"/>
                    <w:keepLines w:val="0"/>
                    <w:pageBreakBefore w:val="0"/>
                    <w:widowControl/>
                    <w:kinsoku/>
                    <w:wordWrap w:val="0"/>
                    <w:overflowPunct w:val="0"/>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合计</w:t>
                  </w:r>
                </w:p>
              </w:tc>
              <w:tc>
                <w:tcPr>
                  <w:tcW w:w="1380" w:type="pct"/>
                  <w:gridSpan w:val="2"/>
                  <w:vAlign w:val="center"/>
                </w:tcPr>
                <w:p w14:paraId="7E0D1BC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原料总量</w:t>
                  </w:r>
                </w:p>
              </w:tc>
              <w:tc>
                <w:tcPr>
                  <w:tcW w:w="478" w:type="pct"/>
                  <w:vAlign w:val="center"/>
                </w:tcPr>
                <w:p w14:paraId="66D115DD">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both"/>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180100</w:t>
                  </w:r>
                </w:p>
              </w:tc>
              <w:tc>
                <w:tcPr>
                  <w:tcW w:w="1864" w:type="pct"/>
                  <w:vAlign w:val="center"/>
                </w:tcPr>
                <w:p w14:paraId="4FCA8C1D">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颗粒物产生量（t/a）</w:t>
                  </w:r>
                </w:p>
              </w:tc>
              <w:tc>
                <w:tcPr>
                  <w:tcW w:w="437" w:type="pct"/>
                  <w:vAlign w:val="center"/>
                </w:tcPr>
                <w:p w14:paraId="7237D19C">
                  <w:pPr>
                    <w:keepNext w:val="0"/>
                    <w:keepLines w:val="0"/>
                    <w:pageBreakBefore w:val="0"/>
                    <w:widowControl/>
                    <w:kinsoku/>
                    <w:wordWrap w:val="0"/>
                    <w:overflowPunct w:val="0"/>
                    <w:topLinePunct w:val="0"/>
                    <w:autoSpaceDE w:val="0"/>
                    <w:autoSpaceDN w:val="0"/>
                    <w:bidi w:val="0"/>
                    <w:adjustRightInd w:val="0"/>
                    <w:snapToGrid w:val="0"/>
                    <w:spacing w:line="240" w:lineRule="auto"/>
                    <w:ind w:left="0" w:leftChars="0" w:right="0" w:rightChars="0"/>
                    <w:jc w:val="center"/>
                    <w:textAlignment w:val="baseline"/>
                    <w:rPr>
                      <w:rFonts w:hint="default" w:eastAsia="Arial" w:cs="Times New Roman"/>
                      <w:color w:val="000000" w:themeColor="text1"/>
                      <w:highlight w:val="none"/>
                      <w:lang w:val="en-US" w:eastAsia="zh-CN"/>
                      <w14:textFill>
                        <w14:solidFill>
                          <w14:schemeClr w14:val="tx1"/>
                        </w14:solidFill>
                      </w14:textFill>
                    </w:rPr>
                  </w:pPr>
                  <w:r>
                    <w:rPr>
                      <w:rFonts w:hint="eastAsia" w:eastAsia="Arial" w:cs="Times New Roman"/>
                      <w:color w:val="000000" w:themeColor="text1"/>
                      <w:highlight w:val="none"/>
                      <w:lang w:val="en-US" w:eastAsia="zh-CN"/>
                      <w14:textFill>
                        <w14:solidFill>
                          <w14:schemeClr w14:val="tx1"/>
                        </w14:solidFill>
                      </w14:textFill>
                    </w:rPr>
                    <w:t>72.945</w:t>
                  </w:r>
                </w:p>
              </w:tc>
            </w:tr>
          </w:tbl>
          <w:p w14:paraId="3A45B69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结合上表，</w:t>
            </w:r>
            <w:r>
              <w:rPr>
                <w:rFonts w:hint="eastAsia" w:cs="Times New Roman"/>
                <w:color w:val="000000" w:themeColor="text1"/>
                <w:kern w:val="0"/>
                <w:sz w:val="24"/>
                <w:szCs w:val="24"/>
                <w:highlight w:val="none"/>
                <w:lang w:val="en-US" w:eastAsia="zh-CN" w:bidi="ar-SA"/>
                <w14:textFill>
                  <w14:solidFill>
                    <w14:schemeClr w14:val="tx1"/>
                  </w14:solidFill>
                </w14:textFill>
              </w:rPr>
              <w:t>上料、破碎和打包</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工序</w:t>
            </w: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颗粒物产生量为</w:t>
            </w:r>
            <w:r>
              <w:rPr>
                <w:rFonts w:hint="eastAsia" w:eastAsia="Arial" w:cs="Times New Roman"/>
                <w:color w:val="000000" w:themeColor="text1"/>
                <w:sz w:val="24"/>
                <w:szCs w:val="24"/>
                <w:highlight w:val="none"/>
                <w:lang w:val="en-US" w:eastAsia="zh-CN"/>
                <w14:textFill>
                  <w14:solidFill>
                    <w14:schemeClr w14:val="tx1"/>
                  </w14:solidFill>
                </w14:textFill>
              </w:rPr>
              <w:t>72.945</w:t>
            </w: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t/a，收集效率为</w:t>
            </w:r>
            <w:r>
              <w:rPr>
                <w:rFonts w:hint="eastAsia" w:cs="Times New Roman"/>
                <w:color w:val="000000" w:themeColor="text1"/>
                <w:w w:val="100"/>
                <w:kern w:val="2"/>
                <w:sz w:val="24"/>
                <w:szCs w:val="24"/>
                <w:highlight w:val="none"/>
                <w:lang w:val="en-US" w:eastAsia="zh-CN" w:bidi="ar-SA"/>
                <w14:textFill>
                  <w14:solidFill>
                    <w14:schemeClr w14:val="tx1"/>
                  </w14:solidFill>
                </w14:textFill>
              </w:rPr>
              <w:t>41</w:t>
            </w: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w:t>
            </w:r>
          </w:p>
          <w:p w14:paraId="4B4BF0D4">
            <w:pPr>
              <w:numPr>
                <w:ilvl w:val="0"/>
                <w:numId w:val="0"/>
              </w:numPr>
              <w:adjustRightInd w:val="0"/>
              <w:snapToGrid w:val="0"/>
              <w:spacing w:line="240" w:lineRule="auto"/>
              <w:jc w:val="cente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表4-</w:t>
            </w:r>
            <w:r>
              <w:rPr>
                <w:rFonts w:hint="eastAsia" w:ascii="Times New Roman" w:hAnsi="Times New Roman" w:cs="Times New Roman"/>
                <w:b/>
                <w:bCs/>
                <w:color w:val="000000" w:themeColor="text1"/>
                <w:sz w:val="21"/>
                <w:szCs w:val="21"/>
                <w:highlight w:val="none"/>
                <w:lang w:val="en-US" w:eastAsia="zh-CN"/>
                <w14:textFill>
                  <w14:solidFill>
                    <w14:schemeClr w14:val="tx1"/>
                  </w14:solidFill>
                </w14:textFill>
              </w:rPr>
              <w:t>2</w:t>
            </w: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 xml:space="preserve"> 废气产排情况一览表</w:t>
            </w:r>
          </w:p>
          <w:tbl>
            <w:tblPr>
              <w:tblStyle w:val="2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2"/>
              <w:gridCol w:w="781"/>
              <w:gridCol w:w="680"/>
              <w:gridCol w:w="806"/>
              <w:gridCol w:w="683"/>
              <w:gridCol w:w="750"/>
              <w:gridCol w:w="1680"/>
              <w:gridCol w:w="720"/>
              <w:gridCol w:w="690"/>
              <w:gridCol w:w="832"/>
            </w:tblGrid>
            <w:tr w14:paraId="1A706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10" w:type="pct"/>
                  <w:vMerge w:val="restart"/>
                  <w:noWrap w:val="0"/>
                  <w:vAlign w:val="center"/>
                </w:tcPr>
                <w:p w14:paraId="485E5CD5">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污染源</w:t>
                  </w:r>
                </w:p>
              </w:tc>
              <w:tc>
                <w:tcPr>
                  <w:tcW w:w="470" w:type="pct"/>
                  <w:vMerge w:val="restart"/>
                  <w:noWrap w:val="0"/>
                  <w:vAlign w:val="center"/>
                </w:tcPr>
                <w:p w14:paraId="294F653A">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污染物</w:t>
                  </w:r>
                </w:p>
              </w:tc>
              <w:tc>
                <w:tcPr>
                  <w:tcW w:w="409" w:type="pct"/>
                  <w:vMerge w:val="restart"/>
                  <w:noWrap w:val="0"/>
                  <w:vAlign w:val="center"/>
                </w:tcPr>
                <w:p w14:paraId="63B107F0">
                  <w:pPr>
                    <w:widowControl/>
                    <w:adjustRightInd w:val="0"/>
                    <w:snapToGrid w:val="0"/>
                    <w:jc w:val="center"/>
                    <w:rPr>
                      <w:rFonts w:hint="default" w:ascii="Times New Roman" w:hAnsi="Times New Roman" w:cs="Times New Roman"/>
                      <w:b/>
                      <w:bCs/>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Cs w:val="21"/>
                      <w:highlight w:val="none"/>
                      <w:lang w:val="en-US" w:eastAsia="zh-CN"/>
                      <w14:textFill>
                        <w14:solidFill>
                          <w14:schemeClr w14:val="tx1"/>
                        </w14:solidFill>
                      </w14:textFill>
                    </w:rPr>
                    <w:t>排放</w:t>
                  </w:r>
                </w:p>
                <w:p w14:paraId="5C65D196">
                  <w:pPr>
                    <w:widowControl/>
                    <w:adjustRightInd w:val="0"/>
                    <w:snapToGrid w:val="0"/>
                    <w:jc w:val="center"/>
                    <w:rPr>
                      <w:rFonts w:hint="default"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kern w:val="0"/>
                      <w:szCs w:val="21"/>
                      <w:highlight w:val="none"/>
                      <w:lang w:val="en-US" w:eastAsia="zh-CN"/>
                      <w14:textFill>
                        <w14:solidFill>
                          <w14:schemeClr w14:val="tx1"/>
                        </w14:solidFill>
                      </w14:textFill>
                    </w:rPr>
                    <w:t>形式</w:t>
                  </w:r>
                </w:p>
              </w:tc>
              <w:tc>
                <w:tcPr>
                  <w:tcW w:w="1348" w:type="pct"/>
                  <w:gridSpan w:val="3"/>
                  <w:noWrap w:val="0"/>
                  <w:vAlign w:val="center"/>
                </w:tcPr>
                <w:p w14:paraId="2D19A671">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产生情况</w:t>
                  </w:r>
                </w:p>
              </w:tc>
              <w:tc>
                <w:tcPr>
                  <w:tcW w:w="1011" w:type="pct"/>
                  <w:vMerge w:val="restart"/>
                  <w:noWrap w:val="0"/>
                  <w:vAlign w:val="center"/>
                </w:tcPr>
                <w:p w14:paraId="729A48CC">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处理措施</w:t>
                  </w:r>
                </w:p>
                <w:p w14:paraId="16270B7A">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及效率</w:t>
                  </w:r>
                </w:p>
              </w:tc>
              <w:tc>
                <w:tcPr>
                  <w:tcW w:w="1349" w:type="pct"/>
                  <w:gridSpan w:val="3"/>
                  <w:noWrap w:val="0"/>
                  <w:vAlign w:val="center"/>
                </w:tcPr>
                <w:p w14:paraId="698D56DF">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排放情况</w:t>
                  </w:r>
                </w:p>
              </w:tc>
            </w:tr>
            <w:tr w14:paraId="47921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10" w:type="pct"/>
                  <w:vMerge w:val="continue"/>
                  <w:noWrap w:val="0"/>
                  <w:vAlign w:val="center"/>
                </w:tcPr>
                <w:p w14:paraId="5A018196">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470" w:type="pct"/>
                  <w:vMerge w:val="continue"/>
                  <w:noWrap w:val="0"/>
                  <w:vAlign w:val="center"/>
                </w:tcPr>
                <w:p w14:paraId="766FA9E1">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409" w:type="pct"/>
                  <w:vMerge w:val="continue"/>
                  <w:noWrap w:val="0"/>
                  <w:vAlign w:val="center"/>
                </w:tcPr>
                <w:p w14:paraId="5090820B">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485" w:type="pct"/>
                  <w:noWrap w:val="0"/>
                  <w:vAlign w:val="center"/>
                </w:tcPr>
                <w:p w14:paraId="6BE02B7D">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浓度</w:t>
                  </w:r>
                </w:p>
                <w:p w14:paraId="1AF683BE">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mg/m</w:t>
                  </w:r>
                  <w:r>
                    <w:rPr>
                      <w:rFonts w:hint="default" w:ascii="Times New Roman" w:hAnsi="Times New Roman" w:cs="Times New Roman"/>
                      <w:b/>
                      <w:bCs/>
                      <w:color w:val="000000" w:themeColor="text1"/>
                      <w:kern w:val="0"/>
                      <w:szCs w:val="21"/>
                      <w:highlight w:val="none"/>
                      <w:vertAlign w:val="superscript"/>
                      <w14:textFill>
                        <w14:solidFill>
                          <w14:schemeClr w14:val="tx1"/>
                        </w14:solidFill>
                      </w14:textFill>
                    </w:rPr>
                    <w:t>3</w:t>
                  </w:r>
                </w:p>
              </w:tc>
              <w:tc>
                <w:tcPr>
                  <w:tcW w:w="411" w:type="pct"/>
                  <w:noWrap w:val="0"/>
                  <w:vAlign w:val="center"/>
                </w:tcPr>
                <w:p w14:paraId="7B5243CE">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速率kg/h</w:t>
                  </w:r>
                </w:p>
              </w:tc>
              <w:tc>
                <w:tcPr>
                  <w:tcW w:w="451" w:type="pct"/>
                  <w:noWrap w:val="0"/>
                  <w:vAlign w:val="center"/>
                </w:tcPr>
                <w:p w14:paraId="72787FE1">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产生量</w:t>
                  </w:r>
                  <w:r>
                    <w:rPr>
                      <w:rFonts w:hint="default" w:ascii="Times New Roman" w:hAnsi="Times New Roman" w:cs="Times New Roman"/>
                      <w:b/>
                      <w:bCs/>
                      <w:color w:val="000000" w:themeColor="text1"/>
                      <w:kern w:val="0"/>
                      <w:szCs w:val="21"/>
                      <w:highlight w:val="none"/>
                      <w:lang w:val="en-US" w:eastAsia="zh-CN"/>
                      <w14:textFill>
                        <w14:solidFill>
                          <w14:schemeClr w14:val="tx1"/>
                        </w14:solidFill>
                      </w14:textFill>
                    </w:rPr>
                    <w:t>t</w:t>
                  </w:r>
                  <w:r>
                    <w:rPr>
                      <w:rFonts w:hint="default" w:ascii="Times New Roman" w:hAnsi="Times New Roman" w:cs="Times New Roman"/>
                      <w:b/>
                      <w:bCs/>
                      <w:color w:val="000000" w:themeColor="text1"/>
                      <w:kern w:val="0"/>
                      <w:szCs w:val="21"/>
                      <w:highlight w:val="none"/>
                      <w14:textFill>
                        <w14:solidFill>
                          <w14:schemeClr w14:val="tx1"/>
                        </w14:solidFill>
                      </w14:textFill>
                    </w:rPr>
                    <w:t>/a</w:t>
                  </w:r>
                </w:p>
              </w:tc>
              <w:tc>
                <w:tcPr>
                  <w:tcW w:w="1011" w:type="pct"/>
                  <w:vMerge w:val="continue"/>
                  <w:noWrap w:val="0"/>
                  <w:vAlign w:val="center"/>
                </w:tcPr>
                <w:p w14:paraId="206CB203">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433" w:type="pct"/>
                  <w:noWrap w:val="0"/>
                  <w:vAlign w:val="center"/>
                </w:tcPr>
                <w:p w14:paraId="0D969E1B">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浓度mg/m</w:t>
                  </w:r>
                  <w:r>
                    <w:rPr>
                      <w:rFonts w:hint="default" w:ascii="Times New Roman" w:hAnsi="Times New Roman" w:cs="Times New Roman"/>
                      <w:b/>
                      <w:bCs/>
                      <w:color w:val="000000" w:themeColor="text1"/>
                      <w:kern w:val="0"/>
                      <w:szCs w:val="21"/>
                      <w:highlight w:val="none"/>
                      <w:vertAlign w:val="superscript"/>
                      <w14:textFill>
                        <w14:solidFill>
                          <w14:schemeClr w14:val="tx1"/>
                        </w14:solidFill>
                      </w14:textFill>
                    </w:rPr>
                    <w:t>3</w:t>
                  </w:r>
                </w:p>
              </w:tc>
              <w:tc>
                <w:tcPr>
                  <w:tcW w:w="415" w:type="pct"/>
                  <w:noWrap w:val="0"/>
                  <w:vAlign w:val="center"/>
                </w:tcPr>
                <w:p w14:paraId="22350BF5">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速率kg/h</w:t>
                  </w:r>
                </w:p>
              </w:tc>
              <w:tc>
                <w:tcPr>
                  <w:tcW w:w="500" w:type="pct"/>
                  <w:noWrap w:val="0"/>
                  <w:vAlign w:val="center"/>
                </w:tcPr>
                <w:p w14:paraId="21CB0891">
                  <w:pPr>
                    <w:widowControl/>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排放量</w:t>
                  </w:r>
                  <w:r>
                    <w:rPr>
                      <w:rFonts w:hint="default" w:ascii="Times New Roman" w:hAnsi="Times New Roman" w:cs="Times New Roman"/>
                      <w:b/>
                      <w:bCs/>
                      <w:color w:val="000000" w:themeColor="text1"/>
                      <w:kern w:val="0"/>
                      <w:szCs w:val="21"/>
                      <w:highlight w:val="none"/>
                      <w:lang w:val="en-US" w:eastAsia="zh-CN"/>
                      <w14:textFill>
                        <w14:solidFill>
                          <w14:schemeClr w14:val="tx1"/>
                        </w14:solidFill>
                      </w14:textFill>
                    </w:rPr>
                    <w:t>t</w:t>
                  </w:r>
                  <w:r>
                    <w:rPr>
                      <w:rFonts w:hint="default" w:ascii="Times New Roman" w:hAnsi="Times New Roman" w:cs="Times New Roman"/>
                      <w:b/>
                      <w:bCs/>
                      <w:color w:val="000000" w:themeColor="text1"/>
                      <w:kern w:val="0"/>
                      <w:szCs w:val="21"/>
                      <w:highlight w:val="none"/>
                      <w14:textFill>
                        <w14:solidFill>
                          <w14:schemeClr w14:val="tx1"/>
                        </w14:solidFill>
                      </w14:textFill>
                    </w:rPr>
                    <w:t>/a</w:t>
                  </w:r>
                </w:p>
              </w:tc>
            </w:tr>
            <w:tr w14:paraId="2B113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jc w:val="center"/>
              </w:trPr>
              <w:tc>
                <w:tcPr>
                  <w:tcW w:w="410" w:type="pct"/>
                  <w:vMerge w:val="restart"/>
                  <w:noWrap w:val="0"/>
                  <w:vAlign w:val="center"/>
                </w:tcPr>
                <w:p w14:paraId="30231F4A">
                  <w:pPr>
                    <w:widowControl/>
                    <w:adjustRightInd w:val="0"/>
                    <w:snapToGrid w:val="0"/>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上料、破碎和打包</w:t>
                  </w:r>
                </w:p>
                <w:p w14:paraId="6FC75344">
                  <w:pPr>
                    <w:widowControl/>
                    <w:adjustRightInd w:val="0"/>
                    <w:snapToGri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t>工序</w:t>
                  </w:r>
                </w:p>
              </w:tc>
              <w:tc>
                <w:tcPr>
                  <w:tcW w:w="470" w:type="pct"/>
                  <w:vMerge w:val="restart"/>
                  <w:noWrap w:val="0"/>
                  <w:vAlign w:val="center"/>
                </w:tcPr>
                <w:p w14:paraId="76AB0D6D">
                  <w:pPr>
                    <w:widowControl/>
                    <w:adjustRightInd w:val="0"/>
                    <w:snapToGrid w:val="0"/>
                    <w:jc w:val="center"/>
                    <w:rPr>
                      <w:rFonts w:hint="eastAsia"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eastAsia" w:ascii="Times New Roman" w:hAnsi="Times New Roman" w:cs="Times New Roman"/>
                      <w:color w:val="000000" w:themeColor="text1"/>
                      <w:kern w:val="0"/>
                      <w:szCs w:val="21"/>
                      <w:highlight w:val="none"/>
                      <w:lang w:val="en-US" w:eastAsia="zh-CN"/>
                      <w14:textFill>
                        <w14:solidFill>
                          <w14:schemeClr w14:val="tx1"/>
                        </w14:solidFill>
                      </w14:textFill>
                    </w:rPr>
                    <w:t>颗粒物</w:t>
                  </w:r>
                </w:p>
              </w:tc>
              <w:tc>
                <w:tcPr>
                  <w:tcW w:w="409" w:type="pct"/>
                  <w:noWrap w:val="0"/>
                  <w:vAlign w:val="center"/>
                </w:tcPr>
                <w:p w14:paraId="792330BF">
                  <w:pPr>
                    <w:widowControl/>
                    <w:adjustRightInd w:val="0"/>
                    <w:snapToGri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有组织</w:t>
                  </w:r>
                </w:p>
              </w:tc>
              <w:tc>
                <w:tcPr>
                  <w:tcW w:w="806" w:type="dxa"/>
                  <w:noWrap w:val="0"/>
                  <w:vAlign w:val="center"/>
                </w:tcPr>
                <w:p w14:paraId="6634C44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377.6</w:t>
                  </w:r>
                </w:p>
              </w:tc>
              <w:tc>
                <w:tcPr>
                  <w:tcW w:w="683" w:type="dxa"/>
                  <w:noWrap w:val="0"/>
                  <w:vAlign w:val="center"/>
                </w:tcPr>
                <w:p w14:paraId="77758E6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3.776</w:t>
                  </w:r>
                </w:p>
              </w:tc>
              <w:tc>
                <w:tcPr>
                  <w:tcW w:w="750" w:type="dxa"/>
                  <w:noWrap w:val="0"/>
                  <w:vAlign w:val="center"/>
                </w:tcPr>
                <w:p w14:paraId="254904D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29.907</w:t>
                  </w:r>
                </w:p>
              </w:tc>
              <w:tc>
                <w:tcPr>
                  <w:tcW w:w="1680" w:type="dxa"/>
                  <w:noWrap w:val="0"/>
                  <w:vAlign w:val="center"/>
                </w:tcPr>
                <w:p w14:paraId="4D745C9E">
                  <w:pPr>
                    <w:keepNext w:val="0"/>
                    <w:keepLines w:val="0"/>
                    <w:widowControl/>
                    <w:suppressLineNumbers w:val="0"/>
                    <w:jc w:val="both"/>
                    <w:textAlignment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布袋除尘器</w:t>
                  </w:r>
                  <w:r>
                    <w:rPr>
                      <w:rStyle w:val="63"/>
                      <w:color w:val="000000" w:themeColor="text1"/>
                      <w:highlight w:val="none"/>
                      <w:lang w:val="en-US" w:eastAsia="zh-CN" w:bidi="ar"/>
                      <w14:textFill>
                        <w14:solidFill>
                          <w14:schemeClr w14:val="tx1"/>
                        </w14:solidFill>
                      </w14:textFill>
                    </w:rPr>
                    <w:t>，风量</w:t>
                  </w:r>
                  <w:r>
                    <w:rPr>
                      <w:rStyle w:val="64"/>
                      <w:rFonts w:hint="eastAsia"/>
                      <w:color w:val="000000" w:themeColor="text1"/>
                      <w:highlight w:val="none"/>
                      <w:lang w:val="en-US" w:eastAsia="zh-CN" w:bidi="ar"/>
                      <w14:textFill>
                        <w14:solidFill>
                          <w14:schemeClr w14:val="tx1"/>
                        </w14:solidFill>
                      </w14:textFill>
                    </w:rPr>
                    <w:t>10000</w:t>
                  </w:r>
                  <w:r>
                    <w:rPr>
                      <w:rStyle w:val="64"/>
                      <w:rFonts w:eastAsia="宋体"/>
                      <w:color w:val="000000" w:themeColor="text1"/>
                      <w:highlight w:val="none"/>
                      <w:lang w:val="en-US" w:eastAsia="zh-CN" w:bidi="ar"/>
                      <w14:textFill>
                        <w14:solidFill>
                          <w14:schemeClr w14:val="tx1"/>
                        </w14:solidFill>
                      </w14:textFill>
                    </w:rPr>
                    <w:t>m</w:t>
                  </w:r>
                  <w:r>
                    <w:rPr>
                      <w:rStyle w:val="65"/>
                      <w:rFonts w:eastAsia="宋体"/>
                      <w:color w:val="000000" w:themeColor="text1"/>
                      <w:highlight w:val="none"/>
                      <w:lang w:val="en-US" w:eastAsia="zh-CN" w:bidi="ar"/>
                      <w14:textFill>
                        <w14:solidFill>
                          <w14:schemeClr w14:val="tx1"/>
                        </w14:solidFill>
                      </w14:textFill>
                    </w:rPr>
                    <w:t>3</w:t>
                  </w:r>
                  <w:r>
                    <w:rPr>
                      <w:rStyle w:val="64"/>
                      <w:rFonts w:eastAsia="宋体"/>
                      <w:color w:val="000000" w:themeColor="text1"/>
                      <w:highlight w:val="none"/>
                      <w:lang w:val="en-US" w:eastAsia="zh-CN" w:bidi="ar"/>
                      <w14:textFill>
                        <w14:solidFill>
                          <w14:schemeClr w14:val="tx1"/>
                        </w14:solidFill>
                      </w14:textFill>
                    </w:rPr>
                    <w:t>/h</w:t>
                  </w:r>
                  <w:r>
                    <w:rPr>
                      <w:rStyle w:val="63"/>
                      <w:color w:val="000000" w:themeColor="text1"/>
                      <w:highlight w:val="none"/>
                      <w:lang w:val="en-US" w:eastAsia="zh-CN" w:bidi="ar"/>
                      <w14:textFill>
                        <w14:solidFill>
                          <w14:schemeClr w14:val="tx1"/>
                        </w14:solidFill>
                      </w14:textFill>
                    </w:rPr>
                    <w:t>，去除效率</w:t>
                  </w:r>
                  <w:r>
                    <w:rPr>
                      <w:rStyle w:val="64"/>
                      <w:rFonts w:hint="eastAsia"/>
                      <w:color w:val="000000" w:themeColor="text1"/>
                      <w:highlight w:val="none"/>
                      <w:lang w:val="en-US" w:eastAsia="zh-CN" w:bidi="ar"/>
                      <w14:textFill>
                        <w14:solidFill>
                          <w14:schemeClr w14:val="tx1"/>
                        </w14:solidFill>
                      </w14:textFill>
                    </w:rPr>
                    <w:t>95</w:t>
                  </w:r>
                  <w:r>
                    <w:rPr>
                      <w:rStyle w:val="64"/>
                      <w:rFonts w:eastAsia="宋体"/>
                      <w:color w:val="000000" w:themeColor="text1"/>
                      <w:highlight w:val="none"/>
                      <w:lang w:val="en-US" w:eastAsia="zh-CN" w:bidi="ar"/>
                      <w14:textFill>
                        <w14:solidFill>
                          <w14:schemeClr w14:val="tx1"/>
                        </w14:solidFill>
                      </w14:textFill>
                    </w:rPr>
                    <w:t>%</w:t>
                  </w:r>
                </w:p>
              </w:tc>
              <w:tc>
                <w:tcPr>
                  <w:tcW w:w="720" w:type="dxa"/>
                  <w:noWrap w:val="0"/>
                  <w:vAlign w:val="center"/>
                </w:tcPr>
                <w:p w14:paraId="3672E0E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18.9</w:t>
                  </w:r>
                </w:p>
              </w:tc>
              <w:tc>
                <w:tcPr>
                  <w:tcW w:w="690" w:type="dxa"/>
                  <w:noWrap w:val="0"/>
                  <w:vAlign w:val="center"/>
                </w:tcPr>
                <w:p w14:paraId="37EFB7C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0.189</w:t>
                  </w:r>
                </w:p>
              </w:tc>
              <w:tc>
                <w:tcPr>
                  <w:tcW w:w="832" w:type="dxa"/>
                  <w:noWrap w:val="0"/>
                  <w:vAlign w:val="center"/>
                </w:tcPr>
                <w:p w14:paraId="0C66014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1.495</w:t>
                  </w:r>
                </w:p>
              </w:tc>
            </w:tr>
            <w:tr w14:paraId="7FE1E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10" w:type="pct"/>
                  <w:vMerge w:val="continue"/>
                  <w:noWrap w:val="0"/>
                  <w:vAlign w:val="center"/>
                </w:tcPr>
                <w:p w14:paraId="654DC3C9">
                  <w:pPr>
                    <w:widowControl/>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470" w:type="pct"/>
                  <w:vMerge w:val="continue"/>
                  <w:noWrap w:val="0"/>
                  <w:vAlign w:val="center"/>
                </w:tcPr>
                <w:p w14:paraId="69281281">
                  <w:pPr>
                    <w:widowControl/>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409" w:type="pct"/>
                  <w:noWrap w:val="0"/>
                  <w:vAlign w:val="center"/>
                </w:tcPr>
                <w:p w14:paraId="5BCF4B6F">
                  <w:pPr>
                    <w:widowControl/>
                    <w:adjustRightInd w:val="0"/>
                    <w:snapToGri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无组织</w:t>
                  </w:r>
                </w:p>
              </w:tc>
              <w:tc>
                <w:tcPr>
                  <w:tcW w:w="806" w:type="dxa"/>
                  <w:noWrap w:val="0"/>
                  <w:vAlign w:val="center"/>
                </w:tcPr>
                <w:p w14:paraId="7E59D39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683" w:type="dxa"/>
                  <w:noWrap w:val="0"/>
                  <w:vAlign w:val="center"/>
                </w:tcPr>
                <w:p w14:paraId="281ACA8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5.434</w:t>
                  </w:r>
                </w:p>
              </w:tc>
              <w:tc>
                <w:tcPr>
                  <w:tcW w:w="750" w:type="dxa"/>
                  <w:noWrap w:val="0"/>
                  <w:vAlign w:val="center"/>
                </w:tcPr>
                <w:p w14:paraId="79F57B1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43.038</w:t>
                  </w:r>
                </w:p>
              </w:tc>
              <w:tc>
                <w:tcPr>
                  <w:tcW w:w="1680" w:type="dxa"/>
                  <w:noWrap w:val="0"/>
                  <w:vAlign w:val="center"/>
                </w:tcPr>
                <w:p w14:paraId="51B6AD9C">
                  <w:pPr>
                    <w:keepNext w:val="0"/>
                    <w:keepLines w:val="0"/>
                    <w:widowControl/>
                    <w:suppressLineNumbers w:val="0"/>
                    <w:jc w:val="both"/>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输送系统封闭、厂房隔挡，控制效率</w:t>
                  </w:r>
                  <w:r>
                    <w:rPr>
                      <w:rStyle w:val="64"/>
                      <w:rFonts w:eastAsia="宋体"/>
                      <w:color w:val="000000" w:themeColor="text1"/>
                      <w:highlight w:val="none"/>
                      <w:lang w:val="en-US" w:eastAsia="zh-CN" w:bidi="ar"/>
                      <w14:textFill>
                        <w14:solidFill>
                          <w14:schemeClr w14:val="tx1"/>
                        </w14:solidFill>
                      </w14:textFill>
                    </w:rPr>
                    <w:t>60%</w:t>
                  </w:r>
                </w:p>
              </w:tc>
              <w:tc>
                <w:tcPr>
                  <w:tcW w:w="720" w:type="dxa"/>
                  <w:noWrap w:val="0"/>
                  <w:vAlign w:val="center"/>
                </w:tcPr>
                <w:p w14:paraId="273B81E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w:t>
                  </w:r>
                </w:p>
              </w:tc>
              <w:tc>
                <w:tcPr>
                  <w:tcW w:w="690" w:type="dxa"/>
                  <w:noWrap w:val="0"/>
                  <w:vAlign w:val="center"/>
                </w:tcPr>
                <w:p w14:paraId="1E440F5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2.174</w:t>
                  </w:r>
                </w:p>
              </w:tc>
              <w:tc>
                <w:tcPr>
                  <w:tcW w:w="832" w:type="dxa"/>
                  <w:noWrap w:val="0"/>
                  <w:vAlign w:val="center"/>
                </w:tcPr>
                <w:p w14:paraId="009E65A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17.215</w:t>
                  </w:r>
                </w:p>
              </w:tc>
            </w:tr>
          </w:tbl>
          <w:p w14:paraId="1B2221B8">
            <w:pPr>
              <w:numPr>
                <w:ilvl w:val="1"/>
                <w:numId w:val="9"/>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废气达标排放及</w:t>
            </w:r>
            <w:r>
              <w:rPr>
                <w:rFonts w:hint="eastAsia"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周边环境空气</w:t>
            </w: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影响分析</w:t>
            </w:r>
          </w:p>
          <w:p w14:paraId="5043F0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项目上料和打包工序粉尘经2个集气罩收集，破碎工序粉尘经管道收集后，最终汇入一根主管路进入布袋除尘器，经处理后通过18m高排气筒（DA001）排放，排放浓度满足《大气污染物综合排放标准》（GB16297-1996）表2中相关标准限值。本项目周边500m范围敏感点为新村，位于本项目侧风向。本项目废气排放量较小，对周边环境空气影响较小。</w:t>
            </w:r>
          </w:p>
          <w:p w14:paraId="0D899199">
            <w:pPr>
              <w:numPr>
                <w:ilvl w:val="1"/>
                <w:numId w:val="9"/>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废气治理措施可行性分析</w:t>
            </w:r>
          </w:p>
          <w:p w14:paraId="7222EA8C">
            <w:pPr>
              <w:keepNext w:val="0"/>
              <w:keepLines w:val="0"/>
              <w:pageBreakBefore w:val="0"/>
              <w:widowControl/>
              <w:suppressLineNumbers w:val="0"/>
              <w:kinsoku/>
              <w:wordWrap w:val="0"/>
              <w:overflowPunct w:val="0"/>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本</w:t>
            </w:r>
            <w:r>
              <w:rPr>
                <w:rFonts w:hint="eastAsia" w:cs="Times New Roman"/>
                <w:color w:val="000000" w:themeColor="text1"/>
                <w:w w:val="100"/>
                <w:kern w:val="2"/>
                <w:sz w:val="24"/>
                <w:szCs w:val="24"/>
                <w:highlight w:val="none"/>
                <w:lang w:val="en-US" w:eastAsia="zh-CN" w:bidi="ar-SA"/>
                <w14:textFill>
                  <w14:solidFill>
                    <w14:schemeClr w14:val="tx1"/>
                  </w14:solidFill>
                </w14:textFill>
              </w:rPr>
              <w:t>项目</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上料和打包工序粉尘经2个集气罩收集，破碎工序粉尘经管道收集后</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最终汇入一根</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主</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管路</w:t>
            </w:r>
            <w:r>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由风机引至</w:t>
            </w: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布袋除尘器</w:t>
            </w:r>
            <w:r>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处理后由</w:t>
            </w: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18</w:t>
            </w:r>
            <w:r>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m高的排气筒（DA001）排放</w:t>
            </w:r>
            <w:r>
              <w:rPr>
                <w:rFonts w:hint="eastAsia" w:cs="Times New Roman"/>
                <w:color w:val="000000" w:themeColor="text1"/>
                <w:w w:val="100"/>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 xml:space="preserve">属于《排污许可证申请与核发技术规范 </w:t>
            </w: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废弃资源加工工业</w:t>
            </w:r>
            <w:r>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HJ 1034-2019</w:t>
            </w:r>
            <w:r>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附录A中</w:t>
            </w:r>
            <w:r>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所列废气可行技术</w:t>
            </w: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w:t>
            </w:r>
          </w:p>
          <w:p w14:paraId="30D541D3">
            <w:pPr>
              <w:numPr>
                <w:ilvl w:val="1"/>
                <w:numId w:val="9"/>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排放口基本情况</w:t>
            </w:r>
          </w:p>
          <w:p w14:paraId="7C50FA21">
            <w:pPr>
              <w:numPr>
                <w:ilvl w:val="0"/>
                <w:numId w:val="0"/>
              </w:numPr>
              <w:adjustRightInd w:val="0"/>
              <w:snapToGrid w:val="0"/>
              <w:spacing w:line="240" w:lineRule="auto"/>
              <w:ind w:leftChars="0" w:firstLine="440" w:firstLineChars="200"/>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t>本项目废气排放口基本情况见下表。</w:t>
            </w:r>
          </w:p>
          <w:p w14:paraId="0F729F9C">
            <w:pPr>
              <w:numPr>
                <w:ilvl w:val="0"/>
                <w:numId w:val="0"/>
              </w:numPr>
              <w:adjustRightInd w:val="0"/>
              <w:snapToGrid w:val="0"/>
              <w:spacing w:line="240" w:lineRule="auto"/>
              <w:jc w:val="center"/>
              <w:rPr>
                <w:rFonts w:hint="default" w:ascii="Times New Roman" w:hAnsi="Times New Roman" w:cs="Times New Roman"/>
                <w:b/>
                <w:bCs w:val="0"/>
                <w:color w:val="000000" w:themeColor="text1"/>
                <w:spacing w:val="-10"/>
                <w:sz w:val="21"/>
                <w:szCs w:val="21"/>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1"/>
                <w:szCs w:val="21"/>
                <w:highlight w:val="none"/>
                <w:lang w:val="en-US" w:eastAsia="zh-CN"/>
                <w14:textFill>
                  <w14:solidFill>
                    <w14:schemeClr w14:val="tx1"/>
                  </w14:solidFill>
                </w14:textFill>
              </w:rPr>
              <w:t>表4-</w:t>
            </w:r>
            <w:r>
              <w:rPr>
                <w:rFonts w:hint="eastAsia" w:ascii="Times New Roman" w:hAnsi="Times New Roman" w:cs="Times New Roman"/>
                <w:b/>
                <w:bCs w:val="0"/>
                <w:color w:val="000000" w:themeColor="text1"/>
                <w:spacing w:val="-10"/>
                <w:sz w:val="21"/>
                <w:szCs w:val="21"/>
                <w:highlight w:val="none"/>
                <w:lang w:val="en-US" w:eastAsia="zh-CN"/>
                <w14:textFill>
                  <w14:solidFill>
                    <w14:schemeClr w14:val="tx1"/>
                  </w14:solidFill>
                </w14:textFill>
              </w:rPr>
              <w:t>3</w:t>
            </w:r>
            <w:r>
              <w:rPr>
                <w:rFonts w:hint="default" w:ascii="Times New Roman" w:hAnsi="Times New Roman" w:cs="Times New Roman"/>
                <w:b/>
                <w:bCs w:val="0"/>
                <w:color w:val="000000" w:themeColor="text1"/>
                <w:spacing w:val="-10"/>
                <w:sz w:val="21"/>
                <w:szCs w:val="21"/>
                <w:highlight w:val="none"/>
                <w:lang w:val="en-US" w:eastAsia="zh-CN"/>
                <w14:textFill>
                  <w14:solidFill>
                    <w14:schemeClr w14:val="tx1"/>
                  </w14:solidFill>
                </w14:textFill>
              </w:rPr>
              <w:t xml:space="preserve"> 废气排放口基本情况一览表</w:t>
            </w:r>
          </w:p>
          <w:tbl>
            <w:tblPr>
              <w:tblStyle w:val="25"/>
              <w:tblW w:w="8521" w:type="dxa"/>
              <w:tblInd w:w="-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04"/>
              <w:gridCol w:w="1318"/>
              <w:gridCol w:w="705"/>
              <w:gridCol w:w="1425"/>
              <w:gridCol w:w="1287"/>
              <w:gridCol w:w="733"/>
              <w:gridCol w:w="840"/>
              <w:gridCol w:w="811"/>
              <w:gridCol w:w="698"/>
            </w:tblGrid>
            <w:tr w14:paraId="07CBC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0" w:hRule="atLeast"/>
                <w:tblHeader/>
              </w:trPr>
              <w:tc>
                <w:tcPr>
                  <w:tcW w:w="704" w:type="dxa"/>
                  <w:vMerge w:val="restart"/>
                  <w:noWrap w:val="0"/>
                  <w:vAlign w:val="center"/>
                </w:tcPr>
                <w:p w14:paraId="437E9C56">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排放口编号</w:t>
                  </w:r>
                </w:p>
              </w:tc>
              <w:tc>
                <w:tcPr>
                  <w:tcW w:w="1318" w:type="dxa"/>
                  <w:vMerge w:val="restart"/>
                  <w:noWrap w:val="0"/>
                  <w:vAlign w:val="center"/>
                </w:tcPr>
                <w:p w14:paraId="5523ECD4">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排放口</w:t>
                  </w:r>
                </w:p>
                <w:p w14:paraId="231AF9CB">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名称</w:t>
                  </w:r>
                </w:p>
              </w:tc>
              <w:tc>
                <w:tcPr>
                  <w:tcW w:w="705" w:type="dxa"/>
                  <w:vMerge w:val="restart"/>
                  <w:noWrap w:val="0"/>
                  <w:vAlign w:val="center"/>
                </w:tcPr>
                <w:p w14:paraId="5AD77CDF">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污染物</w:t>
                  </w:r>
                </w:p>
                <w:p w14:paraId="4099626E">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种类</w:t>
                  </w:r>
                </w:p>
              </w:tc>
              <w:tc>
                <w:tcPr>
                  <w:tcW w:w="2712" w:type="dxa"/>
                  <w:gridSpan w:val="2"/>
                  <w:noWrap w:val="0"/>
                  <w:vAlign w:val="center"/>
                </w:tcPr>
                <w:p w14:paraId="48E70E12">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排放口地理坐标</w:t>
                  </w:r>
                </w:p>
              </w:tc>
              <w:tc>
                <w:tcPr>
                  <w:tcW w:w="733" w:type="dxa"/>
                  <w:vMerge w:val="restart"/>
                  <w:noWrap w:val="0"/>
                  <w:vAlign w:val="center"/>
                </w:tcPr>
                <w:p w14:paraId="6E4E6787">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排气筒高度（m）</w:t>
                  </w:r>
                </w:p>
              </w:tc>
              <w:tc>
                <w:tcPr>
                  <w:tcW w:w="840" w:type="dxa"/>
                  <w:vMerge w:val="restart"/>
                  <w:noWrap w:val="0"/>
                  <w:vAlign w:val="center"/>
                </w:tcPr>
                <w:p w14:paraId="75C9CEF5">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排气筒</w:t>
                  </w:r>
                </w:p>
                <w:p w14:paraId="293C22FD">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出口内径（m）</w:t>
                  </w:r>
                </w:p>
              </w:tc>
              <w:tc>
                <w:tcPr>
                  <w:tcW w:w="811" w:type="dxa"/>
                  <w:vMerge w:val="restart"/>
                  <w:noWrap w:val="0"/>
                  <w:vAlign w:val="center"/>
                </w:tcPr>
                <w:p w14:paraId="1EC24BF3">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排气温度（℃）</w:t>
                  </w:r>
                </w:p>
              </w:tc>
              <w:tc>
                <w:tcPr>
                  <w:tcW w:w="698" w:type="dxa"/>
                  <w:vMerge w:val="restart"/>
                  <w:noWrap w:val="0"/>
                  <w:vAlign w:val="center"/>
                </w:tcPr>
                <w:p w14:paraId="27CF5062">
                  <w:pPr>
                    <w:adjustRightInd w:val="0"/>
                    <w:snapToGrid w:val="0"/>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bCs/>
                      <w:color w:val="000000" w:themeColor="text1"/>
                      <w:sz w:val="21"/>
                      <w:szCs w:val="21"/>
                      <w:highlight w:val="none"/>
                      <w:lang w:val="en-US" w:eastAsia="zh-CN"/>
                      <w14:textFill>
                        <w14:solidFill>
                          <w14:schemeClr w14:val="tx1"/>
                        </w14:solidFill>
                      </w14:textFill>
                    </w:rPr>
                    <w:t>排放口类型</w:t>
                  </w:r>
                </w:p>
              </w:tc>
            </w:tr>
            <w:tr w14:paraId="4AB5F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blHeader/>
              </w:trPr>
              <w:tc>
                <w:tcPr>
                  <w:tcW w:w="704" w:type="dxa"/>
                  <w:vMerge w:val="continue"/>
                  <w:noWrap w:val="0"/>
                  <w:vAlign w:val="center"/>
                </w:tcPr>
                <w:p w14:paraId="2DF2ACFF">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318" w:type="dxa"/>
                  <w:vMerge w:val="continue"/>
                  <w:noWrap w:val="0"/>
                  <w:vAlign w:val="center"/>
                </w:tcPr>
                <w:p w14:paraId="680A283D">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705" w:type="dxa"/>
                  <w:vMerge w:val="continue"/>
                  <w:noWrap w:val="0"/>
                  <w:vAlign w:val="center"/>
                </w:tcPr>
                <w:p w14:paraId="0A3CD6F0">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425" w:type="dxa"/>
                  <w:noWrap w:val="0"/>
                  <w:vAlign w:val="center"/>
                </w:tcPr>
                <w:p w14:paraId="5C2552E4">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经度/°</w:t>
                  </w:r>
                </w:p>
              </w:tc>
              <w:tc>
                <w:tcPr>
                  <w:tcW w:w="1287" w:type="dxa"/>
                  <w:noWrap w:val="0"/>
                  <w:vAlign w:val="center"/>
                </w:tcPr>
                <w:p w14:paraId="0B0BF668">
                  <w:pPr>
                    <w:adjustRightInd w:val="0"/>
                    <w:snapToGrid w:val="0"/>
                    <w:jc w:val="center"/>
                    <w:rPr>
                      <w:rFonts w:hint="default" w:ascii="Times New Roman" w:hAnsi="Times New Roman" w:cs="Times New Roman"/>
                      <w:b/>
                      <w:bCs/>
                      <w:snapToGrid w:val="0"/>
                      <w:color w:val="000000" w:themeColor="text1"/>
                      <w:kern w:val="20"/>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纬度/°</w:t>
                  </w:r>
                </w:p>
              </w:tc>
              <w:tc>
                <w:tcPr>
                  <w:tcW w:w="733" w:type="dxa"/>
                  <w:vMerge w:val="continue"/>
                  <w:noWrap w:val="0"/>
                  <w:vAlign w:val="center"/>
                </w:tcPr>
                <w:p w14:paraId="6785C753">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840" w:type="dxa"/>
                  <w:vMerge w:val="continue"/>
                  <w:noWrap w:val="0"/>
                  <w:vAlign w:val="center"/>
                </w:tcPr>
                <w:p w14:paraId="62899CE2">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811" w:type="dxa"/>
                  <w:vMerge w:val="continue"/>
                  <w:noWrap w:val="0"/>
                  <w:vAlign w:val="center"/>
                </w:tcPr>
                <w:p w14:paraId="01F954B5">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698" w:type="dxa"/>
                  <w:vMerge w:val="continue"/>
                  <w:noWrap w:val="0"/>
                  <w:vAlign w:val="center"/>
                </w:tcPr>
                <w:p w14:paraId="28B440C2">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r>
            <w:tr w14:paraId="40C24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9" w:hRule="atLeast"/>
                <w:tblHeader/>
              </w:trPr>
              <w:tc>
                <w:tcPr>
                  <w:tcW w:w="704" w:type="dxa"/>
                  <w:noWrap w:val="0"/>
                  <w:vAlign w:val="center"/>
                </w:tcPr>
                <w:p w14:paraId="2AF3FEB6">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DA001</w:t>
                  </w:r>
                </w:p>
              </w:tc>
              <w:tc>
                <w:tcPr>
                  <w:tcW w:w="1318" w:type="dxa"/>
                  <w:noWrap w:val="0"/>
                  <w:vAlign w:val="center"/>
                </w:tcPr>
                <w:p w14:paraId="4F02DCCC">
                  <w:pPr>
                    <w:adjustRightInd w:val="0"/>
                    <w:snapToGrid w:val="0"/>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上料、破碎和打包</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工序废气排放口</w:t>
                  </w:r>
                </w:p>
              </w:tc>
              <w:tc>
                <w:tcPr>
                  <w:tcW w:w="705" w:type="dxa"/>
                  <w:noWrap w:val="0"/>
                  <w:vAlign w:val="center"/>
                </w:tcPr>
                <w:p w14:paraId="389C5570">
                  <w:pPr>
                    <w:adjustRightInd w:val="0"/>
                    <w:snapToGrid w:val="0"/>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颗粒物</w:t>
                  </w:r>
                </w:p>
              </w:tc>
              <w:tc>
                <w:tcPr>
                  <w:tcW w:w="1425" w:type="dxa"/>
                  <w:noWrap w:val="0"/>
                  <w:vAlign w:val="center"/>
                </w:tcPr>
                <w:p w14:paraId="505DCB45">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108°56′56.020″</w:t>
                  </w:r>
                </w:p>
              </w:tc>
              <w:tc>
                <w:tcPr>
                  <w:tcW w:w="1287" w:type="dxa"/>
                  <w:noWrap w:val="0"/>
                  <w:vAlign w:val="center"/>
                </w:tcPr>
                <w:p w14:paraId="51C56E18">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34°32′24.699″</w:t>
                  </w:r>
                </w:p>
              </w:tc>
              <w:tc>
                <w:tcPr>
                  <w:tcW w:w="733" w:type="dxa"/>
                  <w:noWrap w:val="0"/>
                  <w:vAlign w:val="center"/>
                </w:tcPr>
                <w:p w14:paraId="52052040">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18</w:t>
                  </w:r>
                </w:p>
              </w:tc>
              <w:tc>
                <w:tcPr>
                  <w:tcW w:w="840" w:type="dxa"/>
                  <w:noWrap w:val="0"/>
                  <w:vAlign w:val="center"/>
                </w:tcPr>
                <w:p w14:paraId="30D55A3A">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w:t>
                  </w:r>
                </w:p>
              </w:tc>
              <w:tc>
                <w:tcPr>
                  <w:tcW w:w="811" w:type="dxa"/>
                  <w:noWrap w:val="0"/>
                  <w:vAlign w:val="center"/>
                </w:tcPr>
                <w:p w14:paraId="54BAF8F0">
                  <w:pPr>
                    <w:adjustRightInd w:val="0"/>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常温</w:t>
                  </w:r>
                </w:p>
              </w:tc>
              <w:tc>
                <w:tcPr>
                  <w:tcW w:w="698" w:type="dxa"/>
                  <w:noWrap w:val="0"/>
                  <w:vAlign w:val="center"/>
                </w:tcPr>
                <w:p w14:paraId="577525ED">
                  <w:pPr>
                    <w:adjustRightInd w:val="0"/>
                    <w:snapToGrid w:val="0"/>
                    <w:jc w:val="center"/>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一般</w:t>
                  </w:r>
                </w:p>
                <w:p w14:paraId="0811D999">
                  <w:pPr>
                    <w:adjustRightInd w:val="0"/>
                    <w:snapToGrid w:val="0"/>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排放口</w:t>
                  </w:r>
                </w:p>
              </w:tc>
            </w:tr>
          </w:tbl>
          <w:p w14:paraId="55815F9B">
            <w:pPr>
              <w:numPr>
                <w:ilvl w:val="1"/>
                <w:numId w:val="9"/>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排气筒设置合理性分析</w:t>
            </w:r>
          </w:p>
          <w:p w14:paraId="419F81B6">
            <w:pPr>
              <w:numPr>
                <w:ilvl w:val="0"/>
                <w:numId w:val="0"/>
              </w:numPr>
              <w:adjustRightInd w:val="0"/>
              <w:snapToGrid w:val="0"/>
              <w:spacing w:line="360" w:lineRule="auto"/>
              <w:ind w:leftChars="0" w:firstLine="480" w:firstLineChars="200"/>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根据</w:t>
            </w: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《大气污染物综合排放标准》（GB16297-1996）</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中</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“7.1</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 xml:space="preserve"> 排气</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筒</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高度除须遵守表列排放速率标准值外</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还应高出周围200m半径范围的建筑5m以上</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不能达到该要求的排气</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筒，</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应按其高度对应的表列排放速率标准值严格50%执行。</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本项目所在厂房</w:t>
            </w:r>
            <w:r>
              <w:rPr>
                <w:rFonts w:hint="eastAsia" w:cs="Times New Roman"/>
                <w:color w:val="000000" w:themeColor="text1"/>
                <w:kern w:val="0"/>
                <w:sz w:val="24"/>
                <w:szCs w:val="24"/>
                <w:highlight w:val="none"/>
                <w:lang w:val="en-US" w:eastAsia="zh-CN" w:bidi="ar"/>
                <w14:textFill>
                  <w14:solidFill>
                    <w14:schemeClr w14:val="tx1"/>
                  </w14:solidFill>
                </w14:textFill>
              </w:rPr>
              <w:t>高为12.5m，是</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半径200m范围</w:t>
            </w:r>
            <w:r>
              <w:rPr>
                <w:rFonts w:hint="eastAsia" w:cs="Times New Roman"/>
                <w:color w:val="000000" w:themeColor="text1"/>
                <w:kern w:val="0"/>
                <w:sz w:val="24"/>
                <w:szCs w:val="24"/>
                <w:highlight w:val="none"/>
                <w:lang w:val="en-US" w:eastAsia="zh-CN" w:bidi="ar"/>
                <w14:textFill>
                  <w14:solidFill>
                    <w14:schemeClr w14:val="tx1"/>
                  </w14:solidFill>
                </w14:textFill>
              </w:rPr>
              <w:t>内最高建筑</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，本项目设置</w:t>
            </w:r>
            <w:r>
              <w:rPr>
                <w:rFonts w:hint="eastAsia" w:cs="Times New Roman"/>
                <w:color w:val="000000" w:themeColor="text1"/>
                <w:kern w:val="0"/>
                <w:sz w:val="24"/>
                <w:szCs w:val="24"/>
                <w:highlight w:val="none"/>
                <w:lang w:val="en-US" w:eastAsia="zh-CN" w:bidi="ar"/>
                <w14:textFill>
                  <w14:solidFill>
                    <w14:schemeClr w14:val="tx1"/>
                  </w14:solidFill>
                </w14:textFill>
              </w:rPr>
              <w:t>18</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高</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排气筒，故排气筒设置合理。</w:t>
            </w:r>
          </w:p>
          <w:p w14:paraId="14FF12CF">
            <w:pPr>
              <w:numPr>
                <w:ilvl w:val="1"/>
                <w:numId w:val="9"/>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废气监测计划</w:t>
            </w:r>
          </w:p>
          <w:p w14:paraId="1989ECFF">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leftChars="0" w:firstLine="480" w:firstLineChars="200"/>
              <w:textAlignment w:val="auto"/>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根据</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《排污许可证申请与核发技术规范 废弃资源加工工业》（HJ 1034-2019）</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，本项目运营期废气监测计划见下表。</w:t>
            </w:r>
          </w:p>
          <w:p w14:paraId="08D11235">
            <w:pPr>
              <w:numPr>
                <w:ilvl w:val="0"/>
                <w:numId w:val="0"/>
              </w:numPr>
              <w:adjustRightInd w:val="0"/>
              <w:snapToGrid w:val="0"/>
              <w:spacing w:line="240" w:lineRule="auto"/>
              <w:jc w:val="cente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表4-</w:t>
            </w:r>
            <w:r>
              <w:rPr>
                <w:rFonts w:hint="eastAsia" w:ascii="Times New Roman" w:hAnsi="Times New Roman" w:cs="Times New Roman"/>
                <w:b/>
                <w:bCs/>
                <w:color w:val="000000" w:themeColor="text1"/>
                <w:sz w:val="21"/>
                <w:szCs w:val="21"/>
                <w:highlight w:val="none"/>
                <w:lang w:val="en-US" w:eastAsia="zh-CN"/>
                <w14:textFill>
                  <w14:solidFill>
                    <w14:schemeClr w14:val="tx1"/>
                  </w14:solidFill>
                </w14:textFill>
              </w:rPr>
              <w:t>4</w:t>
            </w: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 xml:space="preserve"> 废气监测计划一览表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304"/>
              <w:gridCol w:w="2160"/>
              <w:gridCol w:w="1312"/>
              <w:gridCol w:w="1073"/>
              <w:gridCol w:w="2463"/>
            </w:tblGrid>
            <w:tr w14:paraId="6BA56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784" w:type="pct"/>
                  <w:noWrap w:val="0"/>
                  <w:vAlign w:val="center"/>
                </w:tcPr>
                <w:p w14:paraId="37D13EB9">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排放口编号/监测点位</w:t>
                  </w:r>
                </w:p>
              </w:tc>
              <w:tc>
                <w:tcPr>
                  <w:tcW w:w="1299" w:type="pct"/>
                  <w:noWrap w:val="0"/>
                  <w:vAlign w:val="center"/>
                </w:tcPr>
                <w:p w14:paraId="1B9FE02A">
                  <w:pPr>
                    <w:adjustRightInd w:val="0"/>
                    <w:snapToGrid w:val="0"/>
                    <w:jc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排放口名称</w:t>
                  </w:r>
                  <w:r>
                    <w:rPr>
                      <w:rFonts w:hint="eastAsia" w:cs="Times New Roman"/>
                      <w:b/>
                      <w:bCs/>
                      <w:color w:val="000000" w:themeColor="text1"/>
                      <w:sz w:val="21"/>
                      <w:szCs w:val="21"/>
                      <w:highlight w:val="none"/>
                      <w:lang w:val="en-US" w:eastAsia="zh-CN"/>
                      <w14:textFill>
                        <w14:solidFill>
                          <w14:schemeClr w14:val="tx1"/>
                        </w14:solidFill>
                      </w14:textFill>
                    </w:rPr>
                    <w:t>/</w:t>
                  </w:r>
                </w:p>
                <w:p w14:paraId="105308B4">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监测点位名称</w:t>
                  </w:r>
                </w:p>
              </w:tc>
              <w:tc>
                <w:tcPr>
                  <w:tcW w:w="789" w:type="pct"/>
                  <w:noWrap w:val="0"/>
                  <w:vAlign w:val="center"/>
                </w:tcPr>
                <w:p w14:paraId="61EE9CEE">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污染物名称</w:t>
                  </w:r>
                </w:p>
              </w:tc>
              <w:tc>
                <w:tcPr>
                  <w:tcW w:w="645" w:type="pct"/>
                  <w:noWrap w:val="0"/>
                  <w:vAlign w:val="center"/>
                </w:tcPr>
                <w:p w14:paraId="5038FCE7">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手工监测频次</w:t>
                  </w:r>
                </w:p>
              </w:tc>
              <w:tc>
                <w:tcPr>
                  <w:tcW w:w="1481" w:type="pct"/>
                  <w:noWrap w:val="0"/>
                  <w:vAlign w:val="center"/>
                </w:tcPr>
                <w:p w14:paraId="1B1B61C6">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排放</w:t>
                  </w:r>
                  <w:r>
                    <w:rPr>
                      <w:rFonts w:hint="default" w:ascii="Times New Roman" w:hAnsi="Times New Roman" w:cs="Times New Roman"/>
                      <w:b/>
                      <w:bCs/>
                      <w:color w:val="000000" w:themeColor="text1"/>
                      <w:sz w:val="21"/>
                      <w:szCs w:val="21"/>
                      <w:highlight w:val="none"/>
                      <w14:textFill>
                        <w14:solidFill>
                          <w14:schemeClr w14:val="tx1"/>
                        </w14:solidFill>
                      </w14:textFill>
                    </w:rPr>
                    <w:t>标准</w:t>
                  </w:r>
                </w:p>
              </w:tc>
            </w:tr>
            <w:tr w14:paraId="5AA6C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784" w:type="pct"/>
                  <w:noWrap w:val="0"/>
                  <w:vAlign w:val="center"/>
                </w:tcPr>
                <w:p w14:paraId="1BF38CA5">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DA001</w:t>
                  </w:r>
                </w:p>
              </w:tc>
              <w:tc>
                <w:tcPr>
                  <w:tcW w:w="1299" w:type="pct"/>
                  <w:noWrap w:val="0"/>
                  <w:vAlign w:val="center"/>
                </w:tcPr>
                <w:p w14:paraId="658E5551">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上料、破碎和打包</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工序废气排放口</w:t>
                  </w:r>
                </w:p>
              </w:tc>
              <w:tc>
                <w:tcPr>
                  <w:tcW w:w="789" w:type="pct"/>
                  <w:noWrap w:val="0"/>
                  <w:vAlign w:val="center"/>
                </w:tcPr>
                <w:p w14:paraId="2A7C4481">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w:t>
                  </w:r>
                </w:p>
              </w:tc>
              <w:tc>
                <w:tcPr>
                  <w:tcW w:w="645" w:type="pct"/>
                  <w:noWrap w:val="0"/>
                  <w:vAlign w:val="center"/>
                </w:tcPr>
                <w:p w14:paraId="6FE26AA0">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1次/年</w:t>
                  </w:r>
                </w:p>
              </w:tc>
              <w:tc>
                <w:tcPr>
                  <w:tcW w:w="1481" w:type="pct"/>
                  <w:noWrap w:val="0"/>
                  <w:vAlign w:val="center"/>
                </w:tcPr>
                <w:p w14:paraId="151A0C13">
                  <w:pPr>
                    <w:adjustRightInd w:val="0"/>
                    <w:snapToGrid w:val="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《大气污染物综合排放</w:t>
                  </w:r>
                </w:p>
                <w:p w14:paraId="12A7EF04">
                  <w:pPr>
                    <w:adjustRightInd w:val="0"/>
                    <w:snapToGrid w:val="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标准》（GB16297-1996）</w:t>
                  </w:r>
                </w:p>
                <w:p w14:paraId="5060CE3A">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表2中</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相关标准限值</w:t>
                  </w:r>
                </w:p>
              </w:tc>
            </w:tr>
            <w:tr w14:paraId="59364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784" w:type="pct"/>
                  <w:noWrap w:val="0"/>
                  <w:vAlign w:val="center"/>
                </w:tcPr>
                <w:p w14:paraId="1068B745">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厂界</w:t>
                  </w:r>
                </w:p>
              </w:tc>
              <w:tc>
                <w:tcPr>
                  <w:tcW w:w="1299" w:type="pct"/>
                  <w:noWrap w:val="0"/>
                  <w:vAlign w:val="center"/>
                </w:tcPr>
                <w:p w14:paraId="0FD48262">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厂界上风向1个、</w:t>
                  </w:r>
                </w:p>
                <w:p w14:paraId="50745B96">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下风向3个</w:t>
                  </w:r>
                </w:p>
              </w:tc>
              <w:tc>
                <w:tcPr>
                  <w:tcW w:w="789" w:type="pct"/>
                  <w:noWrap w:val="0"/>
                  <w:vAlign w:val="center"/>
                </w:tcPr>
                <w:p w14:paraId="6621148D">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w:t>
                  </w:r>
                </w:p>
              </w:tc>
              <w:tc>
                <w:tcPr>
                  <w:tcW w:w="645" w:type="pct"/>
                  <w:noWrap w:val="0"/>
                  <w:vAlign w:val="center"/>
                </w:tcPr>
                <w:p w14:paraId="77163BD3">
                  <w:pPr>
                    <w:adjustRightInd w:val="0"/>
                    <w:snapToGrid w:val="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1次/</w:t>
                  </w:r>
                  <w:r>
                    <w:rPr>
                      <w:rFonts w:hint="eastAsia" w:cs="Times New Roman"/>
                      <w:color w:val="000000" w:themeColor="text1"/>
                      <w:sz w:val="21"/>
                      <w:szCs w:val="21"/>
                      <w:highlight w:val="none"/>
                      <w:lang w:val="en-US" w:eastAsia="zh-CN"/>
                      <w14:textFill>
                        <w14:solidFill>
                          <w14:schemeClr w14:val="tx1"/>
                        </w14:solidFill>
                      </w14:textFill>
                    </w:rPr>
                    <w:t>年</w:t>
                  </w:r>
                </w:p>
              </w:tc>
              <w:tc>
                <w:tcPr>
                  <w:tcW w:w="1481" w:type="pct"/>
                  <w:noWrap w:val="0"/>
                  <w:vAlign w:val="center"/>
                </w:tcPr>
                <w:p w14:paraId="751C4D85">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《大气污染物综合排放</w:t>
                  </w:r>
                </w:p>
                <w:p w14:paraId="02FE316B">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标准》（GB16297-1996）</w:t>
                  </w:r>
                </w:p>
                <w:p w14:paraId="10C530FA">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无组织排放监控浓度限值</w:t>
                  </w:r>
                </w:p>
              </w:tc>
            </w:tr>
          </w:tbl>
          <w:p w14:paraId="035C9AD9">
            <w:pPr>
              <w:numPr>
                <w:ilvl w:val="1"/>
                <w:numId w:val="9"/>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非正常排放情况</w:t>
            </w:r>
          </w:p>
          <w:p w14:paraId="51390425">
            <w:pPr>
              <w:keepNext w:val="0"/>
              <w:keepLines w:val="0"/>
              <w:pageBreakBefore w:val="0"/>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非正常工况下大气污染物核算：非正常工况包括生产设备开停、局部设备故障及检修等工况。本项目非正常工况主要为设备检验、维修。</w:t>
            </w:r>
          </w:p>
          <w:p w14:paraId="220DEFC1">
            <w:pPr>
              <w:keepNext w:val="0"/>
              <w:keepLines w:val="0"/>
              <w:pageBreakBefore w:val="0"/>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（1）发生频次</w:t>
            </w:r>
          </w:p>
          <w:p w14:paraId="5E913339">
            <w:pPr>
              <w:keepNext w:val="0"/>
              <w:keepLines w:val="0"/>
              <w:pageBreakBefore w:val="0"/>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由于本项目采用的废气治理设施原理及设备结构简单，技术相对成熟，检修频次按1年/次考虑。</w:t>
            </w:r>
          </w:p>
          <w:p w14:paraId="6753BD9C">
            <w:pPr>
              <w:keepNext w:val="0"/>
              <w:keepLines w:val="0"/>
              <w:pageBreakBefore w:val="0"/>
              <w:numPr>
                <w:ilvl w:val="0"/>
                <w:numId w:val="0"/>
              </w:numPr>
              <w:kinsoku/>
              <w:wordWrap/>
              <w:overflowPunct/>
              <w:topLinePunct w:val="0"/>
              <w:autoSpaceDE/>
              <w:autoSpaceDN/>
              <w:bidi w:val="0"/>
              <w:adjustRightInd w:val="0"/>
              <w:spacing w:line="360" w:lineRule="auto"/>
              <w:ind w:firstLine="480" w:firstLineChars="200"/>
              <w:jc w:val="both"/>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（2）非正常废气污染物排放量核算</w:t>
            </w:r>
          </w:p>
          <w:p w14:paraId="483040AA">
            <w:pPr>
              <w:keepNext w:val="0"/>
              <w:keepLines w:val="0"/>
              <w:pageBreakBefore w:val="0"/>
              <w:widowControl/>
              <w:wordWrap/>
              <w:overflowPunct/>
              <w:topLinePunct w:val="0"/>
              <w:autoSpaceDE w:val="0"/>
              <w:autoSpaceDN w:val="0"/>
              <w:bidi w:val="0"/>
              <w:spacing w:line="240" w:lineRule="auto"/>
              <w:ind w:firstLine="0" w:firstLineChars="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表4-</w:t>
            </w:r>
            <w:r>
              <w:rPr>
                <w:rFonts w:hint="eastAsia" w:ascii="Times New Roman" w:hAnsi="Times New Roman" w:cs="Times New Roman"/>
                <w:b/>
                <w:bCs/>
                <w:color w:val="000000" w:themeColor="text1"/>
                <w:sz w:val="21"/>
                <w:szCs w:val="21"/>
                <w:highlight w:val="none"/>
                <w:lang w:val="en-US" w:eastAsia="zh-CN"/>
                <w14:textFill>
                  <w14:solidFill>
                    <w14:schemeClr w14:val="tx1"/>
                  </w14:solidFill>
                </w14:textFill>
              </w:rPr>
              <w:t>5</w:t>
            </w:r>
            <w:r>
              <w:rPr>
                <w:rFonts w:hint="eastAsia" w:cs="Times New Roman"/>
                <w:b/>
                <w:bCs/>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非正常工况下废气污染物排放情况一览表</w:t>
            </w:r>
          </w:p>
          <w:tbl>
            <w:tblPr>
              <w:tblStyle w:val="2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8"/>
              <w:gridCol w:w="744"/>
              <w:gridCol w:w="975"/>
              <w:gridCol w:w="765"/>
              <w:gridCol w:w="675"/>
              <w:gridCol w:w="540"/>
              <w:gridCol w:w="915"/>
              <w:gridCol w:w="822"/>
              <w:gridCol w:w="805"/>
              <w:gridCol w:w="1716"/>
            </w:tblGrid>
            <w:tr w14:paraId="2FA00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09" w:type="pct"/>
                  <w:tcBorders>
                    <w:tl2br w:val="nil"/>
                    <w:tr2bl w:val="nil"/>
                  </w:tcBorders>
                  <w:noWrap w:val="0"/>
                  <w:tcMar>
                    <w:left w:w="28" w:type="dxa"/>
                    <w:right w:w="28" w:type="dxa"/>
                  </w:tcMar>
                  <w:vAlign w:val="center"/>
                </w:tcPr>
                <w:p w14:paraId="462AAB7C">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序号</w:t>
                  </w:r>
                </w:p>
              </w:tc>
              <w:tc>
                <w:tcPr>
                  <w:tcW w:w="447" w:type="pct"/>
                  <w:tcBorders>
                    <w:tl2br w:val="nil"/>
                    <w:tr2bl w:val="nil"/>
                  </w:tcBorders>
                  <w:noWrap w:val="0"/>
                  <w:tcMar>
                    <w:left w:w="28" w:type="dxa"/>
                    <w:right w:w="28" w:type="dxa"/>
                  </w:tcMar>
                  <w:vAlign w:val="center"/>
                </w:tcPr>
                <w:p w14:paraId="73AD6314">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非正常排放源</w:t>
                  </w:r>
                </w:p>
              </w:tc>
              <w:tc>
                <w:tcPr>
                  <w:tcW w:w="586" w:type="pct"/>
                  <w:tcBorders>
                    <w:tl2br w:val="nil"/>
                    <w:tr2bl w:val="nil"/>
                  </w:tcBorders>
                  <w:noWrap w:val="0"/>
                  <w:tcMar>
                    <w:left w:w="28" w:type="dxa"/>
                    <w:right w:w="28" w:type="dxa"/>
                  </w:tcMar>
                  <w:vAlign w:val="center"/>
                </w:tcPr>
                <w:p w14:paraId="0D1F1BBE">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非正常</w:t>
                  </w:r>
                </w:p>
                <w:p w14:paraId="2E7D7316">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排放原因</w:t>
                  </w:r>
                </w:p>
              </w:tc>
              <w:tc>
                <w:tcPr>
                  <w:tcW w:w="460" w:type="pct"/>
                  <w:tcBorders>
                    <w:tl2br w:val="nil"/>
                    <w:tr2bl w:val="nil"/>
                  </w:tcBorders>
                  <w:noWrap w:val="0"/>
                  <w:tcMar>
                    <w:left w:w="28" w:type="dxa"/>
                    <w:right w:w="28" w:type="dxa"/>
                  </w:tcMar>
                  <w:vAlign w:val="center"/>
                </w:tcPr>
                <w:p w14:paraId="415EC237">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污染物</w:t>
                  </w:r>
                </w:p>
              </w:tc>
              <w:tc>
                <w:tcPr>
                  <w:tcW w:w="406" w:type="pct"/>
                  <w:tcBorders>
                    <w:tl2br w:val="nil"/>
                    <w:tr2bl w:val="nil"/>
                  </w:tcBorders>
                  <w:noWrap w:val="0"/>
                  <w:tcMar>
                    <w:left w:w="28" w:type="dxa"/>
                    <w:right w:w="28" w:type="dxa"/>
                  </w:tcMar>
                  <w:vAlign w:val="center"/>
                </w:tcPr>
                <w:p w14:paraId="14837FE8">
                  <w:pPr>
                    <w:keepNext w:val="0"/>
                    <w:keepLines w:val="0"/>
                    <w:pageBreakBefore w:val="0"/>
                    <w:kinsoku/>
                    <w:wordWrap/>
                    <w:overflowPunct/>
                    <w:topLinePunct w:val="0"/>
                    <w:autoSpaceDE/>
                    <w:autoSpaceDN/>
                    <w:bidi w:val="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浓度mg/m</w:t>
                  </w:r>
                  <w:r>
                    <w:rPr>
                      <w:rFonts w:hint="default" w:ascii="Times New Roman" w:hAnsi="Times New Roman" w:eastAsia="宋体" w:cs="Times New Roman"/>
                      <w:b/>
                      <w:bCs/>
                      <w:color w:val="000000" w:themeColor="text1"/>
                      <w:sz w:val="21"/>
                      <w:szCs w:val="21"/>
                      <w:highlight w:val="none"/>
                      <w:vertAlign w:val="superscript"/>
                      <w14:textFill>
                        <w14:solidFill>
                          <w14:schemeClr w14:val="tx1"/>
                        </w14:solidFill>
                      </w14:textFill>
                    </w:rPr>
                    <w:t>3</w:t>
                  </w:r>
                </w:p>
              </w:tc>
              <w:tc>
                <w:tcPr>
                  <w:tcW w:w="325" w:type="pct"/>
                  <w:tcBorders>
                    <w:tl2br w:val="nil"/>
                    <w:tr2bl w:val="nil"/>
                  </w:tcBorders>
                  <w:noWrap w:val="0"/>
                  <w:tcMar>
                    <w:left w:w="28" w:type="dxa"/>
                    <w:right w:w="28" w:type="dxa"/>
                  </w:tcMar>
                  <w:vAlign w:val="center"/>
                </w:tcPr>
                <w:p w14:paraId="0CD7D6A4">
                  <w:pPr>
                    <w:keepNext w:val="0"/>
                    <w:keepLines w:val="0"/>
                    <w:pageBreakBefore w:val="0"/>
                    <w:kinsoku/>
                    <w:wordWrap/>
                    <w:overflowPunct/>
                    <w:topLinePunct w:val="0"/>
                    <w:autoSpaceDE/>
                    <w:autoSpaceDN/>
                    <w:bidi w:val="0"/>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速率kg/h</w:t>
                  </w:r>
                </w:p>
              </w:tc>
              <w:tc>
                <w:tcPr>
                  <w:tcW w:w="550" w:type="pct"/>
                  <w:tcBorders>
                    <w:tl2br w:val="nil"/>
                    <w:tr2bl w:val="nil"/>
                  </w:tcBorders>
                  <w:noWrap w:val="0"/>
                  <w:tcMar>
                    <w:left w:w="28" w:type="dxa"/>
                    <w:right w:w="28" w:type="dxa"/>
                  </w:tcMar>
                  <w:vAlign w:val="center"/>
                </w:tcPr>
                <w:p w14:paraId="48426BC7">
                  <w:pPr>
                    <w:keepNext w:val="0"/>
                    <w:keepLines w:val="0"/>
                    <w:pageBreakBefore w:val="0"/>
                    <w:kinsoku/>
                    <w:wordWrap/>
                    <w:overflowPunct/>
                    <w:topLinePunct w:val="0"/>
                    <w:autoSpaceDE/>
                    <w:autoSpaceDN/>
                    <w:bidi w:val="0"/>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排放量</w:t>
                  </w:r>
                  <w:r>
                    <w:rPr>
                      <w:rFonts w:hint="eastAsia" w:cs="Times New Roman"/>
                      <w:b/>
                      <w:bCs/>
                      <w:color w:val="000000" w:themeColor="text1"/>
                      <w:sz w:val="21"/>
                      <w:szCs w:val="21"/>
                      <w:highlight w:val="none"/>
                      <w:lang w:val="en-US" w:eastAsia="zh-CN"/>
                      <w14:textFill>
                        <w14:solidFill>
                          <w14:schemeClr w14:val="tx1"/>
                        </w14:solidFill>
                      </w14:textFill>
                    </w:rPr>
                    <w:t>t</w:t>
                  </w:r>
                </w:p>
              </w:tc>
              <w:tc>
                <w:tcPr>
                  <w:tcW w:w="494" w:type="pct"/>
                  <w:tcBorders>
                    <w:tl2br w:val="nil"/>
                    <w:tr2bl w:val="nil"/>
                  </w:tcBorders>
                  <w:noWrap w:val="0"/>
                  <w:tcMar>
                    <w:left w:w="28" w:type="dxa"/>
                    <w:right w:w="28" w:type="dxa"/>
                  </w:tcMar>
                  <w:vAlign w:val="center"/>
                </w:tcPr>
                <w:p w14:paraId="29D01796">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单次持续时间/h</w:t>
                  </w:r>
                </w:p>
              </w:tc>
              <w:tc>
                <w:tcPr>
                  <w:tcW w:w="484" w:type="pct"/>
                  <w:tcBorders>
                    <w:tl2br w:val="nil"/>
                    <w:tr2bl w:val="nil"/>
                  </w:tcBorders>
                  <w:noWrap w:val="0"/>
                  <w:tcMar>
                    <w:left w:w="28" w:type="dxa"/>
                    <w:right w:w="28" w:type="dxa"/>
                  </w:tcMar>
                  <w:vAlign w:val="center"/>
                </w:tcPr>
                <w:p w14:paraId="17F7916F">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年发生频次/次</w:t>
                  </w:r>
                </w:p>
              </w:tc>
              <w:tc>
                <w:tcPr>
                  <w:tcW w:w="1033" w:type="pct"/>
                  <w:tcBorders>
                    <w:tl2br w:val="nil"/>
                    <w:tr2bl w:val="nil"/>
                  </w:tcBorders>
                  <w:noWrap w:val="0"/>
                  <w:tcMar>
                    <w:left w:w="28" w:type="dxa"/>
                    <w:right w:w="28" w:type="dxa"/>
                  </w:tcMar>
                  <w:vAlign w:val="center"/>
                </w:tcPr>
                <w:p w14:paraId="1F008AEF">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采取措施</w:t>
                  </w:r>
                </w:p>
              </w:tc>
            </w:tr>
            <w:tr w14:paraId="4E2DE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09" w:type="pct"/>
                  <w:tcBorders>
                    <w:tl2br w:val="nil"/>
                    <w:tr2bl w:val="nil"/>
                  </w:tcBorders>
                  <w:noWrap w:val="0"/>
                  <w:tcMar>
                    <w:left w:w="28" w:type="dxa"/>
                    <w:right w:w="28" w:type="dxa"/>
                  </w:tcMar>
                  <w:vAlign w:val="center"/>
                </w:tcPr>
                <w:p w14:paraId="20D7A508">
                  <w:pPr>
                    <w:pStyle w:val="57"/>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447" w:type="pct"/>
                  <w:tcBorders>
                    <w:tl2br w:val="nil"/>
                    <w:tr2bl w:val="nil"/>
                  </w:tcBorders>
                  <w:noWrap w:val="0"/>
                  <w:tcMar>
                    <w:left w:w="28" w:type="dxa"/>
                    <w:right w:w="28" w:type="dxa"/>
                  </w:tcMar>
                  <w:vAlign w:val="center"/>
                </w:tcPr>
                <w:p w14:paraId="7B498DBA">
                  <w:pPr>
                    <w:keepNext w:val="0"/>
                    <w:keepLines w:val="0"/>
                    <w:pageBreakBefore w:val="0"/>
                    <w:kinsoku/>
                    <w:wordWrap/>
                    <w:overflowPunct/>
                    <w:topLinePunct w:val="0"/>
                    <w:autoSpaceDE/>
                    <w:autoSpaceDN/>
                    <w:bidi w:val="0"/>
                    <w:jc w:val="cente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DA00</w:t>
                  </w:r>
                  <w:r>
                    <w:rPr>
                      <w:rFonts w:hint="default" w:ascii="Times New Roman" w:hAnsi="Times New Roman" w:cs="Times New Roman"/>
                      <w:b w:val="0"/>
                      <w:bCs/>
                      <w:color w:val="000000" w:themeColor="text1"/>
                      <w:sz w:val="21"/>
                      <w:szCs w:val="21"/>
                      <w:highlight w:val="none"/>
                      <w:lang w:val="en-US" w:eastAsia="zh-CN"/>
                      <w14:textFill>
                        <w14:solidFill>
                          <w14:schemeClr w14:val="tx1"/>
                        </w14:solidFill>
                      </w14:textFill>
                    </w:rPr>
                    <w:t>1</w:t>
                  </w:r>
                </w:p>
              </w:tc>
              <w:tc>
                <w:tcPr>
                  <w:tcW w:w="586" w:type="pct"/>
                  <w:tcBorders>
                    <w:tl2br w:val="nil"/>
                    <w:tr2bl w:val="nil"/>
                  </w:tcBorders>
                  <w:noWrap w:val="0"/>
                  <w:tcMar>
                    <w:left w:w="28" w:type="dxa"/>
                    <w:right w:w="28" w:type="dxa"/>
                  </w:tcMar>
                  <w:vAlign w:val="center"/>
                </w:tcPr>
                <w:p w14:paraId="51BA7025">
                  <w:pPr>
                    <w:pStyle w:val="12"/>
                    <w:keepNext w:val="0"/>
                    <w:keepLines w:val="0"/>
                    <w:pageBreakBefore w:val="0"/>
                    <w:numPr>
                      <w:ilvl w:val="0"/>
                      <w:numId w:val="0"/>
                    </w:numPr>
                    <w:tabs>
                      <w:tab w:val="left" w:pos="6855"/>
                    </w:tabs>
                    <w:kinsoku/>
                    <w:wordWrap/>
                    <w:overflowPunct/>
                    <w:topLinePunct w:val="0"/>
                    <w:autoSpaceDE/>
                    <w:autoSpaceDN/>
                    <w:bidi w:val="0"/>
                    <w:adjustRightInd/>
                    <w:snapToGrid/>
                    <w:spacing w:after="0" w:line="240" w:lineRule="auto"/>
                    <w:ind w:left="0" w:leftChars="0" w:firstLine="0" w:firstLineChars="0"/>
                    <w:jc w:val="center"/>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t>布袋除尘器</w:t>
                  </w:r>
                  <w:r>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t>故障</w:t>
                  </w:r>
                  <w:r>
                    <w:rPr>
                      <w:rFonts w:hint="eastAsia" w:cs="Times New Roman"/>
                      <w:b w:val="0"/>
                      <w:bCs/>
                      <w:color w:val="000000" w:themeColor="text1"/>
                      <w:kern w:val="2"/>
                      <w:sz w:val="21"/>
                      <w:szCs w:val="21"/>
                      <w:highlight w:val="none"/>
                      <w:vertAlign w:val="baseline"/>
                      <w:lang w:val="en-US" w:eastAsia="zh-CN" w:bidi="ar-SA"/>
                      <w14:textFill>
                        <w14:solidFill>
                          <w14:schemeClr w14:val="tx1"/>
                        </w14:solidFill>
                      </w14:textFill>
                    </w:rPr>
                    <w:t>，处理效率为10%</w:t>
                  </w:r>
                </w:p>
              </w:tc>
              <w:tc>
                <w:tcPr>
                  <w:tcW w:w="460" w:type="pct"/>
                  <w:tcBorders>
                    <w:tl2br w:val="nil"/>
                    <w:tr2bl w:val="nil"/>
                  </w:tcBorders>
                  <w:noWrap w:val="0"/>
                  <w:tcMar>
                    <w:left w:w="28" w:type="dxa"/>
                    <w:right w:w="28" w:type="dxa"/>
                  </w:tcMar>
                  <w:vAlign w:val="center"/>
                </w:tcPr>
                <w:p w14:paraId="416B8D4C">
                  <w:pPr>
                    <w:pStyle w:val="23"/>
                    <w:keepNext w:val="0"/>
                    <w:keepLines w:val="0"/>
                    <w:pageBreakBefore w:val="0"/>
                    <w:kinsoku/>
                    <w:wordWrap/>
                    <w:overflowPunct/>
                    <w:topLinePunct w:val="0"/>
                    <w:autoSpaceDE/>
                    <w:autoSpaceDN/>
                    <w:bidi w:val="0"/>
                    <w:spacing w:before="0" w:after="0" w:line="240" w:lineRule="auto"/>
                    <w:ind w:right="0" w:rightChars="0" w:firstLine="0" w:firstLineChars="0"/>
                    <w:jc w:val="center"/>
                    <w:rPr>
                      <w:rFonts w:hint="default" w:ascii="Times New Roman" w:hAnsi="Times New Roman" w:eastAsia="宋体" w:cs="Times New Roman"/>
                      <w:b w:val="0"/>
                      <w:bCs/>
                      <w:color w:val="000000" w:themeColor="text1"/>
                      <w:kern w:val="0"/>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颗粒物</w:t>
                  </w:r>
                </w:p>
              </w:tc>
              <w:tc>
                <w:tcPr>
                  <w:tcW w:w="406" w:type="pct"/>
                  <w:tcBorders>
                    <w:tl2br w:val="nil"/>
                    <w:tr2bl w:val="nil"/>
                  </w:tcBorders>
                  <w:noWrap w:val="0"/>
                  <w:tcMar>
                    <w:left w:w="28" w:type="dxa"/>
                    <w:right w:w="28" w:type="dxa"/>
                  </w:tcMar>
                  <w:vAlign w:val="center"/>
                </w:tcPr>
                <w:p w14:paraId="463D827C">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339.8</w:t>
                  </w:r>
                </w:p>
              </w:tc>
              <w:tc>
                <w:tcPr>
                  <w:tcW w:w="325" w:type="pct"/>
                  <w:tcBorders>
                    <w:tl2br w:val="nil"/>
                    <w:tr2bl w:val="nil"/>
                  </w:tcBorders>
                  <w:noWrap w:val="0"/>
                  <w:tcMar>
                    <w:left w:w="28" w:type="dxa"/>
                    <w:right w:w="28" w:type="dxa"/>
                  </w:tcMar>
                  <w:vAlign w:val="center"/>
                </w:tcPr>
                <w:p w14:paraId="6CE854B5">
                  <w:pPr>
                    <w:keepNext w:val="0"/>
                    <w:keepLines w:val="0"/>
                    <w:widowControl/>
                    <w:suppressLineNumbers w:val="0"/>
                    <w:jc w:val="center"/>
                    <w:textAlignment w:val="center"/>
                    <w:rPr>
                      <w:rFonts w:hint="default" w:ascii="Times New Roman" w:hAnsi="Times New Roman"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3.398</w:t>
                  </w:r>
                </w:p>
              </w:tc>
              <w:tc>
                <w:tcPr>
                  <w:tcW w:w="550" w:type="pct"/>
                  <w:tcBorders>
                    <w:tl2br w:val="nil"/>
                    <w:tr2bl w:val="nil"/>
                  </w:tcBorders>
                  <w:noWrap w:val="0"/>
                  <w:tcMar>
                    <w:left w:w="28" w:type="dxa"/>
                    <w:right w:w="28" w:type="dxa"/>
                  </w:tcMar>
                  <w:vAlign w:val="center"/>
                </w:tcPr>
                <w:p w14:paraId="4FE902A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0.003398</w:t>
                  </w:r>
                </w:p>
              </w:tc>
              <w:tc>
                <w:tcPr>
                  <w:tcW w:w="494" w:type="pct"/>
                  <w:tcBorders>
                    <w:tl2br w:val="nil"/>
                    <w:tr2bl w:val="nil"/>
                  </w:tcBorders>
                  <w:noWrap w:val="0"/>
                  <w:tcMar>
                    <w:left w:w="28" w:type="dxa"/>
                    <w:right w:w="28" w:type="dxa"/>
                  </w:tcMar>
                  <w:vAlign w:val="center"/>
                </w:tcPr>
                <w:p w14:paraId="51974B53">
                  <w:pPr>
                    <w:pStyle w:val="23"/>
                    <w:keepNext w:val="0"/>
                    <w:keepLines w:val="0"/>
                    <w:pageBreakBefore w:val="0"/>
                    <w:kinsoku/>
                    <w:wordWrap/>
                    <w:overflowPunct/>
                    <w:topLinePunct w:val="0"/>
                    <w:autoSpaceDE/>
                    <w:autoSpaceDN/>
                    <w:bidi w:val="0"/>
                    <w:spacing w:before="0" w:after="0" w:line="240" w:lineRule="auto"/>
                    <w:ind w:right="0" w:rightChars="0" w:firstLine="0" w:firstLineChars="0"/>
                    <w:jc w:val="cente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1</w:t>
                  </w:r>
                </w:p>
              </w:tc>
              <w:tc>
                <w:tcPr>
                  <w:tcW w:w="484" w:type="pct"/>
                  <w:tcBorders>
                    <w:tl2br w:val="nil"/>
                    <w:tr2bl w:val="nil"/>
                  </w:tcBorders>
                  <w:noWrap w:val="0"/>
                  <w:tcMar>
                    <w:left w:w="28" w:type="dxa"/>
                    <w:right w:w="28" w:type="dxa"/>
                  </w:tcMar>
                  <w:vAlign w:val="center"/>
                </w:tcPr>
                <w:p w14:paraId="1A5A592C">
                  <w:pPr>
                    <w:pStyle w:val="23"/>
                    <w:keepNext w:val="0"/>
                    <w:keepLines w:val="0"/>
                    <w:pageBreakBefore w:val="0"/>
                    <w:kinsoku/>
                    <w:wordWrap/>
                    <w:overflowPunct/>
                    <w:topLinePunct w:val="0"/>
                    <w:autoSpaceDE/>
                    <w:autoSpaceDN/>
                    <w:bidi w:val="0"/>
                    <w:spacing w:before="0" w:after="0" w:line="240" w:lineRule="auto"/>
                    <w:ind w:right="0" w:rightChars="0" w:firstLine="0" w:firstLineChars="0"/>
                    <w:jc w:val="center"/>
                    <w:rPr>
                      <w:rFonts w:hint="default" w:ascii="Times New Roman" w:hAnsi="Times New Roman" w:eastAsia="宋体" w:cs="Times New Roman"/>
                      <w:b w:val="0"/>
                      <w:bCs/>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1</w:t>
                  </w:r>
                </w:p>
              </w:tc>
              <w:tc>
                <w:tcPr>
                  <w:tcW w:w="1033" w:type="pct"/>
                  <w:tcBorders>
                    <w:tl2br w:val="nil"/>
                    <w:tr2bl w:val="nil"/>
                  </w:tcBorders>
                  <w:noWrap w:val="0"/>
                  <w:tcMar>
                    <w:left w:w="28" w:type="dxa"/>
                    <w:right w:w="28" w:type="dxa"/>
                  </w:tcMar>
                  <w:vAlign w:val="center"/>
                </w:tcPr>
                <w:p w14:paraId="3C5A3EB7">
                  <w:pPr>
                    <w:pStyle w:val="23"/>
                    <w:keepNext w:val="0"/>
                    <w:keepLines w:val="0"/>
                    <w:pageBreakBefore w:val="0"/>
                    <w:kinsoku/>
                    <w:wordWrap/>
                    <w:overflowPunct/>
                    <w:topLinePunct w:val="0"/>
                    <w:autoSpaceDE/>
                    <w:autoSpaceDN/>
                    <w:bidi w:val="0"/>
                    <w:spacing w:before="0" w:after="0" w:line="240" w:lineRule="auto"/>
                    <w:ind w:right="0" w:firstLine="0" w:firstLineChars="0"/>
                    <w:jc w:val="cente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加强维护</w:t>
                  </w: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管理</w:t>
                  </w:r>
                  <w:r>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，选用可靠设备，废气日常监测与记录</w:t>
                  </w:r>
                </w:p>
              </w:tc>
            </w:tr>
          </w:tbl>
          <w:p w14:paraId="5C2744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w:t>
            </w:r>
          </w:p>
          <w:p w14:paraId="494EE3DB">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 1 \* GB3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①</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14:textFill>
                  <w14:solidFill>
                    <w14:schemeClr w14:val="tx1"/>
                  </w14:solidFill>
                </w14:textFill>
              </w:rPr>
              <w:t>安排专人负责环保设备的日常维护和管理，</w:t>
            </w:r>
            <w:r>
              <w:rPr>
                <w:rFonts w:hint="default" w:ascii="Times New Roman" w:hAnsi="Times New Roman" w:cs="Times New Roman"/>
                <w:color w:val="000000" w:themeColor="text1"/>
                <w:sz w:val="24"/>
                <w:szCs w:val="24"/>
                <w:highlight w:val="none"/>
                <w:lang w:eastAsia="zh-CN"/>
                <w14:textFill>
                  <w14:solidFill>
                    <w14:schemeClr w14:val="tx1"/>
                  </w14:solidFill>
                </w14:textFill>
              </w:rPr>
              <w:t>每隔</w:t>
            </w:r>
            <w:r>
              <w:rPr>
                <w:rFonts w:hint="default" w:ascii="Times New Roman" w:hAnsi="Times New Roman" w:eastAsia="宋体" w:cs="Times New Roman"/>
                <w:color w:val="000000" w:themeColor="text1"/>
                <w:sz w:val="24"/>
                <w:szCs w:val="24"/>
                <w:highlight w:val="none"/>
                <w14:textFill>
                  <w14:solidFill>
                    <w14:schemeClr w14:val="tx1"/>
                  </w14:solidFill>
                </w14:textFill>
              </w:rPr>
              <w:t>固定时间检查、汇报情况，及时发现废气处理设备的隐患，确保废气处理系统正常运行；</w:t>
            </w:r>
          </w:p>
          <w:p w14:paraId="697C57C6">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②建立健全的环保管理机构，对环保管理人员和技术人员进行岗位培训，委托具有专业资质的</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环境监测</w:t>
            </w:r>
            <w:r>
              <w:rPr>
                <w:rFonts w:hint="default" w:ascii="Times New Roman" w:hAnsi="Times New Roman" w:eastAsia="宋体" w:cs="Times New Roman"/>
                <w:color w:val="000000" w:themeColor="text1"/>
                <w:sz w:val="24"/>
                <w:szCs w:val="24"/>
                <w:highlight w:val="none"/>
                <w14:textFill>
                  <w14:solidFill>
                    <w14:schemeClr w14:val="tx1"/>
                  </w14:solidFill>
                </w14:textFill>
              </w:rPr>
              <w:t>单位对项目排放的各类污染物进行定期检测；</w:t>
            </w:r>
          </w:p>
          <w:p w14:paraId="48F67829">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③应定期维护、检修废气净化装置，以保持废气处理装置净化能力和净化容量。</w:t>
            </w:r>
          </w:p>
          <w:p w14:paraId="2C61679E">
            <w:pPr>
              <w:keepNext w:val="0"/>
              <w:keepLines w:val="0"/>
              <w:pageBreakBefore w:val="0"/>
              <w:kinsoku/>
              <w:wordWrap/>
              <w:overflowPunct/>
              <w:topLinePunct w:val="0"/>
              <w:autoSpaceDE/>
              <w:autoSpaceDN/>
              <w:bidi w:val="0"/>
              <w:spacing w:line="360" w:lineRule="auto"/>
              <w:ind w:firstLine="480" w:firstLineChars="200"/>
              <w:jc w:val="both"/>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④每班次开工前，确认废气处理设备开启并正常运行。若有需要停产检修的情况，需要关闭生产设备一段时间后再关闭废气处理设备，不存在废气突然排放情况。</w:t>
            </w:r>
          </w:p>
          <w:p w14:paraId="6497C170">
            <w:pPr>
              <w:numPr>
                <w:ilvl w:val="0"/>
                <w:numId w:val="8"/>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废水</w:t>
            </w:r>
          </w:p>
          <w:p w14:paraId="175EB1C0">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2.1废水源强核算</w:t>
            </w:r>
          </w:p>
          <w:p w14:paraId="53B6516D">
            <w:pPr>
              <w:adjustRightInd w:val="0"/>
              <w:snapToGri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本项目运营期主要废水为生活污水，废水</w:t>
            </w:r>
            <w:r>
              <w:rPr>
                <w:rFonts w:hint="default" w:ascii="Times New Roman" w:hAnsi="Times New Roman" w:cs="Times New Roman"/>
                <w:color w:val="000000" w:themeColor="text1"/>
                <w:sz w:val="24"/>
                <w:highlight w:val="none"/>
                <w14:textFill>
                  <w14:solidFill>
                    <w14:schemeClr w14:val="tx1"/>
                  </w14:solidFill>
                </w14:textFill>
              </w:rPr>
              <w:t>产生量约</w:t>
            </w:r>
            <w:r>
              <w:rPr>
                <w:rFonts w:hint="eastAsia" w:cs="Times New Roman"/>
                <w:color w:val="000000" w:themeColor="text1"/>
                <w:sz w:val="24"/>
                <w:highlight w:val="none"/>
                <w:lang w:val="en-US" w:eastAsia="zh-CN"/>
                <w14:textFill>
                  <w14:solidFill>
                    <w14:schemeClr w14:val="tx1"/>
                  </w14:solidFill>
                </w14:textFill>
              </w:rPr>
              <w:t>400</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/a。生活污水经</w:t>
            </w:r>
            <w:r>
              <w:rPr>
                <w:rFonts w:hint="eastAsia" w:ascii="Times New Roman" w:hAnsi="Times New Roman" w:cs="Times New Roman"/>
                <w:color w:val="000000" w:themeColor="text1"/>
                <w:sz w:val="24"/>
                <w:highlight w:val="none"/>
                <w:lang w:val="en-US" w:eastAsia="zh-CN"/>
                <w14:textFill>
                  <w14:solidFill>
                    <w14:schemeClr w14:val="tx1"/>
                  </w14:solidFill>
                </w14:textFill>
              </w:rPr>
              <w:t>陕西国坤时代科技有限公司化粪池</w:t>
            </w:r>
            <w:r>
              <w:rPr>
                <w:rFonts w:hint="default" w:ascii="Times New Roman" w:hAnsi="Times New Roman" w:cs="Times New Roman"/>
                <w:color w:val="000000" w:themeColor="text1"/>
                <w:sz w:val="24"/>
                <w:highlight w:val="none"/>
                <w14:textFill>
                  <w14:solidFill>
                    <w14:schemeClr w14:val="tx1"/>
                  </w14:solidFill>
                </w14:textFill>
              </w:rPr>
              <w:t>处理后排入市政污水管网，流向</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泾河新城第二污水处</w:t>
            </w:r>
            <w:r>
              <w:rPr>
                <w:rFonts w:hint="default" w:ascii="Times New Roman" w:hAnsi="Times New Roman" w:cs="Times New Roman"/>
                <w:color w:val="000000" w:themeColor="text1"/>
                <w:sz w:val="24"/>
                <w:highlight w:val="none"/>
                <w:lang w:val="en-US" w:eastAsia="zh-CN"/>
                <w14:textFill>
                  <w14:solidFill>
                    <w14:schemeClr w14:val="tx1"/>
                  </w14:solidFill>
                </w14:textFill>
              </w:rPr>
              <w:t>理厂</w:t>
            </w:r>
            <w:r>
              <w:rPr>
                <w:rFonts w:hint="eastAsia" w:ascii="Times New Roman" w:hAnsi="Times New Roman" w:cs="Times New Roman"/>
                <w:color w:val="000000" w:themeColor="text1"/>
                <w:sz w:val="24"/>
                <w:highlight w:val="none"/>
                <w:lang w:val="en-US" w:eastAsia="zh-CN"/>
                <w14:textFill>
                  <w14:solidFill>
                    <w14:schemeClr w14:val="tx1"/>
                  </w14:solidFill>
                </w14:textFill>
              </w:rPr>
              <w:t>进一步处理</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根据《给排水设计手册》第5册中生活污水水质数据，本项目生活污水水污染物浓度最大取值为COD</w:t>
            </w:r>
            <w:r>
              <w:rPr>
                <w:rFonts w:hint="default" w:ascii="Times New Roman" w:hAnsi="Times New Roman" w:cs="Times New Roman"/>
                <w:color w:val="000000" w:themeColor="text1"/>
                <w:sz w:val="24"/>
                <w:szCs w:val="24"/>
                <w:highlight w:val="none"/>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350mg/L</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BOD</w:t>
            </w:r>
            <w:r>
              <w:rPr>
                <w:rFonts w:hint="default" w:ascii="Times New Roman" w:hAnsi="Times New Roman" w:cs="Times New Roman"/>
                <w:color w:val="000000" w:themeColor="text1"/>
                <w:sz w:val="24"/>
                <w:szCs w:val="24"/>
                <w:highlight w:val="none"/>
                <w:vertAlign w:val="subscript"/>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280mg/L、SS</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300 mg/L、NH</w:t>
            </w:r>
            <w:r>
              <w:rPr>
                <w:rFonts w:hint="default" w:ascii="Times New Roman" w:hAnsi="Times New Roman" w:cs="Times New Roman"/>
                <w:color w:val="000000" w:themeColor="text1"/>
                <w:sz w:val="24"/>
                <w:szCs w:val="24"/>
                <w:highlight w:val="none"/>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-N</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40mg/L</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项目废水生产、排放一览表见</w:t>
            </w:r>
            <w:r>
              <w:rPr>
                <w:rFonts w:hint="default" w:ascii="Times New Roman" w:hAnsi="Times New Roman" w:cs="Times New Roman"/>
                <w:color w:val="000000" w:themeColor="text1"/>
                <w:sz w:val="24"/>
                <w:highlight w:val="none"/>
                <w:lang w:eastAsia="zh-CN"/>
                <w14:textFill>
                  <w14:solidFill>
                    <w14:schemeClr w14:val="tx1"/>
                  </w14:solidFill>
                </w14:textFill>
              </w:rPr>
              <w:t>下表</w:t>
            </w:r>
            <w:r>
              <w:rPr>
                <w:rFonts w:hint="default" w:ascii="Times New Roman" w:hAnsi="Times New Roman" w:cs="Times New Roman"/>
                <w:color w:val="000000" w:themeColor="text1"/>
                <w:sz w:val="24"/>
                <w:highlight w:val="none"/>
                <w14:textFill>
                  <w14:solidFill>
                    <w14:schemeClr w14:val="tx1"/>
                  </w14:solidFill>
                </w14:textFill>
              </w:rPr>
              <w:t>。</w:t>
            </w:r>
          </w:p>
          <w:p w14:paraId="14F51CA9">
            <w:pPr>
              <w:tabs>
                <w:tab w:val="left" w:pos="709"/>
              </w:tabs>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表</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4-</w:t>
            </w: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 xml:space="preserve">6 </w:t>
            </w:r>
            <w:r>
              <w:rPr>
                <w:rFonts w:hint="default" w:ascii="Times New Roman" w:hAnsi="Times New Roman" w:eastAsia="宋体" w:cs="Times New Roman"/>
                <w:b/>
                <w:bCs/>
                <w:color w:val="000000" w:themeColor="text1"/>
                <w:szCs w:val="21"/>
                <w:highlight w:val="none"/>
                <w14:textFill>
                  <w14:solidFill>
                    <w14:schemeClr w14:val="tx1"/>
                  </w14:solidFill>
                </w14:textFill>
              </w:rPr>
              <w:t>项目废水产生、排放一览表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3368"/>
              <w:gridCol w:w="975"/>
              <w:gridCol w:w="990"/>
              <w:gridCol w:w="975"/>
              <w:gridCol w:w="939"/>
            </w:tblGrid>
            <w:tr w14:paraId="61906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noWrap w:val="0"/>
                  <w:vAlign w:val="center"/>
                </w:tcPr>
                <w:p w14:paraId="5D13EAFA">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类别</w:t>
                  </w:r>
                </w:p>
              </w:tc>
              <w:tc>
                <w:tcPr>
                  <w:tcW w:w="2026" w:type="pct"/>
                  <w:noWrap w:val="0"/>
                  <w:vAlign w:val="center"/>
                </w:tcPr>
                <w:p w14:paraId="7B99B2D8">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类别</w:t>
                  </w:r>
                </w:p>
              </w:tc>
              <w:tc>
                <w:tcPr>
                  <w:tcW w:w="586" w:type="pct"/>
                  <w:noWrap w:val="0"/>
                  <w:vAlign w:val="center"/>
                </w:tcPr>
                <w:p w14:paraId="4FE25259">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COD</w:t>
                  </w:r>
                </w:p>
              </w:tc>
              <w:tc>
                <w:tcPr>
                  <w:tcW w:w="595" w:type="pct"/>
                  <w:noWrap w:val="0"/>
                  <w:vAlign w:val="center"/>
                </w:tcPr>
                <w:p w14:paraId="60FD7F0E">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BOD</w:t>
                  </w:r>
                  <w:r>
                    <w:rPr>
                      <w:rFonts w:hint="default" w:ascii="Times New Roman" w:hAnsi="Times New Roman" w:cs="Times New Roman"/>
                      <w:b/>
                      <w:bCs/>
                      <w:color w:val="000000" w:themeColor="text1"/>
                      <w:sz w:val="21"/>
                      <w:szCs w:val="21"/>
                      <w:highlight w:val="none"/>
                      <w:vertAlign w:val="subscript"/>
                      <w:lang w:val="en-US" w:eastAsia="zh-CN"/>
                      <w14:textFill>
                        <w14:solidFill>
                          <w14:schemeClr w14:val="tx1"/>
                        </w14:solidFill>
                      </w14:textFill>
                    </w:rPr>
                    <w:t>5</w:t>
                  </w:r>
                </w:p>
              </w:tc>
              <w:tc>
                <w:tcPr>
                  <w:tcW w:w="586" w:type="pct"/>
                  <w:noWrap w:val="0"/>
                  <w:vAlign w:val="center"/>
                </w:tcPr>
                <w:p w14:paraId="232F09F5">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SS</w:t>
                  </w:r>
                </w:p>
              </w:tc>
              <w:tc>
                <w:tcPr>
                  <w:tcW w:w="565" w:type="pct"/>
                  <w:noWrap w:val="0"/>
                  <w:vAlign w:val="center"/>
                </w:tcPr>
                <w:p w14:paraId="4B0B4FC8">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氨氮</w:t>
                  </w:r>
                </w:p>
              </w:tc>
            </w:tr>
            <w:tr w14:paraId="0AFE9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vMerge w:val="restart"/>
                  <w:noWrap w:val="0"/>
                  <w:vAlign w:val="center"/>
                </w:tcPr>
                <w:p w14:paraId="6F9F36DF">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生活废水</w:t>
                  </w:r>
                </w:p>
              </w:tc>
              <w:tc>
                <w:tcPr>
                  <w:tcW w:w="2026" w:type="pct"/>
                  <w:noWrap w:val="0"/>
                  <w:vAlign w:val="center"/>
                </w:tcPr>
                <w:p w14:paraId="1BBC6AD0">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产生浓度mg/L</w:t>
                  </w:r>
                </w:p>
              </w:tc>
              <w:tc>
                <w:tcPr>
                  <w:tcW w:w="586" w:type="pct"/>
                  <w:noWrap w:val="0"/>
                  <w:vAlign w:val="center"/>
                </w:tcPr>
                <w:p w14:paraId="4AC2EB27">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350</w:t>
                  </w:r>
                </w:p>
              </w:tc>
              <w:tc>
                <w:tcPr>
                  <w:tcW w:w="595" w:type="pct"/>
                  <w:noWrap w:val="0"/>
                  <w:vAlign w:val="center"/>
                </w:tcPr>
                <w:p w14:paraId="358260A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280</w:t>
                  </w:r>
                </w:p>
              </w:tc>
              <w:tc>
                <w:tcPr>
                  <w:tcW w:w="586" w:type="pct"/>
                  <w:noWrap w:val="0"/>
                  <w:vAlign w:val="center"/>
                </w:tcPr>
                <w:p w14:paraId="1FDB4695">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300</w:t>
                  </w:r>
                </w:p>
              </w:tc>
              <w:tc>
                <w:tcPr>
                  <w:tcW w:w="565" w:type="pct"/>
                  <w:noWrap w:val="0"/>
                  <w:vAlign w:val="center"/>
                </w:tcPr>
                <w:p w14:paraId="0B6827B3">
                  <w:pPr>
                    <w:keepNext w:val="0"/>
                    <w:keepLines w:val="0"/>
                    <w:widowControl/>
                    <w:suppressLineNumbers w:val="0"/>
                    <w:spacing w:line="240" w:lineRule="auto"/>
                    <w:jc w:val="center"/>
                    <w:textAlignment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40</w:t>
                  </w:r>
                </w:p>
              </w:tc>
            </w:tr>
            <w:tr w14:paraId="72CF1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9" w:type="pct"/>
                  <w:vMerge w:val="continue"/>
                  <w:noWrap w:val="0"/>
                  <w:vAlign w:val="center"/>
                </w:tcPr>
                <w:p w14:paraId="4FB23441">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000000" w:themeColor="text1"/>
                      <w:sz w:val="21"/>
                      <w:szCs w:val="21"/>
                      <w:highlight w:val="none"/>
                      <w14:textFill>
                        <w14:solidFill>
                          <w14:schemeClr w14:val="tx1"/>
                        </w14:solidFill>
                      </w14:textFill>
                    </w:rPr>
                  </w:pPr>
                </w:p>
              </w:tc>
              <w:tc>
                <w:tcPr>
                  <w:tcW w:w="2026" w:type="pct"/>
                  <w:noWrap w:val="0"/>
                  <w:vAlign w:val="center"/>
                </w:tcPr>
                <w:p w14:paraId="228A7054">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产生量t/a</w:t>
                  </w:r>
                </w:p>
              </w:tc>
              <w:tc>
                <w:tcPr>
                  <w:tcW w:w="975" w:type="dxa"/>
                  <w:noWrap w:val="0"/>
                  <w:vAlign w:val="center"/>
                </w:tcPr>
                <w:p w14:paraId="55FC36FC">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0.14</w:t>
                  </w:r>
                </w:p>
              </w:tc>
              <w:tc>
                <w:tcPr>
                  <w:tcW w:w="990" w:type="dxa"/>
                  <w:noWrap w:val="0"/>
                  <w:vAlign w:val="center"/>
                </w:tcPr>
                <w:p w14:paraId="00AF01CE">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0.112</w:t>
                  </w:r>
                </w:p>
              </w:tc>
              <w:tc>
                <w:tcPr>
                  <w:tcW w:w="975" w:type="dxa"/>
                  <w:noWrap w:val="0"/>
                  <w:vAlign w:val="center"/>
                </w:tcPr>
                <w:p w14:paraId="0ACA77C3">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0.12</w:t>
                  </w:r>
                </w:p>
              </w:tc>
              <w:tc>
                <w:tcPr>
                  <w:tcW w:w="939" w:type="dxa"/>
                  <w:noWrap w:val="0"/>
                  <w:vAlign w:val="center"/>
                </w:tcPr>
                <w:p w14:paraId="298098DF">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0.016</w:t>
                  </w:r>
                </w:p>
              </w:tc>
            </w:tr>
            <w:tr w14:paraId="78DC2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65" w:type="pct"/>
                  <w:gridSpan w:val="2"/>
                  <w:noWrap w:val="0"/>
                  <w:vAlign w:val="center"/>
                </w:tcPr>
                <w:p w14:paraId="0F090C48">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cs="Times New Roman"/>
                      <w:b w:val="0"/>
                      <w:bCs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《污水综合排放标准》（GB8978-1996）三级标准</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及</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《污水排入城镇下水道水质标准》（GB/T31962-2015）表1</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中B级</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标准</w:t>
                  </w:r>
                </w:p>
              </w:tc>
              <w:tc>
                <w:tcPr>
                  <w:tcW w:w="586" w:type="pct"/>
                  <w:noWrap w:val="0"/>
                  <w:vAlign w:val="center"/>
                </w:tcPr>
                <w:p w14:paraId="687AC8C0">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500</w:t>
                  </w:r>
                </w:p>
              </w:tc>
              <w:tc>
                <w:tcPr>
                  <w:tcW w:w="595" w:type="pct"/>
                  <w:noWrap w:val="0"/>
                  <w:vAlign w:val="center"/>
                </w:tcPr>
                <w:p w14:paraId="5722DFC4">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300</w:t>
                  </w:r>
                </w:p>
              </w:tc>
              <w:tc>
                <w:tcPr>
                  <w:tcW w:w="586" w:type="pct"/>
                  <w:noWrap w:val="0"/>
                  <w:vAlign w:val="center"/>
                </w:tcPr>
                <w:p w14:paraId="016DA2F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400</w:t>
                  </w:r>
                </w:p>
              </w:tc>
              <w:tc>
                <w:tcPr>
                  <w:tcW w:w="565" w:type="pct"/>
                  <w:noWrap w:val="0"/>
                  <w:vAlign w:val="center"/>
                </w:tcPr>
                <w:p w14:paraId="132FF503">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45</w:t>
                  </w:r>
                </w:p>
              </w:tc>
            </w:tr>
          </w:tbl>
          <w:p w14:paraId="69C18B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highlight w:val="none"/>
                <w:lang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由上表可知，项目</w:t>
            </w:r>
            <w:r>
              <w:rPr>
                <w:rFonts w:hint="default" w:ascii="Times New Roman" w:hAnsi="Times New Roman" w:cs="Times New Roman"/>
                <w:color w:val="000000" w:themeColor="text1"/>
                <w:sz w:val="24"/>
                <w:highlight w:val="none"/>
                <w14:textFill>
                  <w14:solidFill>
                    <w14:schemeClr w14:val="tx1"/>
                  </w14:solidFill>
                </w14:textFill>
              </w:rPr>
              <w:t>污水排放浓度可满足《污水综合排放标准》（GB8978-1996）三级标准</w:t>
            </w:r>
            <w:r>
              <w:rPr>
                <w:rFonts w:hint="default" w:ascii="Times New Roman" w:hAnsi="Times New Roman" w:cs="Times New Roman"/>
                <w:color w:val="000000" w:themeColor="text1"/>
                <w:sz w:val="24"/>
                <w:highlight w:val="none"/>
                <w:lang w:val="en-US" w:eastAsia="zh-CN"/>
                <w14:textFill>
                  <w14:solidFill>
                    <w14:schemeClr w14:val="tx1"/>
                  </w14:solidFill>
                </w14:textFill>
              </w:rPr>
              <w:t>及</w:t>
            </w:r>
            <w:r>
              <w:rPr>
                <w:rFonts w:hint="default" w:ascii="Times New Roman" w:hAnsi="Times New Roman" w:cs="Times New Roman"/>
                <w:color w:val="000000" w:themeColor="text1"/>
                <w:sz w:val="24"/>
                <w:highlight w:val="none"/>
                <w14:textFill>
                  <w14:solidFill>
                    <w14:schemeClr w14:val="tx1"/>
                  </w14:solidFill>
                </w14:textFill>
              </w:rPr>
              <w:t>《污水排入城镇下水道水质标准》（GB/T31962-2015）表1</w:t>
            </w:r>
            <w:r>
              <w:rPr>
                <w:rFonts w:hint="default" w:ascii="Times New Roman" w:hAnsi="Times New Roman" w:cs="Times New Roman"/>
                <w:color w:val="000000" w:themeColor="text1"/>
                <w:sz w:val="24"/>
                <w:highlight w:val="none"/>
                <w:lang w:val="en-US" w:eastAsia="zh-CN"/>
                <w14:textFill>
                  <w14:solidFill>
                    <w14:schemeClr w14:val="tx1"/>
                  </w14:solidFill>
                </w14:textFill>
              </w:rPr>
              <w:t>中B级</w:t>
            </w:r>
            <w:r>
              <w:rPr>
                <w:rFonts w:hint="default" w:ascii="Times New Roman" w:hAnsi="Times New Roman" w:cs="Times New Roman"/>
                <w:color w:val="000000" w:themeColor="text1"/>
                <w:sz w:val="24"/>
                <w:highlight w:val="none"/>
                <w14:textFill>
                  <w14:solidFill>
                    <w14:schemeClr w14:val="tx1"/>
                  </w14:solidFill>
                </w14:textFill>
              </w:rPr>
              <w:t>标准</w:t>
            </w:r>
            <w:r>
              <w:rPr>
                <w:rFonts w:hint="default" w:ascii="Times New Roman" w:hAnsi="Times New Roman" w:cs="Times New Roman"/>
                <w:color w:val="000000" w:themeColor="text1"/>
                <w:sz w:val="24"/>
                <w:highlight w:val="none"/>
                <w:lang w:eastAsia="zh-CN"/>
                <w14:textFill>
                  <w14:solidFill>
                    <w14:schemeClr w14:val="tx1"/>
                  </w14:solidFill>
                </w14:textFill>
              </w:rPr>
              <w:t>。</w:t>
            </w:r>
          </w:p>
          <w:p w14:paraId="2E16FD0E">
            <w:pPr>
              <w:numPr>
                <w:ilvl w:val="0"/>
                <w:numId w:val="0"/>
              </w:numPr>
              <w:adjustRightInd w:val="0"/>
              <w:snapToGrid w:val="0"/>
              <w:spacing w:line="360" w:lineRule="auto"/>
              <w:rPr>
                <w:rFonts w:hint="eastAsia" w:ascii="Times New Roman" w:hAnsi="Times New Roman" w:eastAsia="宋体" w:cs="Times New Roman"/>
                <w:b/>
                <w:bCs w:val="0"/>
                <w:color w:val="000000" w:themeColor="text1"/>
                <w:spacing w:val="-10"/>
                <w:sz w:val="24"/>
                <w:szCs w:val="24"/>
                <w:highlight w:val="none"/>
                <w:lang w:val="en-US" w:eastAsia="zh-CN"/>
                <w14:textFill>
                  <w14:solidFill>
                    <w14:schemeClr w14:val="tx1"/>
                  </w14:solidFill>
                </w14:textFill>
              </w:rPr>
            </w:pPr>
            <w:r>
              <w:rPr>
                <w:rFonts w:hint="eastAsia" w:ascii="Times New Roman" w:hAnsi="Times New Roman" w:eastAsia="宋体" w:cs="Times New Roman"/>
                <w:b/>
                <w:bCs w:val="0"/>
                <w:color w:val="000000" w:themeColor="text1"/>
                <w:spacing w:val="-10"/>
                <w:sz w:val="24"/>
                <w:szCs w:val="24"/>
                <w:highlight w:val="none"/>
                <w:lang w:val="en-US" w:eastAsia="zh-CN"/>
                <w14:textFill>
                  <w14:solidFill>
                    <w14:schemeClr w14:val="tx1"/>
                  </w14:solidFill>
                </w14:textFill>
              </w:rPr>
              <w:t>2.2废水监测计划</w:t>
            </w:r>
          </w:p>
          <w:p w14:paraId="5BC1328C">
            <w:pPr>
              <w:pStyle w:val="4"/>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24"/>
                <w:szCs w:val="24"/>
                <w:highlight w:val="none"/>
                <w:lang w:val="en-US" w:eastAsia="zh-CN" w:bidi="ar-SA"/>
                <w14:textFill>
                  <w14:solidFill>
                    <w14:schemeClr w14:val="tx1"/>
                  </w14:solidFill>
                </w14:textFill>
              </w:rPr>
              <w:t>本项目产生的废水主要为生活污水，废水依托园区化粪池处理后排入市政污水管网，园区内有多家企业进行生产运营，故项目运营期产生的废水统一由园区进行监测。</w:t>
            </w:r>
          </w:p>
          <w:p w14:paraId="4B73CFF1">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2.</w:t>
            </w:r>
            <w:r>
              <w:rPr>
                <w:rFonts w:hint="eastAsia"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3</w:t>
            </w: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依托可行性分析</w:t>
            </w:r>
          </w:p>
          <w:p w14:paraId="73B32D38">
            <w:pPr>
              <w:numPr>
                <w:ilvl w:val="0"/>
                <w:numId w:val="0"/>
              </w:numPr>
              <w:adjustRightInd w:val="0"/>
              <w:snapToGrid w:val="0"/>
              <w:spacing w:line="360" w:lineRule="auto"/>
              <w:ind w:firstLine="440" w:firstLineChars="200"/>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val="0"/>
                <w:bCs/>
                <w:color w:val="000000" w:themeColor="text1"/>
                <w:spacing w:val="-10"/>
                <w:kern w:val="2"/>
                <w:sz w:val="24"/>
                <w:szCs w:val="24"/>
                <w:highlight w:val="none"/>
                <w:lang w:val="en-US" w:eastAsia="zh-CN" w:bidi="ar-SA"/>
                <w14:textFill>
                  <w14:solidFill>
                    <w14:schemeClr w14:val="tx1"/>
                  </w14:solidFill>
                </w14:textFill>
              </w:rPr>
              <w:t>（1）</w:t>
            </w:r>
            <w:r>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t>化粪池依托可行性分析</w:t>
            </w:r>
          </w:p>
          <w:p w14:paraId="325BCA7F">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本项目位于</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陕西省西咸新区泾河新城永乐工业园</w:t>
            </w:r>
            <w:r>
              <w:rPr>
                <w:rFonts w:hint="eastAsia" w:ascii="Times New Roman" w:hAnsi="Times New Roman" w:eastAsia="宋体" w:cs="Times New Roman"/>
                <w:b w:val="0"/>
                <w:bCs/>
                <w:color w:val="000000" w:themeColor="text1"/>
                <w:sz w:val="24"/>
                <w:highlight w:val="none"/>
                <w:lang w:val="en-US" w:eastAsia="zh-CN"/>
                <w14:textFill>
                  <w14:solidFill>
                    <w14:schemeClr w14:val="tx1"/>
                  </w14:solidFill>
                </w14:textFill>
              </w:rPr>
              <w:t>陕西国坤时代科技有限公司2号厂房</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w:t>
            </w:r>
            <w:r>
              <w:rPr>
                <w:rFonts w:hint="default" w:ascii="Times New Roman" w:hAnsi="Times New Roman" w:cs="Times New Roman"/>
                <w:b w:val="0"/>
                <w:bCs/>
                <w:color w:val="000000" w:themeColor="text1"/>
                <w:sz w:val="24"/>
                <w:highlight w:val="none"/>
                <w14:textFill>
                  <w14:solidFill>
                    <w14:schemeClr w14:val="tx1"/>
                  </w14:solidFill>
                </w14:textFill>
              </w:rPr>
              <w:t>生活污水产生量约为</w:t>
            </w:r>
            <w:r>
              <w:rPr>
                <w:rFonts w:hint="eastAsia" w:ascii="Times New Roman" w:hAnsi="Times New Roman" w:cs="Times New Roman"/>
                <w:color w:val="000000" w:themeColor="text1"/>
                <w:sz w:val="24"/>
                <w:highlight w:val="none"/>
                <w:lang w:val="en-US" w:eastAsia="zh-CN"/>
                <w14:textFill>
                  <w14:solidFill>
                    <w14:schemeClr w14:val="tx1"/>
                  </w14:solidFill>
                </w14:textFill>
              </w:rPr>
              <w:t>1.212</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/d</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400</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/a</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b w:val="0"/>
                <w:bCs/>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项目废水依托</w:t>
            </w:r>
            <w:r>
              <w:rPr>
                <w:rFonts w:hint="eastAsia" w:ascii="Times New Roman" w:hAnsi="Times New Roman" w:eastAsia="宋体" w:cs="Times New Roman"/>
                <w:b w:val="0"/>
                <w:bCs/>
                <w:color w:val="000000" w:themeColor="text1"/>
                <w:sz w:val="24"/>
                <w:highlight w:val="none"/>
                <w:lang w:val="en-US" w:eastAsia="zh-CN"/>
                <w14:textFill>
                  <w14:solidFill>
                    <w14:schemeClr w14:val="tx1"/>
                  </w14:solidFill>
                </w14:textFill>
              </w:rPr>
              <w:t>陕西国坤时代科技有限化粪池</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处理。根据建设单位提供资料，</w:t>
            </w:r>
            <w:r>
              <w:rPr>
                <w:rFonts w:hint="eastAsia" w:ascii="Times New Roman" w:hAnsi="Times New Roman" w:eastAsia="宋体" w:cs="Times New Roman"/>
                <w:b w:val="0"/>
                <w:bCs/>
                <w:color w:val="000000" w:themeColor="text1"/>
                <w:sz w:val="24"/>
                <w:highlight w:val="none"/>
                <w:lang w:val="en-US" w:eastAsia="zh-CN"/>
                <w14:textFill>
                  <w14:solidFill>
                    <w14:schemeClr w14:val="tx1"/>
                  </w14:solidFill>
                </w14:textFill>
              </w:rPr>
              <w:t>陕西国坤时代科技有限化粪池</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容积</w:t>
            </w:r>
            <w:r>
              <w:rPr>
                <w:rFonts w:hint="eastAsia" w:ascii="Times New Roman" w:hAnsi="Times New Roman" w:eastAsia="宋体" w:cs="Times New Roman"/>
                <w:b w:val="0"/>
                <w:bCs/>
                <w:color w:val="000000" w:themeColor="text1"/>
                <w:sz w:val="24"/>
                <w:highlight w:val="none"/>
                <w:lang w:val="en-US" w:eastAsia="zh-CN"/>
                <w14:textFill>
                  <w14:solidFill>
                    <w14:schemeClr w14:val="tx1"/>
                  </w14:solidFill>
                </w14:textFill>
              </w:rPr>
              <w:t>为38</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，本项目生活污水经</w:t>
            </w:r>
            <w:r>
              <w:rPr>
                <w:rFonts w:hint="eastAsia" w:ascii="Times New Roman" w:hAnsi="Times New Roman" w:eastAsia="宋体" w:cs="Times New Roman"/>
                <w:b w:val="0"/>
                <w:bCs/>
                <w:color w:val="000000" w:themeColor="text1"/>
                <w:sz w:val="24"/>
                <w:highlight w:val="none"/>
                <w:lang w:val="en-US" w:eastAsia="zh-CN"/>
                <w14:textFill>
                  <w14:solidFill>
                    <w14:schemeClr w14:val="tx1"/>
                  </w14:solidFill>
                </w14:textFill>
              </w:rPr>
              <w:t>陕西国坤时代科技有限公司化粪池</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处理后进入市政污水管网。目前其他企业废水为</w:t>
            </w:r>
            <w:r>
              <w:rPr>
                <w:rFonts w:hint="eastAsia" w:ascii="Times New Roman" w:hAnsi="Times New Roman" w:eastAsia="宋体" w:cs="Times New Roman"/>
                <w:b w:val="0"/>
                <w:bCs/>
                <w:color w:val="000000" w:themeColor="text1"/>
                <w:sz w:val="24"/>
                <w:highlight w:val="none"/>
                <w:lang w:val="en-US" w:eastAsia="zh-CN"/>
                <w14:textFill>
                  <w14:solidFill>
                    <w14:schemeClr w14:val="tx1"/>
                  </w14:solidFill>
                </w14:textFill>
              </w:rPr>
              <w:t>26</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/d，化粪池废水剩余处理容量</w:t>
            </w:r>
            <w:r>
              <w:rPr>
                <w:rFonts w:hint="eastAsia" w:ascii="Times New Roman" w:hAnsi="Times New Roman" w:eastAsia="宋体" w:cs="Times New Roman"/>
                <w:b w:val="0"/>
                <w:bCs/>
                <w:color w:val="000000" w:themeColor="text1"/>
                <w:sz w:val="24"/>
                <w:highlight w:val="none"/>
                <w:lang w:val="en-US" w:eastAsia="zh-CN"/>
                <w14:textFill>
                  <w14:solidFill>
                    <w14:schemeClr w14:val="tx1"/>
                  </w14:solidFill>
                </w14:textFill>
              </w:rPr>
              <w:t>（12</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4"/>
                <w:highlight w:val="none"/>
                <w:vertAlign w:val="superscript"/>
                <w:lang w:val="en-US" w:eastAsia="zh-CN"/>
                <w14:textFill>
                  <w14:solidFill>
                    <w14:schemeClr w14:val="tx1"/>
                  </w14:solidFill>
                </w14:textFill>
              </w:rPr>
              <w:t>3</w:t>
            </w:r>
            <w:r>
              <w:rPr>
                <w:rFonts w:hint="eastAsia" w:ascii="Times New Roman" w:hAnsi="Times New Roman" w:eastAsia="宋体" w:cs="Times New Roman"/>
                <w:b w:val="0"/>
                <w:bCs/>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可满足本项目水力停留时间</w:t>
            </w:r>
            <w:r>
              <w:rPr>
                <w:rFonts w:hint="eastAsia" w:cs="Times New Roman"/>
                <w:b w:val="0"/>
                <w:bCs/>
                <w:color w:val="000000" w:themeColor="text1"/>
                <w:sz w:val="24"/>
                <w:highlight w:val="none"/>
                <w:lang w:val="en-US" w:eastAsia="zh-CN"/>
                <w14:textFill>
                  <w14:solidFill>
                    <w14:schemeClr w14:val="tx1"/>
                  </w14:solidFill>
                </w14:textFill>
              </w:rPr>
              <w:t>12</w:t>
            </w:r>
            <w:r>
              <w:rPr>
                <w:rFonts w:hint="default" w:ascii="Times New Roman" w:hAnsi="Times New Roman" w:eastAsia="宋体" w:cs="Times New Roman"/>
                <w:b w:val="0"/>
                <w:bCs/>
                <w:color w:val="000000" w:themeColor="text1"/>
                <w:sz w:val="24"/>
                <w:highlight w:val="none"/>
                <w:lang w:val="en-US" w:eastAsia="zh-CN"/>
                <w14:textFill>
                  <w14:solidFill>
                    <w14:schemeClr w14:val="tx1"/>
                  </w14:solidFill>
                </w14:textFill>
              </w:rPr>
              <w:t>h要求，因此废水依托化粪池可行。</w:t>
            </w:r>
          </w:p>
          <w:p w14:paraId="58B51E19">
            <w:pPr>
              <w:numPr>
                <w:ilvl w:val="0"/>
                <w:numId w:val="0"/>
              </w:numPr>
              <w:adjustRightInd w:val="0"/>
              <w:snapToGrid w:val="0"/>
              <w:spacing w:line="360" w:lineRule="auto"/>
              <w:ind w:firstLine="440" w:firstLineChars="200"/>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val="0"/>
                <w:bCs/>
                <w:color w:val="000000" w:themeColor="text1"/>
                <w:spacing w:val="-10"/>
                <w:kern w:val="2"/>
                <w:sz w:val="24"/>
                <w:szCs w:val="24"/>
                <w:highlight w:val="none"/>
                <w:lang w:val="en-US" w:eastAsia="zh-CN" w:bidi="ar-SA"/>
                <w14:textFill>
                  <w14:solidFill>
                    <w14:schemeClr w14:val="tx1"/>
                  </w14:solidFill>
                </w14:textFill>
              </w:rPr>
              <w:t>（2）</w:t>
            </w:r>
            <w:r>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t>污水处理厂依托可行性分析</w:t>
            </w:r>
          </w:p>
          <w:p w14:paraId="574A95DB">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sz w:val="24"/>
                <w:highlight w:val="none"/>
                <w:lang w:bidi="ar"/>
                <w14:textFill>
                  <w14:solidFill>
                    <w14:schemeClr w14:val="tx1"/>
                  </w14:solidFill>
                </w14:textFill>
              </w:rPr>
            </w:pPr>
            <w:r>
              <w:rPr>
                <w:rFonts w:hint="default" w:ascii="Times New Roman" w:hAnsi="Times New Roman" w:eastAsia="宋体" w:cs="Times New Roman"/>
                <w:color w:val="000000" w:themeColor="text1"/>
                <w:sz w:val="24"/>
                <w:highlight w:val="none"/>
                <w:lang w:bidi="ar"/>
                <w14:textFill>
                  <w14:solidFill>
                    <w14:schemeClr w14:val="tx1"/>
                  </w14:solidFill>
                </w14:textFill>
              </w:rPr>
              <w:t>泾河新城第二污水处理厂位于泾河新城西安工业资产经营有限公司南侧，建设规模为40000m</w:t>
            </w:r>
            <w:r>
              <w:rPr>
                <w:rFonts w:hint="eastAsia" w:ascii="Times New Roman" w:hAnsi="Times New Roman" w:eastAsia="宋体" w:cs="Times New Roman"/>
                <w:color w:val="000000" w:themeColor="text1"/>
                <w:sz w:val="24"/>
                <w:highlight w:val="none"/>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sz w:val="24"/>
                <w:highlight w:val="none"/>
                <w:lang w:bidi="ar"/>
                <w14:textFill>
                  <w14:solidFill>
                    <w14:schemeClr w14:val="tx1"/>
                  </w14:solidFill>
                </w14:textFill>
              </w:rPr>
              <w:t>/d，</w:t>
            </w:r>
            <w:r>
              <w:rPr>
                <w:rFonts w:hint="eastAsia" w:ascii="Times New Roman" w:hAnsi="Times New Roman" w:eastAsia="宋体" w:cs="Times New Roman"/>
                <w:color w:val="000000" w:themeColor="text1"/>
                <w:sz w:val="24"/>
                <w:highlight w:val="none"/>
                <w:lang w:val="en-US" w:eastAsia="zh-CN" w:bidi="ar"/>
                <w14:textFill>
                  <w14:solidFill>
                    <w14:schemeClr w14:val="tx1"/>
                  </w14:solidFill>
                </w14:textFill>
              </w:rPr>
              <w:t>目前最大处理量为32000m</w:t>
            </w:r>
            <w:r>
              <w:rPr>
                <w:rFonts w:hint="eastAsia" w:ascii="Times New Roman" w:hAnsi="Times New Roman" w:eastAsia="宋体" w:cs="Times New Roman"/>
                <w:color w:val="000000" w:themeColor="text1"/>
                <w:sz w:val="24"/>
                <w:highlight w:val="none"/>
                <w:vertAlign w:val="superscript"/>
                <w:lang w:val="en-US" w:eastAsia="zh-CN" w:bidi="ar"/>
                <w14:textFill>
                  <w14:solidFill>
                    <w14:schemeClr w14:val="tx1"/>
                  </w14:solidFill>
                </w14:textFill>
              </w:rPr>
              <w:t>3</w:t>
            </w:r>
            <w:r>
              <w:rPr>
                <w:rFonts w:hint="eastAsia" w:ascii="Times New Roman" w:hAnsi="Times New Roman" w:eastAsia="宋体" w:cs="Times New Roman"/>
                <w:color w:val="000000" w:themeColor="text1"/>
                <w:sz w:val="24"/>
                <w:highlight w:val="none"/>
                <w:lang w:val="en-US" w:eastAsia="zh-CN" w:bidi="ar"/>
                <w14:textFill>
                  <w14:solidFill>
                    <w14:schemeClr w14:val="tx1"/>
                  </w14:solidFill>
                </w14:textFill>
              </w:rPr>
              <w:t>/d，</w:t>
            </w:r>
            <w:r>
              <w:rPr>
                <w:rFonts w:hint="default" w:ascii="Times New Roman" w:hAnsi="Times New Roman" w:eastAsia="宋体" w:cs="Times New Roman"/>
                <w:color w:val="000000" w:themeColor="text1"/>
                <w:sz w:val="24"/>
                <w:highlight w:val="none"/>
                <w:lang w:bidi="ar"/>
                <w14:textFill>
                  <w14:solidFill>
                    <w14:schemeClr w14:val="tx1"/>
                  </w14:solidFill>
                </w14:textFill>
              </w:rPr>
              <w:t>采用</w:t>
            </w:r>
            <w:r>
              <w:rPr>
                <w:rFonts w:hint="eastAsia" w:ascii="Times New Roman" w:hAnsi="Times New Roman" w:eastAsia="宋体" w:cs="Times New Roman"/>
                <w:color w:val="000000" w:themeColor="text1"/>
                <w:sz w:val="24"/>
                <w:highlight w:val="none"/>
                <w:lang w:eastAsia="zh-CN" w:bidi="ar"/>
                <w14:textFill>
                  <w14:solidFill>
                    <w14:schemeClr w14:val="tx1"/>
                  </w14:solidFill>
                </w14:textFill>
              </w:rPr>
              <w:t>“</w:t>
            </w:r>
            <w:r>
              <w:rPr>
                <w:rFonts w:hint="default" w:ascii="Times New Roman" w:hAnsi="Times New Roman" w:eastAsia="宋体" w:cs="Times New Roman"/>
                <w:color w:val="000000" w:themeColor="text1"/>
                <w:sz w:val="24"/>
                <w:highlight w:val="none"/>
                <w:lang w:bidi="ar"/>
                <w14:textFill>
                  <w14:solidFill>
                    <w14:schemeClr w14:val="tx1"/>
                  </w14:solidFill>
                </w14:textFill>
              </w:rPr>
              <w:t>粗格栅及提升泵房+细格栅+沉砂池+MBR复合工艺+二沉池+超效沉淀池+次氯酸钠消毒</w:t>
            </w:r>
            <w:r>
              <w:rPr>
                <w:rFonts w:hint="eastAsia" w:ascii="Times New Roman" w:hAnsi="Times New Roman" w:eastAsia="宋体" w:cs="Times New Roman"/>
                <w:color w:val="000000" w:themeColor="text1"/>
                <w:sz w:val="24"/>
                <w:highlight w:val="none"/>
                <w:lang w:eastAsia="zh-CN" w:bidi="ar"/>
                <w14:textFill>
                  <w14:solidFill>
                    <w14:schemeClr w14:val="tx1"/>
                  </w14:solidFill>
                </w14:textFill>
              </w:rPr>
              <w:t>”</w:t>
            </w:r>
            <w:r>
              <w:rPr>
                <w:rFonts w:hint="default" w:ascii="Times New Roman" w:hAnsi="Times New Roman" w:eastAsia="宋体" w:cs="Times New Roman"/>
                <w:color w:val="000000" w:themeColor="text1"/>
                <w:sz w:val="24"/>
                <w:highlight w:val="none"/>
                <w:lang w:bidi="ar"/>
                <w14:textFill>
                  <w14:solidFill>
                    <w14:schemeClr w14:val="tx1"/>
                  </w14:solidFill>
                </w14:textFill>
              </w:rPr>
              <w:t>，处理后尾水经消毒后排入泾河，出水水质执行《陕西省黄河流域污水综合排放标准》（DB61/224-2018）表1中A标准。</w:t>
            </w:r>
          </w:p>
          <w:p w14:paraId="70A71EA5">
            <w:pPr>
              <w:numPr>
                <w:ilvl w:val="0"/>
                <w:numId w:val="0"/>
              </w:numPr>
              <w:adjustRightInd w:val="0"/>
              <w:snapToGrid w:val="0"/>
              <w:spacing w:line="360" w:lineRule="auto"/>
              <w:ind w:firstLine="480" w:firstLineChars="200"/>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bidi="ar"/>
                <w14:textFill>
                  <w14:solidFill>
                    <w14:schemeClr w14:val="tx1"/>
                  </w14:solidFill>
                </w14:textFill>
              </w:rPr>
              <w:t>本项目位于泾河新城第二污水处理厂收水范围内，废水主要是生活污水，水质简单，生活污水水量仅为</w:t>
            </w:r>
            <w:r>
              <w:rPr>
                <w:rFonts w:hint="eastAsia" w:ascii="Times New Roman" w:hAnsi="Times New Roman" w:eastAsia="宋体" w:cs="Times New Roman"/>
                <w:color w:val="000000" w:themeColor="text1"/>
                <w:sz w:val="24"/>
                <w:highlight w:val="none"/>
                <w:lang w:val="en-US" w:eastAsia="zh-CN" w:bidi="ar"/>
                <w14:textFill>
                  <w14:solidFill>
                    <w14:schemeClr w14:val="tx1"/>
                  </w14:solidFill>
                </w14:textFill>
              </w:rPr>
              <w:t>1.212</w:t>
            </w:r>
            <w:r>
              <w:rPr>
                <w:rFonts w:hint="default" w:ascii="Times New Roman" w:hAnsi="Times New Roman" w:eastAsia="宋体" w:cs="Times New Roman"/>
                <w:color w:val="000000" w:themeColor="text1"/>
                <w:sz w:val="24"/>
                <w:highlight w:val="none"/>
                <w:lang w:bidi="ar"/>
                <w14:textFill>
                  <w14:solidFill>
                    <w14:schemeClr w14:val="tx1"/>
                  </w14:solidFill>
                </w14:textFill>
              </w:rPr>
              <w:t>m</w:t>
            </w:r>
            <w:r>
              <w:rPr>
                <w:rFonts w:hint="default" w:ascii="Times New Roman" w:hAnsi="Times New Roman" w:eastAsia="宋体" w:cs="Times New Roman"/>
                <w:color w:val="000000" w:themeColor="text1"/>
                <w:sz w:val="24"/>
                <w:highlight w:val="none"/>
                <w:vertAlign w:val="superscript"/>
                <w:lang w:bidi="ar"/>
                <w14:textFill>
                  <w14:solidFill>
                    <w14:schemeClr w14:val="tx1"/>
                  </w14:solidFill>
                </w14:textFill>
              </w:rPr>
              <w:t>3</w:t>
            </w:r>
            <w:r>
              <w:rPr>
                <w:rFonts w:hint="default" w:ascii="Times New Roman" w:hAnsi="Times New Roman" w:eastAsia="宋体" w:cs="Times New Roman"/>
                <w:color w:val="000000" w:themeColor="text1"/>
                <w:sz w:val="24"/>
                <w:highlight w:val="none"/>
                <w:lang w:bidi="ar"/>
                <w14:textFill>
                  <w14:solidFill>
                    <w14:schemeClr w14:val="tx1"/>
                  </w14:solidFill>
                </w14:textFill>
              </w:rPr>
              <w:t>/d，</w:t>
            </w:r>
            <w:r>
              <w:rPr>
                <w:rFonts w:hint="eastAsia" w:ascii="Times New Roman" w:hAnsi="Times New Roman" w:eastAsia="宋体" w:cs="Times New Roman"/>
                <w:color w:val="000000" w:themeColor="text1"/>
                <w:sz w:val="24"/>
                <w:highlight w:val="none"/>
                <w:lang w:val="en-US" w:eastAsia="zh-CN" w:bidi="ar"/>
                <w14:textFill>
                  <w14:solidFill>
                    <w14:schemeClr w14:val="tx1"/>
                  </w14:solidFill>
                </w14:textFill>
              </w:rPr>
              <w:t>仅为污水处理厂剩余处理能力的0.004%，</w:t>
            </w:r>
            <w:r>
              <w:rPr>
                <w:rFonts w:hint="default" w:ascii="Times New Roman" w:hAnsi="Times New Roman" w:eastAsia="宋体" w:cs="Times New Roman"/>
                <w:color w:val="000000" w:themeColor="text1"/>
                <w:sz w:val="24"/>
                <w:highlight w:val="none"/>
                <w:lang w:bidi="ar"/>
                <w14:textFill>
                  <w14:solidFill>
                    <w14:schemeClr w14:val="tx1"/>
                  </w14:solidFill>
                </w14:textFill>
              </w:rPr>
              <w:t>排放量较小，排入泾河新城第二污水处理厂后不会对其正常运行产生冲击，依托可行。</w:t>
            </w:r>
          </w:p>
          <w:p w14:paraId="7D869558">
            <w:pPr>
              <w:numPr>
                <w:ilvl w:val="0"/>
                <w:numId w:val="8"/>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噪声</w:t>
            </w:r>
          </w:p>
          <w:p w14:paraId="17117C86">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3.1噪声源强</w:t>
            </w:r>
          </w:p>
          <w:p w14:paraId="48645103">
            <w:pPr>
              <w:keepNext w:val="0"/>
              <w:keepLines w:val="0"/>
              <w:pageBreakBefore w:val="0"/>
              <w:widowControl w:val="0"/>
              <w:numPr>
                <w:ilvl w:val="0"/>
                <w:numId w:val="0"/>
              </w:numPr>
              <w:kinsoku/>
              <w:wordWrap w:val="0"/>
              <w:overflowPunct w:val="0"/>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项目生产过程的噪声源为生产设备</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、环保设备风机运行</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噪声</w:t>
            </w:r>
            <w:r>
              <w:rPr>
                <w:rFonts w:hint="default" w:ascii="Times New Roman" w:hAnsi="Times New Roman" w:eastAsia="宋体" w:cs="Times New Roman"/>
                <w:color w:val="000000" w:themeColor="text1"/>
                <w:kern w:val="0"/>
                <w:sz w:val="24"/>
                <w:szCs w:val="20"/>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根据建设单位提供资料，</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设备噪声</w:t>
            </w:r>
            <w:r>
              <w:rPr>
                <w:rFonts w:hint="default" w:ascii="Times New Roman" w:hAnsi="Times New Roman" w:eastAsia="宋体" w:cs="Times New Roman"/>
                <w:color w:val="000000" w:themeColor="text1"/>
                <w:spacing w:val="-4"/>
                <w:kern w:val="0"/>
                <w:sz w:val="24"/>
                <w:szCs w:val="20"/>
                <w:highlight w:val="none"/>
                <w14:textFill>
                  <w14:solidFill>
                    <w14:schemeClr w14:val="tx1"/>
                  </w14:solidFill>
                </w14:textFill>
              </w:rPr>
              <w:t>源强约为</w:t>
            </w:r>
            <w:r>
              <w:rPr>
                <w:rFonts w:hint="default" w:ascii="Times New Roman" w:hAnsi="Times New Roman" w:eastAsia="宋体" w:cs="Times New Roman"/>
                <w:color w:val="000000" w:themeColor="text1"/>
                <w:spacing w:val="-4"/>
                <w:kern w:val="0"/>
                <w:sz w:val="24"/>
                <w:szCs w:val="20"/>
                <w:highlight w:val="none"/>
                <w:lang w:val="en-US" w:eastAsia="zh-CN"/>
                <w14:textFill>
                  <w14:solidFill>
                    <w14:schemeClr w14:val="tx1"/>
                  </w14:solidFill>
                </w14:textFill>
              </w:rPr>
              <w:t>75</w:t>
            </w:r>
            <w:r>
              <w:rPr>
                <w:rFonts w:hint="default" w:ascii="Times New Roman" w:hAnsi="Times New Roman" w:eastAsia="宋体" w:cs="Times New Roman"/>
                <w:color w:val="000000" w:themeColor="text1"/>
                <w:spacing w:val="-4"/>
                <w:kern w:val="0"/>
                <w:sz w:val="24"/>
                <w:szCs w:val="20"/>
                <w:highlight w:val="none"/>
                <w14:textFill>
                  <w14:solidFill>
                    <w14:schemeClr w14:val="tx1"/>
                  </w14:solidFill>
                </w14:textFill>
              </w:rPr>
              <w:t>dB</w:t>
            </w:r>
            <w:r>
              <w:rPr>
                <w:rFonts w:hint="eastAsia" w:ascii="Times New Roman" w:hAnsi="Times New Roman" w:eastAsia="宋体" w:cs="Times New Roman"/>
                <w:color w:val="000000" w:themeColor="text1"/>
                <w:spacing w:val="-4"/>
                <w:kern w:val="0"/>
                <w:sz w:val="24"/>
                <w:szCs w:val="20"/>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4"/>
                <w:kern w:val="0"/>
                <w:sz w:val="24"/>
                <w:szCs w:val="20"/>
                <w:highlight w:val="none"/>
                <w14:textFill>
                  <w14:solidFill>
                    <w14:schemeClr w14:val="tx1"/>
                  </w14:solidFill>
                </w14:textFill>
              </w:rPr>
              <w:t>A</w:t>
            </w:r>
            <w:r>
              <w:rPr>
                <w:rFonts w:hint="eastAsia" w:ascii="Times New Roman" w:hAnsi="Times New Roman" w:eastAsia="宋体" w:cs="Times New Roman"/>
                <w:color w:val="000000" w:themeColor="text1"/>
                <w:spacing w:val="-4"/>
                <w:kern w:val="0"/>
                <w:sz w:val="24"/>
                <w:szCs w:val="20"/>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4"/>
                <w:kern w:val="0"/>
                <w:sz w:val="24"/>
                <w:szCs w:val="20"/>
                <w:highlight w:val="none"/>
                <w14:textFill>
                  <w14:solidFill>
                    <w14:schemeClr w14:val="tx1"/>
                  </w14:solidFill>
                </w14:textFill>
              </w:rPr>
              <w:t>~</w:t>
            </w:r>
            <w:r>
              <w:rPr>
                <w:rFonts w:hint="eastAsia" w:cs="Times New Roman"/>
                <w:color w:val="000000" w:themeColor="text1"/>
                <w:spacing w:val="-4"/>
                <w:kern w:val="0"/>
                <w:sz w:val="24"/>
                <w:szCs w:val="20"/>
                <w:highlight w:val="none"/>
                <w:lang w:val="en-US" w:eastAsia="zh-CN"/>
                <w14:textFill>
                  <w14:solidFill>
                    <w14:schemeClr w14:val="tx1"/>
                  </w14:solidFill>
                </w14:textFill>
              </w:rPr>
              <w:t>85</w:t>
            </w:r>
            <w:r>
              <w:rPr>
                <w:rFonts w:hint="default" w:ascii="Times New Roman" w:hAnsi="Times New Roman" w:eastAsia="宋体" w:cs="Times New Roman"/>
                <w:color w:val="000000" w:themeColor="text1"/>
                <w:spacing w:val="-4"/>
                <w:kern w:val="0"/>
                <w:sz w:val="24"/>
                <w:szCs w:val="20"/>
                <w:highlight w:val="none"/>
                <w14:textFill>
                  <w14:solidFill>
                    <w14:schemeClr w14:val="tx1"/>
                  </w14:solidFill>
                </w14:textFill>
              </w:rPr>
              <w:t>dB</w:t>
            </w:r>
            <w:r>
              <w:rPr>
                <w:rFonts w:hint="eastAsia" w:ascii="Times New Roman" w:hAnsi="Times New Roman" w:eastAsia="宋体" w:cs="Times New Roman"/>
                <w:color w:val="000000" w:themeColor="text1"/>
                <w:spacing w:val="-4"/>
                <w:kern w:val="0"/>
                <w:sz w:val="24"/>
                <w:szCs w:val="20"/>
                <w:highlight w:val="none"/>
                <w:lang w:eastAsia="zh-CN"/>
                <w14:textFill>
                  <w14:solidFill>
                    <w14:schemeClr w14:val="tx1"/>
                  </w14:solidFill>
                </w14:textFill>
              </w:rPr>
              <w:t>（</w:t>
            </w:r>
            <w:r>
              <w:rPr>
                <w:rFonts w:hint="default" w:ascii="Times New Roman" w:hAnsi="Times New Roman" w:eastAsia="宋体" w:cs="Times New Roman"/>
                <w:color w:val="000000" w:themeColor="text1"/>
                <w:spacing w:val="-4"/>
                <w:kern w:val="0"/>
                <w:sz w:val="24"/>
                <w:szCs w:val="20"/>
                <w:highlight w:val="none"/>
                <w14:textFill>
                  <w14:solidFill>
                    <w14:schemeClr w14:val="tx1"/>
                  </w14:solidFill>
                </w14:textFill>
              </w:rPr>
              <w:t>A</w:t>
            </w:r>
            <w:r>
              <w:rPr>
                <w:rFonts w:hint="eastAsia" w:ascii="Times New Roman" w:hAnsi="Times New Roman" w:eastAsia="宋体" w:cs="Times New Roman"/>
                <w:color w:val="000000" w:themeColor="text1"/>
                <w:spacing w:val="-4"/>
                <w:kern w:val="0"/>
                <w:sz w:val="24"/>
                <w:szCs w:val="20"/>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，项目设备及噪声源强见</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下表</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w:t>
            </w:r>
          </w:p>
          <w:p w14:paraId="0836D9E9">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3.2预测模型</w:t>
            </w:r>
          </w:p>
          <w:p w14:paraId="3E08357A">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噪声预测按照《环境影响评价技术导则</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声环境》（HJ2.4-2021）中推荐的模式进行预测。</w:t>
            </w:r>
          </w:p>
          <w:p w14:paraId="6B5C5E40">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噪声衰减计算公式：</w:t>
            </w:r>
          </w:p>
          <w:p w14:paraId="25AC25B0">
            <w:pPr>
              <w:keepNext w:val="0"/>
              <w:keepLines w:val="0"/>
              <w:suppressLineNumbers w:val="0"/>
              <w:bidi w:val="0"/>
              <w:adjustRightInd w:val="0"/>
              <w:spacing w:before="0" w:beforeAutospacing="0" w:after="0" w:afterAutospacing="0" w:line="360" w:lineRule="auto"/>
              <w:ind w:left="0" w:leftChars="0" w:right="0" w:firstLine="1140" w:firstLineChars="475"/>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p2</w:t>
            </w: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p1</w:t>
            </w:r>
            <w:r>
              <w:rPr>
                <w:rFonts w:hint="default" w:ascii="Times New Roman" w:hAnsi="Times New Roman" w:eastAsia="宋体" w:cs="Times New Roman"/>
                <w:color w:val="000000" w:themeColor="text1"/>
                <w:sz w:val="24"/>
                <w:szCs w:val="24"/>
                <w:highlight w:val="none"/>
                <w14:textFill>
                  <w14:solidFill>
                    <w14:schemeClr w14:val="tx1"/>
                  </w14:solidFill>
                </w14:textFill>
              </w:rPr>
              <w:t>-（TL+6）</w:t>
            </w:r>
          </w:p>
          <w:p w14:paraId="35204D5F">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式中：L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p1</w:t>
            </w:r>
            <w:r>
              <w:rPr>
                <w:rFonts w:hint="default" w:ascii="Times New Roman" w:hAnsi="Times New Roman" w:eastAsia="宋体" w:cs="Times New Roman"/>
                <w:color w:val="000000" w:themeColor="text1"/>
                <w:sz w:val="24"/>
                <w:szCs w:val="24"/>
                <w:highlight w:val="none"/>
                <w14:textFill>
                  <w14:solidFill>
                    <w14:schemeClr w14:val="tx1"/>
                  </w14:solidFill>
                </w14:textFill>
              </w:rPr>
              <w:t>—靠近开口处（或窗户）室内某倍频带的声压级或A声级，dB；</w:t>
            </w:r>
          </w:p>
          <w:p w14:paraId="72C5BA4C">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p2</w:t>
            </w:r>
            <w:r>
              <w:rPr>
                <w:rFonts w:hint="default" w:ascii="Times New Roman" w:hAnsi="Times New Roman" w:eastAsia="宋体" w:cs="Times New Roman"/>
                <w:color w:val="000000" w:themeColor="text1"/>
                <w:sz w:val="24"/>
                <w:szCs w:val="24"/>
                <w:highlight w:val="none"/>
                <w14:textFill>
                  <w14:solidFill>
                    <w14:schemeClr w14:val="tx1"/>
                  </w14:solidFill>
                </w14:textFill>
              </w:rPr>
              <w:t>—靠近开口处（或窗户）室外某倍频带的声压级或A声级，dB；</w:t>
            </w:r>
          </w:p>
          <w:p w14:paraId="3EE98C7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TL—隔墙（或窗户）倍频带或A声级的隔声量，dB。</w:t>
            </w:r>
          </w:p>
          <w:p w14:paraId="560A99D6">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p(r)</w:t>
            </w: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p(r0)</w:t>
            </w:r>
            <w:r>
              <w:rPr>
                <w:rFonts w:hint="default" w:ascii="Times New Roman" w:hAnsi="Times New Roman" w:eastAsia="宋体" w:cs="Times New Roman"/>
                <w:color w:val="000000" w:themeColor="text1"/>
                <w:sz w:val="24"/>
                <w:szCs w:val="24"/>
                <w:highlight w:val="none"/>
                <w14:textFill>
                  <w14:solidFill>
                    <w14:schemeClr w14:val="tx1"/>
                  </w14:solidFill>
                </w14:textFill>
              </w:rPr>
              <w:t>-20lg（r/r</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0</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4CDFF32D">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式中：L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p(r)</w:t>
            </w:r>
            <w:r>
              <w:rPr>
                <w:rFonts w:hint="default" w:ascii="Times New Roman" w:hAnsi="Times New Roman" w:eastAsia="宋体" w:cs="Times New Roman"/>
                <w:color w:val="000000" w:themeColor="text1"/>
                <w:sz w:val="24"/>
                <w:szCs w:val="24"/>
                <w:highlight w:val="none"/>
                <w14:textFill>
                  <w14:solidFill>
                    <w14:schemeClr w14:val="tx1"/>
                  </w14:solidFill>
                </w14:textFill>
              </w:rPr>
              <w:t>—预测点处声压级，dB；</w:t>
            </w:r>
          </w:p>
          <w:p w14:paraId="444DF8E1">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p(r0)</w:t>
            </w:r>
            <w:r>
              <w:rPr>
                <w:rFonts w:hint="default" w:ascii="Times New Roman" w:hAnsi="Times New Roman" w:eastAsia="宋体" w:cs="Times New Roman"/>
                <w:color w:val="000000" w:themeColor="text1"/>
                <w:sz w:val="24"/>
                <w:szCs w:val="24"/>
                <w:highlight w:val="none"/>
                <w14:textFill>
                  <w14:solidFill>
                    <w14:schemeClr w14:val="tx1"/>
                  </w14:solidFill>
                </w14:textFill>
              </w:rPr>
              <w:t>—参考位置r</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0</w:t>
            </w:r>
            <w:r>
              <w:rPr>
                <w:rFonts w:hint="default" w:ascii="Times New Roman" w:hAnsi="Times New Roman" w:eastAsia="宋体" w:cs="Times New Roman"/>
                <w:color w:val="000000" w:themeColor="text1"/>
                <w:sz w:val="24"/>
                <w:szCs w:val="24"/>
                <w:highlight w:val="none"/>
                <w14:textFill>
                  <w14:solidFill>
                    <w14:schemeClr w14:val="tx1"/>
                  </w14:solidFill>
                </w14:textFill>
              </w:rPr>
              <w:t>处的声压级，dB；</w:t>
            </w:r>
          </w:p>
          <w:p w14:paraId="25041DFC">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r—预测点距声源的距离；</w:t>
            </w:r>
          </w:p>
          <w:p w14:paraId="08904F3C">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bCs/>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r</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0</w:t>
            </w:r>
            <w:r>
              <w:rPr>
                <w:rFonts w:hint="default" w:ascii="Times New Roman" w:hAnsi="Times New Roman" w:eastAsia="宋体" w:cs="Times New Roman"/>
                <w:color w:val="000000" w:themeColor="text1"/>
                <w:sz w:val="24"/>
                <w:szCs w:val="24"/>
                <w:highlight w:val="none"/>
                <w14:textFill>
                  <w14:solidFill>
                    <w14:schemeClr w14:val="tx1"/>
                  </w14:solidFill>
                </w14:textFill>
              </w:rPr>
              <w:t>—参考位置距声源的距离。</w:t>
            </w:r>
          </w:p>
          <w:p w14:paraId="2285E512">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②噪声贡献值计算公式：</w:t>
            </w:r>
          </w:p>
          <w:p w14:paraId="08555631">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eqg</w:t>
            </w:r>
            <w:r>
              <w:rPr>
                <w:rFonts w:hint="default" w:ascii="Times New Roman" w:hAnsi="Times New Roman" w:eastAsia="宋体" w:cs="Times New Roman"/>
                <w:color w:val="000000" w:themeColor="text1"/>
                <w:sz w:val="24"/>
                <w:szCs w:val="24"/>
                <w:highlight w:val="none"/>
                <w14:textFill>
                  <w14:solidFill>
                    <w14:schemeClr w14:val="tx1"/>
                  </w14:solidFill>
                </w14:textFill>
              </w:rPr>
              <w:t>=10lg（</w:t>
            </w:r>
            <w:r>
              <w:rPr>
                <w:rFonts w:hint="default" w:ascii="Times New Roman" w:hAnsi="Times New Roman" w:eastAsia="宋体" w:cs="Times New Roman"/>
                <w:color w:val="000000" w:themeColor="text1"/>
                <w:position w:val="-28"/>
                <w:sz w:val="24"/>
                <w:szCs w:val="24"/>
                <w:highlight w:val="none"/>
                <w14:textFill>
                  <w14:solidFill>
                    <w14:schemeClr w14:val="tx1"/>
                  </w14:solidFill>
                </w14:textFill>
              </w:rPr>
              <w:object>
                <v:shape id="_x0000_i1025" o:spt="75" type="#_x0000_t75" style="height:33pt;width:33.75pt;" o:ole="t" filled="f" o:preferrelative="t" stroked="f" coordsize="21600,21600">
                  <v:path/>
                  <v:fill on="f" focussize="0,0"/>
                  <v:stroke on="f"/>
                  <v:imagedata r:id="rId13" o:title=""/>
                  <o:lock v:ext="edit" aspectratio="t"/>
                  <w10:wrap type="none"/>
                  <w10:anchorlock/>
                </v:shape>
                <o:OLEObject Type="Embed" ProgID="Equation.3" ShapeID="_x0000_i1025" DrawAspect="Content" ObjectID="_1468075725" r:id="rId12">
                  <o:LockedField>false</o:LockedField>
                </o:OLEObject>
              </w:object>
            </w:r>
            <w:r>
              <w:rPr>
                <w:rFonts w:hint="default" w:ascii="Times New Roman" w:hAnsi="Times New Roman" w:eastAsia="宋体" w:cs="Times New Roman"/>
                <w:color w:val="000000" w:themeColor="text1"/>
                <w:sz w:val="24"/>
                <w:szCs w:val="24"/>
                <w:highlight w:val="none"/>
                <w14:textFill>
                  <w14:solidFill>
                    <w14:schemeClr w14:val="tx1"/>
                  </w14:solidFill>
                </w14:textFill>
              </w:rPr>
              <w:t>10</w:t>
            </w:r>
            <w:r>
              <w:rPr>
                <w:rFonts w:hint="default" w:ascii="Times New Roman" w:hAnsi="Times New Roman" w:eastAsia="宋体" w:cs="Times New Roman"/>
                <w:color w:val="000000" w:themeColor="text1"/>
                <w:sz w:val="24"/>
                <w:szCs w:val="24"/>
                <w:highlight w:val="none"/>
                <w:vertAlign w:val="superscript"/>
                <w14:textFill>
                  <w14:solidFill>
                    <w14:schemeClr w14:val="tx1"/>
                  </w14:solidFill>
                </w14:textFill>
              </w:rPr>
              <w:t>0.1LAi</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sym w:font="Times New Roman" w:char="F02B"/>
            </w:r>
            <w:r>
              <w:rPr>
                <w:rFonts w:hint="default" w:ascii="Times New Roman" w:hAnsi="Times New Roman" w:eastAsia="宋体" w:cs="Times New Roman"/>
                <w:color w:val="000000" w:themeColor="text1"/>
                <w:sz w:val="24"/>
                <w:szCs w:val="24"/>
                <w:highlight w:val="none"/>
                <w14:textFill>
                  <w14:solidFill>
                    <w14:schemeClr w14:val="tx1"/>
                  </w14:solidFill>
                </w14:textFill>
              </w:rPr>
              <w:sym w:font="Times New Roman" w:char="F02D"/>
            </w:r>
            <w:r>
              <w:rPr>
                <w:rFonts w:hint="default" w:ascii="Times New Roman" w:hAnsi="Times New Roman" w:eastAsia="宋体" w:cs="Times New Roman"/>
                <w:color w:val="000000" w:themeColor="text1"/>
                <w:sz w:val="24"/>
                <w:szCs w:val="24"/>
                <w:highlight w:val="none"/>
                <w14:textFill>
                  <w14:solidFill>
                    <w14:schemeClr w14:val="tx1"/>
                  </w14:solidFill>
                </w14:textFill>
              </w:rPr>
              <w:sym w:font="Times New Roman" w:char="F03D"/>
            </w:r>
          </w:p>
          <w:p w14:paraId="1FEAFD06">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式中：L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eqg</w:t>
            </w:r>
            <w:r>
              <w:rPr>
                <w:rFonts w:hint="default" w:ascii="Times New Roman" w:hAnsi="Times New Roman" w:eastAsia="宋体" w:cs="Times New Roman"/>
                <w:color w:val="000000" w:themeColor="text1"/>
                <w:sz w:val="24"/>
                <w:szCs w:val="24"/>
                <w:highlight w:val="none"/>
                <w14:textFill>
                  <w14:solidFill>
                    <w14:schemeClr w14:val="tx1"/>
                  </w14:solidFill>
                </w14:textFill>
              </w:rPr>
              <w:t>—噪声贡献值，dB；</w:t>
            </w:r>
          </w:p>
          <w:p w14:paraId="731C476F">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T——预测计算的时间段，s；</w:t>
            </w:r>
          </w:p>
          <w:p w14:paraId="3517D22F">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t</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i</w:t>
            </w:r>
            <w:r>
              <w:rPr>
                <w:rFonts w:hint="default" w:ascii="Times New Roman" w:hAnsi="Times New Roman" w:eastAsia="宋体" w:cs="Times New Roman"/>
                <w:color w:val="000000" w:themeColor="text1"/>
                <w:sz w:val="24"/>
                <w:szCs w:val="24"/>
                <w:highlight w:val="none"/>
                <w14:textFill>
                  <w14:solidFill>
                    <w14:schemeClr w14:val="tx1"/>
                  </w14:solidFill>
                </w14:textFill>
              </w:rPr>
              <w:t>——i声源在T时段内的运行时间，s;</w:t>
            </w:r>
          </w:p>
          <w:p w14:paraId="0712035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Ai</w:t>
            </w:r>
            <w:r>
              <w:rPr>
                <w:rFonts w:hint="default" w:ascii="Times New Roman" w:hAnsi="Times New Roman" w:eastAsia="宋体" w:cs="Times New Roman"/>
                <w:color w:val="000000" w:themeColor="text1"/>
                <w:sz w:val="24"/>
                <w:szCs w:val="24"/>
                <w:highlight w:val="none"/>
                <w14:textFill>
                  <w14:solidFill>
                    <w14:schemeClr w14:val="tx1"/>
                  </w14:solidFill>
                </w14:textFill>
              </w:rPr>
              <w:t>—i声源在预测点产生的等效连续A声级，dB。</w:t>
            </w:r>
          </w:p>
          <w:p w14:paraId="4892A17A">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③噪声预测计算公式：</w:t>
            </w:r>
          </w:p>
          <w:p w14:paraId="7B008914">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ep</w:t>
            </w:r>
            <w:r>
              <w:rPr>
                <w:rFonts w:hint="default" w:ascii="Times New Roman" w:hAnsi="Times New Roman" w:eastAsia="宋体" w:cs="Times New Roman"/>
                <w:color w:val="000000" w:themeColor="text1"/>
                <w:sz w:val="24"/>
                <w:szCs w:val="24"/>
                <w:highlight w:val="none"/>
                <w14:textFill>
                  <w14:solidFill>
                    <w14:schemeClr w14:val="tx1"/>
                  </w14:solidFill>
                </w14:textFill>
              </w:rPr>
              <w:t>=10lg（10</w:t>
            </w:r>
            <w:r>
              <w:rPr>
                <w:rFonts w:hint="default" w:ascii="Times New Roman" w:hAnsi="Times New Roman" w:eastAsia="宋体" w:cs="Times New Roman"/>
                <w:color w:val="000000" w:themeColor="text1"/>
                <w:sz w:val="24"/>
                <w:szCs w:val="24"/>
                <w:highlight w:val="none"/>
                <w:vertAlign w:val="superscript"/>
                <w14:textFill>
                  <w14:solidFill>
                    <w14:schemeClr w14:val="tx1"/>
                  </w14:solidFill>
                </w14:textFill>
              </w:rPr>
              <w:t>0.1Leqg</w:t>
            </w:r>
            <w:r>
              <w:rPr>
                <w:rFonts w:hint="default" w:ascii="Times New Roman" w:hAnsi="Times New Roman" w:eastAsia="宋体" w:cs="Times New Roman"/>
                <w:color w:val="000000" w:themeColor="text1"/>
                <w:sz w:val="24"/>
                <w:szCs w:val="24"/>
                <w:highlight w:val="none"/>
                <w14:textFill>
                  <w14:solidFill>
                    <w14:schemeClr w14:val="tx1"/>
                  </w14:solidFill>
                </w14:textFill>
              </w:rPr>
              <w:t>+10</w:t>
            </w:r>
            <w:r>
              <w:rPr>
                <w:rFonts w:hint="default" w:ascii="Times New Roman" w:hAnsi="Times New Roman" w:eastAsia="宋体" w:cs="Times New Roman"/>
                <w:color w:val="000000" w:themeColor="text1"/>
                <w:sz w:val="24"/>
                <w:szCs w:val="24"/>
                <w:highlight w:val="none"/>
                <w:vertAlign w:val="superscript"/>
                <w14:textFill>
                  <w14:solidFill>
                    <w14:schemeClr w14:val="tx1"/>
                  </w14:solidFill>
                </w14:textFill>
              </w:rPr>
              <w:t>0.1Leqb</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sym w:font="Times New Roman" w:char="F02B"/>
            </w:r>
            <w:r>
              <w:rPr>
                <w:rFonts w:hint="default" w:ascii="Times New Roman" w:hAnsi="Times New Roman" w:eastAsia="宋体" w:cs="Times New Roman"/>
                <w:color w:val="000000" w:themeColor="text1"/>
                <w:sz w:val="24"/>
                <w:szCs w:val="24"/>
                <w:highlight w:val="none"/>
                <w14:textFill>
                  <w14:solidFill>
                    <w14:schemeClr w14:val="tx1"/>
                  </w14:solidFill>
                </w14:textFill>
              </w:rPr>
              <w:sym w:font="Times New Roman" w:char="F02D"/>
            </w:r>
            <w:r>
              <w:rPr>
                <w:rFonts w:hint="default" w:ascii="Times New Roman" w:hAnsi="Times New Roman" w:eastAsia="宋体" w:cs="Times New Roman"/>
                <w:color w:val="000000" w:themeColor="text1"/>
                <w:sz w:val="24"/>
                <w:szCs w:val="24"/>
                <w:highlight w:val="none"/>
                <w14:textFill>
                  <w14:solidFill>
                    <w14:schemeClr w14:val="tx1"/>
                  </w14:solidFill>
                </w14:textFill>
              </w:rPr>
              <w:sym w:font="Times New Roman" w:char="F03D"/>
            </w:r>
          </w:p>
          <w:p w14:paraId="444CF14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式中：L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ep</w:t>
            </w:r>
            <w:r>
              <w:rPr>
                <w:rFonts w:hint="default" w:ascii="Times New Roman" w:hAnsi="Times New Roman" w:eastAsia="宋体" w:cs="Times New Roman"/>
                <w:color w:val="000000" w:themeColor="text1"/>
                <w:sz w:val="24"/>
                <w:szCs w:val="24"/>
                <w:highlight w:val="none"/>
                <w14:textFill>
                  <w14:solidFill>
                    <w14:schemeClr w14:val="tx1"/>
                  </w14:solidFill>
                </w14:textFill>
              </w:rPr>
              <w:t>—预测点的噪声预测值，dB；</w:t>
            </w:r>
          </w:p>
          <w:p w14:paraId="56D3EFD7">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eqg</w:t>
            </w:r>
            <w:r>
              <w:rPr>
                <w:rFonts w:hint="default" w:ascii="Times New Roman" w:hAnsi="Times New Roman" w:eastAsia="宋体" w:cs="Times New Roman"/>
                <w:color w:val="000000" w:themeColor="text1"/>
                <w:sz w:val="24"/>
                <w:szCs w:val="24"/>
                <w:highlight w:val="none"/>
                <w14:textFill>
                  <w14:solidFill>
                    <w14:schemeClr w14:val="tx1"/>
                  </w14:solidFill>
                </w14:textFill>
              </w:rPr>
              <w:t>——建设项目声源在预测点产生的噪声贡献值，dB；</w:t>
            </w:r>
          </w:p>
          <w:p w14:paraId="57C06A5F">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eqb</w:t>
            </w:r>
            <w:r>
              <w:rPr>
                <w:rFonts w:hint="default" w:ascii="Times New Roman" w:hAnsi="Times New Roman" w:eastAsia="宋体" w:cs="Times New Roman"/>
                <w:color w:val="000000" w:themeColor="text1"/>
                <w:sz w:val="24"/>
                <w:szCs w:val="24"/>
                <w:highlight w:val="none"/>
                <w14:textFill>
                  <w14:solidFill>
                    <w14:schemeClr w14:val="tx1"/>
                  </w14:solidFill>
                </w14:textFill>
              </w:rPr>
              <w:t>—预测点的背景噪声值，dB。</w:t>
            </w:r>
          </w:p>
          <w:p w14:paraId="2A42C525">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32C14DB0">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3D979050">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291C3BDD">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3FDEC425">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0E39A7CD">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p>
          <w:p w14:paraId="6B96C350">
            <w:pPr>
              <w:numPr>
                <w:ilvl w:val="0"/>
                <w:numId w:val="0"/>
              </w:numPr>
              <w:adjustRightInd w:val="0"/>
              <w:snapToGrid w:val="0"/>
              <w:spacing w:line="360" w:lineRule="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p>
        </w:tc>
      </w:tr>
    </w:tbl>
    <w:p w14:paraId="3FC66F3F">
      <w:pPr>
        <w:adjustRightInd w:val="0"/>
        <w:snapToGrid w:val="0"/>
        <w:spacing w:line="360" w:lineRule="auto"/>
        <w:rPr>
          <w:rFonts w:hint="default" w:ascii="Times New Roman" w:hAnsi="Times New Roman" w:cs="Times New Roman"/>
          <w:b/>
          <w:color w:val="000000" w:themeColor="text1"/>
          <w:kern w:val="0"/>
          <w:sz w:val="28"/>
          <w:szCs w:val="28"/>
          <w:highlight w:val="none"/>
          <w14:textFill>
            <w14:solidFill>
              <w14:schemeClr w14:val="tx1"/>
            </w14:solidFill>
          </w14:textFill>
        </w:rPr>
        <w:sectPr>
          <w:pgSz w:w="11907" w:h="16840"/>
          <w:pgMar w:top="1701" w:right="1531" w:bottom="2127" w:left="1531" w:header="851" w:footer="851" w:gutter="0"/>
          <w:pgNumType w:fmt="decimal"/>
          <w:cols w:space="720" w:num="1"/>
          <w:docGrid w:linePitch="312" w:charSpace="0"/>
        </w:sectPr>
      </w:pPr>
    </w:p>
    <w:tbl>
      <w:tblPr>
        <w:tblStyle w:val="25"/>
        <w:tblW w:w="136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0"/>
        <w:gridCol w:w="13433"/>
      </w:tblGrid>
      <w:tr w14:paraId="38F89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1" w:hRule="atLeast"/>
          <w:jc w:val="center"/>
        </w:trPr>
        <w:tc>
          <w:tcPr>
            <w:tcW w:w="240" w:type="dxa"/>
            <w:noWrap w:val="0"/>
            <w:tcMar>
              <w:left w:w="28" w:type="dxa"/>
              <w:right w:w="28" w:type="dxa"/>
            </w:tcMar>
            <w:vAlign w:val="center"/>
          </w:tcPr>
          <w:p w14:paraId="6306DB60">
            <w:pPr>
              <w:pStyle w:val="21"/>
              <w:adjustRightInd w:val="0"/>
              <w:snapToGrid w:val="0"/>
              <w:spacing w:before="0" w:beforeAutospacing="0" w:after="0" w:afterAutospacing="0"/>
              <w:jc w:val="center"/>
              <w:rPr>
                <w:rFonts w:hint="default" w:ascii="Times New Roman" w:hAnsi="Times New Roman" w:cs="Times New Roman"/>
                <w:bCs/>
                <w:color w:val="000000" w:themeColor="text1"/>
                <w:kern w:val="2"/>
                <w:sz w:val="24"/>
                <w:szCs w:val="24"/>
                <w:highlight w:val="none"/>
                <w14:textFill>
                  <w14:solidFill>
                    <w14:schemeClr w14:val="tx1"/>
                  </w14:solidFill>
                </w14:textFill>
              </w:rPr>
            </w:pPr>
          </w:p>
        </w:tc>
        <w:tc>
          <w:tcPr>
            <w:tcW w:w="13433" w:type="dxa"/>
            <w:noWrap w:val="0"/>
            <w:vAlign w:val="top"/>
          </w:tcPr>
          <w:p w14:paraId="1CC10A92">
            <w:pPr>
              <w:spacing w:line="240" w:lineRule="auto"/>
              <w:jc w:val="center"/>
              <w:rPr>
                <w:rFonts w:hint="default" w:ascii="Times New Roman" w:hAnsi="Times New Roman" w:eastAsia="宋体" w:cs="Times New Roman"/>
                <w:b/>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kern w:val="0"/>
                <w:szCs w:val="21"/>
                <w:highlight w:val="none"/>
                <w14:textFill>
                  <w14:solidFill>
                    <w14:schemeClr w14:val="tx1"/>
                  </w14:solidFill>
                </w14:textFill>
              </w:rPr>
              <w:t>表</w:t>
            </w:r>
            <w:r>
              <w:rPr>
                <w:rFonts w:hint="default" w:ascii="Times New Roman" w:hAnsi="Times New Roman" w:eastAsia="宋体" w:cs="Times New Roman"/>
                <w:b/>
                <w:color w:val="000000" w:themeColor="text1"/>
                <w:kern w:val="0"/>
                <w:szCs w:val="21"/>
                <w:highlight w:val="none"/>
                <w:lang w:val="en-US" w:eastAsia="zh-CN"/>
                <w14:textFill>
                  <w14:solidFill>
                    <w14:schemeClr w14:val="tx1"/>
                  </w14:solidFill>
                </w14:textFill>
              </w:rPr>
              <w:t>4-</w:t>
            </w:r>
            <w:r>
              <w:rPr>
                <w:rFonts w:hint="eastAsia" w:ascii="Times New Roman" w:hAnsi="Times New Roman" w:eastAsia="宋体" w:cs="Times New Roman"/>
                <w:b/>
                <w:color w:val="000000" w:themeColor="text1"/>
                <w:kern w:val="0"/>
                <w:szCs w:val="21"/>
                <w:highlight w:val="none"/>
                <w:lang w:val="en-US" w:eastAsia="zh-CN"/>
                <w14:textFill>
                  <w14:solidFill>
                    <w14:schemeClr w14:val="tx1"/>
                  </w14:solidFill>
                </w14:textFill>
              </w:rPr>
              <w:t xml:space="preserve">7 </w:t>
            </w:r>
            <w:r>
              <w:rPr>
                <w:rFonts w:hint="default" w:ascii="Times New Roman" w:hAnsi="Times New Roman" w:eastAsia="宋体" w:cs="Times New Roman"/>
                <w:b/>
                <w:color w:val="000000" w:themeColor="text1"/>
                <w:kern w:val="0"/>
                <w:szCs w:val="21"/>
                <w:highlight w:val="none"/>
                <w:lang w:val="en-US" w:eastAsia="zh-CN"/>
                <w14:textFill>
                  <w14:solidFill>
                    <w14:schemeClr w14:val="tx1"/>
                  </w14:solidFill>
                </w14:textFill>
              </w:rPr>
              <w:t>工业企业噪声源强调查清单（室内声源）</w:t>
            </w:r>
          </w:p>
          <w:tbl>
            <w:tblPr>
              <w:tblStyle w:val="25"/>
              <w:tblW w:w="131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
              <w:gridCol w:w="900"/>
              <w:gridCol w:w="2259"/>
              <w:gridCol w:w="660"/>
              <w:gridCol w:w="1335"/>
              <w:gridCol w:w="673"/>
              <w:gridCol w:w="831"/>
              <w:gridCol w:w="717"/>
              <w:gridCol w:w="359"/>
              <w:gridCol w:w="735"/>
              <w:gridCol w:w="900"/>
              <w:gridCol w:w="705"/>
              <w:gridCol w:w="915"/>
              <w:gridCol w:w="885"/>
              <w:gridCol w:w="871"/>
            </w:tblGrid>
            <w:tr w14:paraId="032EF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vMerge w:val="restart"/>
                  <w:noWrap w:val="0"/>
                  <w:vAlign w:val="center"/>
                </w:tcPr>
                <w:p w14:paraId="65052E53">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序号</w:t>
                  </w:r>
                </w:p>
              </w:tc>
              <w:tc>
                <w:tcPr>
                  <w:tcW w:w="900" w:type="dxa"/>
                  <w:vMerge w:val="restart"/>
                  <w:noWrap w:val="0"/>
                  <w:vAlign w:val="center"/>
                </w:tcPr>
                <w:p w14:paraId="4764E0A2">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建筑物名称</w:t>
                  </w:r>
                </w:p>
              </w:tc>
              <w:tc>
                <w:tcPr>
                  <w:tcW w:w="2259" w:type="dxa"/>
                  <w:vMerge w:val="restart"/>
                  <w:noWrap w:val="0"/>
                  <w:vAlign w:val="center"/>
                </w:tcPr>
                <w:p w14:paraId="112B698A">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声源名称</w:t>
                  </w:r>
                </w:p>
              </w:tc>
              <w:tc>
                <w:tcPr>
                  <w:tcW w:w="660" w:type="dxa"/>
                  <w:vMerge w:val="restart"/>
                  <w:noWrap w:val="0"/>
                  <w:vAlign w:val="center"/>
                </w:tcPr>
                <w:p w14:paraId="5C032029">
                  <w:pPr>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t>设备数量</w:t>
                  </w:r>
                </w:p>
              </w:tc>
              <w:tc>
                <w:tcPr>
                  <w:tcW w:w="1335" w:type="dxa"/>
                  <w:noWrap w:val="0"/>
                  <w:vAlign w:val="center"/>
                </w:tcPr>
                <w:p w14:paraId="45F03969">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声源源强</w:t>
                  </w:r>
                </w:p>
              </w:tc>
              <w:tc>
                <w:tcPr>
                  <w:tcW w:w="673" w:type="dxa"/>
                  <w:vMerge w:val="restart"/>
                  <w:noWrap w:val="0"/>
                  <w:vAlign w:val="center"/>
                </w:tcPr>
                <w:p w14:paraId="22704658">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声源控制措施</w:t>
                  </w:r>
                </w:p>
              </w:tc>
              <w:tc>
                <w:tcPr>
                  <w:tcW w:w="1907" w:type="dxa"/>
                  <w:gridSpan w:val="3"/>
                  <w:noWrap w:val="0"/>
                  <w:vAlign w:val="center"/>
                </w:tcPr>
                <w:p w14:paraId="0B0A9054">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空间相对位置/m</w:t>
                  </w:r>
                </w:p>
              </w:tc>
              <w:tc>
                <w:tcPr>
                  <w:tcW w:w="735" w:type="dxa"/>
                  <w:vMerge w:val="restart"/>
                  <w:noWrap w:val="0"/>
                  <w:vAlign w:val="center"/>
                </w:tcPr>
                <w:p w14:paraId="78179D09">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距室内边界距离/m</w:t>
                  </w:r>
                </w:p>
              </w:tc>
              <w:tc>
                <w:tcPr>
                  <w:tcW w:w="900" w:type="dxa"/>
                  <w:vMerge w:val="restart"/>
                  <w:noWrap w:val="0"/>
                  <w:vAlign w:val="center"/>
                </w:tcPr>
                <w:p w14:paraId="315AB7DF">
                  <w:pPr>
                    <w:widowControl/>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bidi="ar"/>
                      <w14:textFill>
                        <w14:solidFill>
                          <w14:schemeClr w14:val="tx1"/>
                        </w14:solidFill>
                      </w14:textFill>
                    </w:rPr>
                    <w:t>室内边界声级/dB（A）</w:t>
                  </w:r>
                </w:p>
              </w:tc>
              <w:tc>
                <w:tcPr>
                  <w:tcW w:w="705" w:type="dxa"/>
                  <w:vMerge w:val="restart"/>
                  <w:noWrap w:val="0"/>
                  <w:vAlign w:val="center"/>
                </w:tcPr>
                <w:p w14:paraId="7C8CC57C">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运行时间</w:t>
                  </w:r>
                </w:p>
              </w:tc>
              <w:tc>
                <w:tcPr>
                  <w:tcW w:w="915" w:type="dxa"/>
                  <w:vMerge w:val="restart"/>
                  <w:noWrap w:val="0"/>
                  <w:vAlign w:val="center"/>
                </w:tcPr>
                <w:p w14:paraId="7E669AD5">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建筑物插入损失/dB（A）</w:t>
                  </w:r>
                </w:p>
              </w:tc>
              <w:tc>
                <w:tcPr>
                  <w:tcW w:w="1756" w:type="dxa"/>
                  <w:gridSpan w:val="2"/>
                  <w:noWrap w:val="0"/>
                  <w:vAlign w:val="center"/>
                </w:tcPr>
                <w:p w14:paraId="2C2F52F8">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建筑物外噪声</w:t>
                  </w:r>
                </w:p>
              </w:tc>
            </w:tr>
            <w:tr w14:paraId="7E63C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vMerge w:val="continue"/>
                  <w:noWrap w:val="0"/>
                  <w:vAlign w:val="center"/>
                </w:tcPr>
                <w:p w14:paraId="4F00F3C1">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900" w:type="dxa"/>
                  <w:vMerge w:val="continue"/>
                  <w:noWrap w:val="0"/>
                  <w:vAlign w:val="center"/>
                </w:tcPr>
                <w:p w14:paraId="3EB86360">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2259" w:type="dxa"/>
                  <w:vMerge w:val="continue"/>
                  <w:noWrap w:val="0"/>
                  <w:vAlign w:val="center"/>
                </w:tcPr>
                <w:p w14:paraId="5E2131C6">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660" w:type="dxa"/>
                  <w:vMerge w:val="continue"/>
                  <w:noWrap w:val="0"/>
                  <w:vAlign w:val="center"/>
                </w:tcPr>
                <w:p w14:paraId="36921F7D">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1335" w:type="dxa"/>
                  <w:noWrap w:val="0"/>
                  <w:vAlign w:val="center"/>
                </w:tcPr>
                <w:p w14:paraId="10790F1C">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声功率级/dB（A）</w:t>
                  </w:r>
                </w:p>
              </w:tc>
              <w:tc>
                <w:tcPr>
                  <w:tcW w:w="673" w:type="dxa"/>
                  <w:vMerge w:val="continue"/>
                  <w:noWrap w:val="0"/>
                  <w:vAlign w:val="center"/>
                </w:tcPr>
                <w:p w14:paraId="4CBDAA6A">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831" w:type="dxa"/>
                  <w:noWrap w:val="0"/>
                  <w:vAlign w:val="center"/>
                </w:tcPr>
                <w:p w14:paraId="052D5FF1">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X</w:t>
                  </w:r>
                </w:p>
              </w:tc>
              <w:tc>
                <w:tcPr>
                  <w:tcW w:w="717" w:type="dxa"/>
                  <w:noWrap w:val="0"/>
                  <w:vAlign w:val="center"/>
                </w:tcPr>
                <w:p w14:paraId="7F1A4425">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Y</w:t>
                  </w:r>
                </w:p>
              </w:tc>
              <w:tc>
                <w:tcPr>
                  <w:tcW w:w="359" w:type="dxa"/>
                  <w:noWrap w:val="0"/>
                  <w:vAlign w:val="center"/>
                </w:tcPr>
                <w:p w14:paraId="3FEAC17B">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Z</w:t>
                  </w:r>
                </w:p>
              </w:tc>
              <w:tc>
                <w:tcPr>
                  <w:tcW w:w="735" w:type="dxa"/>
                  <w:vMerge w:val="continue"/>
                  <w:noWrap w:val="0"/>
                  <w:vAlign w:val="center"/>
                </w:tcPr>
                <w:p w14:paraId="0033025F">
                  <w:pPr>
                    <w:widowControl/>
                    <w:adjustRightInd w:val="0"/>
                    <w:snapToGrid w:val="0"/>
                    <w:jc w:val="cente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pPr>
                </w:p>
              </w:tc>
              <w:tc>
                <w:tcPr>
                  <w:tcW w:w="900" w:type="dxa"/>
                  <w:vMerge w:val="continue"/>
                  <w:noWrap w:val="0"/>
                  <w:vAlign w:val="center"/>
                </w:tcPr>
                <w:p w14:paraId="2D78305F">
                  <w:pPr>
                    <w:widowControl/>
                    <w:adjustRightInd w:val="0"/>
                    <w:snapToGrid w:val="0"/>
                    <w:jc w:val="center"/>
                    <w:rPr>
                      <w:rFonts w:hint="default" w:ascii="Times New Roman" w:hAnsi="Times New Roman" w:eastAsia="宋体" w:cs="Times New Roman"/>
                      <w:b/>
                      <w:bCs/>
                      <w:color w:val="000000" w:themeColor="text1"/>
                      <w:kern w:val="0"/>
                      <w:sz w:val="21"/>
                      <w:szCs w:val="21"/>
                      <w:highlight w:val="none"/>
                      <w14:textFill>
                        <w14:solidFill>
                          <w14:schemeClr w14:val="tx1"/>
                        </w14:solidFill>
                      </w14:textFill>
                    </w:rPr>
                  </w:pPr>
                </w:p>
              </w:tc>
              <w:tc>
                <w:tcPr>
                  <w:tcW w:w="705" w:type="dxa"/>
                  <w:vMerge w:val="continue"/>
                  <w:noWrap w:val="0"/>
                  <w:vAlign w:val="center"/>
                </w:tcPr>
                <w:p w14:paraId="554A4EA0">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915" w:type="dxa"/>
                  <w:vMerge w:val="continue"/>
                  <w:noWrap w:val="0"/>
                  <w:vAlign w:val="center"/>
                </w:tcPr>
                <w:p w14:paraId="588ACB41">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p>
              </w:tc>
              <w:tc>
                <w:tcPr>
                  <w:tcW w:w="885" w:type="dxa"/>
                  <w:noWrap w:val="0"/>
                  <w:vAlign w:val="center"/>
                </w:tcPr>
                <w:p w14:paraId="7AC33467">
                  <w:pPr>
                    <w:widowControl/>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bidi="ar"/>
                      <w14:textFill>
                        <w14:solidFill>
                          <w14:schemeClr w14:val="tx1"/>
                        </w14:solidFill>
                      </w14:textFill>
                    </w:rPr>
                    <w:t>声压级</w:t>
                  </w:r>
                </w:p>
                <w:p w14:paraId="06A64BE6">
                  <w:pPr>
                    <w:widowControl/>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bidi="ar"/>
                      <w14:textFill>
                        <w14:solidFill>
                          <w14:schemeClr w14:val="tx1"/>
                        </w14:solidFill>
                      </w14:textFill>
                    </w:rPr>
                    <w:t>/dB（A）</w:t>
                  </w:r>
                </w:p>
              </w:tc>
              <w:tc>
                <w:tcPr>
                  <w:tcW w:w="871" w:type="dxa"/>
                  <w:noWrap w:val="0"/>
                  <w:vAlign w:val="center"/>
                </w:tcPr>
                <w:p w14:paraId="6A3B0433">
                  <w:pPr>
                    <w:jc w:val="center"/>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建筑物外距离/m</w:t>
                  </w:r>
                </w:p>
              </w:tc>
            </w:tr>
            <w:tr w14:paraId="7E15F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55E6D59A">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900" w:type="dxa"/>
                  <w:vMerge w:val="restart"/>
                  <w:noWrap w:val="0"/>
                  <w:vAlign w:val="center"/>
                </w:tcPr>
                <w:p w14:paraId="4540435F">
                  <w:pPr>
                    <w:contextualSpacing/>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生产</w:t>
                  </w:r>
                </w:p>
                <w:p w14:paraId="60D3A45C">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车间</w:t>
                  </w:r>
                </w:p>
              </w:tc>
              <w:tc>
                <w:tcPr>
                  <w:tcW w:w="2259" w:type="dxa"/>
                  <w:noWrap w:val="0"/>
                  <w:vAlign w:val="center"/>
                </w:tcPr>
                <w:p w14:paraId="2F4F2930">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链板上料机</w:t>
                  </w:r>
                </w:p>
              </w:tc>
              <w:tc>
                <w:tcPr>
                  <w:tcW w:w="660" w:type="dxa"/>
                  <w:noWrap w:val="0"/>
                  <w:vAlign w:val="center"/>
                </w:tcPr>
                <w:p w14:paraId="284B225D">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1335" w:type="dxa"/>
                  <w:noWrap w:val="0"/>
                  <w:vAlign w:val="center"/>
                </w:tcPr>
                <w:p w14:paraId="45ECA4E1">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75</w:t>
                  </w:r>
                </w:p>
              </w:tc>
              <w:tc>
                <w:tcPr>
                  <w:tcW w:w="673" w:type="dxa"/>
                  <w:vMerge w:val="restart"/>
                  <w:noWrap w:val="0"/>
                  <w:vAlign w:val="center"/>
                </w:tcPr>
                <w:p w14:paraId="4B2EDCE2">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采用低噪声设备；</w:t>
                  </w:r>
                </w:p>
                <w:p w14:paraId="283007A9">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减振</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厂房</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隔声</w:t>
                  </w:r>
                </w:p>
              </w:tc>
              <w:tc>
                <w:tcPr>
                  <w:tcW w:w="831" w:type="dxa"/>
                  <w:noWrap w:val="0"/>
                  <w:vAlign w:val="center"/>
                </w:tcPr>
                <w:p w14:paraId="7AB4D172">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28.47</w:t>
                  </w:r>
                </w:p>
              </w:tc>
              <w:tc>
                <w:tcPr>
                  <w:tcW w:w="717" w:type="dxa"/>
                  <w:noWrap w:val="0"/>
                  <w:vAlign w:val="center"/>
                </w:tcPr>
                <w:p w14:paraId="5218A399">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30.79</w:t>
                  </w:r>
                </w:p>
              </w:tc>
              <w:tc>
                <w:tcPr>
                  <w:tcW w:w="359" w:type="dxa"/>
                  <w:noWrap w:val="0"/>
                  <w:vAlign w:val="center"/>
                </w:tcPr>
                <w:p w14:paraId="0CACCE6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735" w:type="dxa"/>
                  <w:noWrap w:val="0"/>
                  <w:vAlign w:val="center"/>
                </w:tcPr>
                <w:p w14:paraId="4FCF0633">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5.88</w:t>
                  </w:r>
                </w:p>
              </w:tc>
              <w:tc>
                <w:tcPr>
                  <w:tcW w:w="900" w:type="dxa"/>
                  <w:noWrap w:val="0"/>
                  <w:vAlign w:val="center"/>
                </w:tcPr>
                <w:p w14:paraId="1397349B">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65.22</w:t>
                  </w:r>
                </w:p>
              </w:tc>
              <w:tc>
                <w:tcPr>
                  <w:tcW w:w="705" w:type="dxa"/>
                  <w:vMerge w:val="restart"/>
                  <w:noWrap w:val="0"/>
                  <w:vAlign w:val="center"/>
                </w:tcPr>
                <w:p w14:paraId="0B063424">
                  <w:pPr>
                    <w:keepNext w:val="0"/>
                    <w:keepLines w:val="0"/>
                    <w:pageBreakBefore w:val="0"/>
                    <w:widowControl/>
                    <w:kinsoku/>
                    <w:wordWrap w:val="0"/>
                    <w:overflowPunct w:val="0"/>
                    <w:topLinePunct w:val="0"/>
                    <w:autoSpaceDE/>
                    <w:autoSpaceDN/>
                    <w:bidi w:val="0"/>
                    <w:adjustRightInd w:val="0"/>
                    <w:snapToGrid w:val="0"/>
                    <w:jc w:val="center"/>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昼间</w:t>
                  </w:r>
                </w:p>
                <w:p w14:paraId="6FE91DD0">
                  <w:pPr>
                    <w:keepNext w:val="0"/>
                    <w:keepLines w:val="0"/>
                    <w:pageBreakBefore w:val="0"/>
                    <w:widowControl/>
                    <w:kinsoku/>
                    <w:wordWrap w:val="0"/>
                    <w:overflowPunct w:val="0"/>
                    <w:topLinePunct w:val="0"/>
                    <w:autoSpaceDE/>
                    <w:autoSpaceDN/>
                    <w:bidi w:val="0"/>
                    <w:adjustRightInd w:val="0"/>
                    <w:snapToGrid w:val="0"/>
                    <w:jc w:val="center"/>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夜间</w:t>
                  </w:r>
                </w:p>
              </w:tc>
              <w:tc>
                <w:tcPr>
                  <w:tcW w:w="915" w:type="dxa"/>
                  <w:noWrap w:val="0"/>
                  <w:vAlign w:val="center"/>
                </w:tcPr>
                <w:p w14:paraId="1A1F74A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21</w:t>
                  </w:r>
                </w:p>
              </w:tc>
              <w:tc>
                <w:tcPr>
                  <w:tcW w:w="885" w:type="dxa"/>
                  <w:noWrap w:val="0"/>
                  <w:vAlign w:val="center"/>
                </w:tcPr>
                <w:p w14:paraId="274B3576">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44.22</w:t>
                  </w:r>
                </w:p>
              </w:tc>
              <w:tc>
                <w:tcPr>
                  <w:tcW w:w="871" w:type="dxa"/>
                  <w:noWrap w:val="0"/>
                  <w:vAlign w:val="center"/>
                </w:tcPr>
                <w:p w14:paraId="0848897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r>
            <w:tr w14:paraId="7351B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1BDF564C">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w:t>
                  </w:r>
                </w:p>
              </w:tc>
              <w:tc>
                <w:tcPr>
                  <w:tcW w:w="900" w:type="dxa"/>
                  <w:vMerge w:val="continue"/>
                  <w:noWrap w:val="0"/>
                  <w:vAlign w:val="center"/>
                </w:tcPr>
                <w:p w14:paraId="40B5218C">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2259" w:type="dxa"/>
                  <w:noWrap w:val="0"/>
                  <w:vAlign w:val="center"/>
                </w:tcPr>
                <w:p w14:paraId="4E72EA6E">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一破撕碎机</w:t>
                  </w:r>
                </w:p>
              </w:tc>
              <w:tc>
                <w:tcPr>
                  <w:tcW w:w="660" w:type="dxa"/>
                  <w:noWrap w:val="0"/>
                  <w:vAlign w:val="center"/>
                </w:tcPr>
                <w:p w14:paraId="25F735D5">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1335" w:type="dxa"/>
                  <w:noWrap w:val="0"/>
                  <w:vAlign w:val="center"/>
                </w:tcPr>
                <w:p w14:paraId="3DCD9B59">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85</w:t>
                  </w:r>
                </w:p>
              </w:tc>
              <w:tc>
                <w:tcPr>
                  <w:tcW w:w="673" w:type="dxa"/>
                  <w:vMerge w:val="continue"/>
                  <w:noWrap w:val="0"/>
                  <w:vAlign w:val="center"/>
                </w:tcPr>
                <w:p w14:paraId="4DA66B12">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831" w:type="dxa"/>
                  <w:noWrap w:val="0"/>
                  <w:vAlign w:val="center"/>
                </w:tcPr>
                <w:p w14:paraId="189CE80D">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33.56</w:t>
                  </w:r>
                </w:p>
              </w:tc>
              <w:tc>
                <w:tcPr>
                  <w:tcW w:w="717" w:type="dxa"/>
                  <w:noWrap w:val="0"/>
                  <w:vAlign w:val="center"/>
                </w:tcPr>
                <w:p w14:paraId="2863FD52">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30.12</w:t>
                  </w:r>
                </w:p>
              </w:tc>
              <w:tc>
                <w:tcPr>
                  <w:tcW w:w="359" w:type="dxa"/>
                  <w:noWrap w:val="0"/>
                  <w:vAlign w:val="center"/>
                </w:tcPr>
                <w:p w14:paraId="39626A30">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735" w:type="dxa"/>
                  <w:noWrap w:val="0"/>
                  <w:vAlign w:val="center"/>
                </w:tcPr>
                <w:p w14:paraId="2959A4EE">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6.5</w:t>
                  </w:r>
                  <w:r>
                    <w:rPr>
                      <w:rFonts w:hint="eastAsia" w:cs="Times New Roman"/>
                      <w:color w:val="000000" w:themeColor="text1"/>
                      <w:sz w:val="21"/>
                      <w:szCs w:val="21"/>
                      <w:highlight w:val="none"/>
                      <w:lang w:val="en-US" w:eastAsia="zh-CN"/>
                      <w14:textFill>
                        <w14:solidFill>
                          <w14:schemeClr w14:val="tx1"/>
                        </w14:solidFill>
                      </w14:textFill>
                    </w:rPr>
                    <w:t>7</w:t>
                  </w:r>
                </w:p>
              </w:tc>
              <w:tc>
                <w:tcPr>
                  <w:tcW w:w="900" w:type="dxa"/>
                  <w:noWrap w:val="0"/>
                  <w:vAlign w:val="center"/>
                </w:tcPr>
                <w:p w14:paraId="0D379271">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75.20</w:t>
                  </w:r>
                </w:p>
              </w:tc>
              <w:tc>
                <w:tcPr>
                  <w:tcW w:w="705" w:type="dxa"/>
                  <w:vMerge w:val="continue"/>
                  <w:noWrap w:val="0"/>
                  <w:vAlign w:val="center"/>
                </w:tcPr>
                <w:p w14:paraId="6213E4F3">
                  <w:pPr>
                    <w:widowControl/>
                    <w:adjustRightInd w:val="0"/>
                    <w:snapToGrid w:val="0"/>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c>
                <w:tcPr>
                  <w:tcW w:w="915" w:type="dxa"/>
                  <w:noWrap w:val="0"/>
                  <w:vAlign w:val="center"/>
                </w:tcPr>
                <w:p w14:paraId="0BE1975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21</w:t>
                  </w:r>
                </w:p>
              </w:tc>
              <w:tc>
                <w:tcPr>
                  <w:tcW w:w="885" w:type="dxa"/>
                  <w:noWrap w:val="0"/>
                  <w:vAlign w:val="center"/>
                </w:tcPr>
                <w:p w14:paraId="42C95245">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54.20</w:t>
                  </w:r>
                </w:p>
              </w:tc>
              <w:tc>
                <w:tcPr>
                  <w:tcW w:w="871" w:type="dxa"/>
                  <w:noWrap w:val="0"/>
                  <w:vAlign w:val="center"/>
                </w:tcPr>
                <w:p w14:paraId="232F326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r>
            <w:tr w14:paraId="7E0E5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4CE5367B">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w:t>
                  </w:r>
                </w:p>
              </w:tc>
              <w:tc>
                <w:tcPr>
                  <w:tcW w:w="900" w:type="dxa"/>
                  <w:vMerge w:val="continue"/>
                  <w:noWrap w:val="0"/>
                  <w:vAlign w:val="center"/>
                </w:tcPr>
                <w:p w14:paraId="37F862A1">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2259" w:type="dxa"/>
                  <w:noWrap w:val="0"/>
                  <w:vAlign w:val="center"/>
                </w:tcPr>
                <w:p w14:paraId="6384732F">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szCs w:val="21"/>
                      <w:highlight w:val="none"/>
                      <w14:textFill>
                        <w14:solidFill>
                          <w14:schemeClr w14:val="tx1"/>
                        </w14:solidFill>
                      </w14:textFill>
                    </w:rPr>
                    <w:t>二破撕碎机</w:t>
                  </w:r>
                </w:p>
              </w:tc>
              <w:tc>
                <w:tcPr>
                  <w:tcW w:w="660" w:type="dxa"/>
                  <w:noWrap w:val="0"/>
                  <w:vAlign w:val="center"/>
                </w:tcPr>
                <w:p w14:paraId="3069FA67">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1335" w:type="dxa"/>
                  <w:noWrap w:val="0"/>
                  <w:vAlign w:val="center"/>
                </w:tcPr>
                <w:p w14:paraId="1E2B887E">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85</w:t>
                  </w:r>
                </w:p>
              </w:tc>
              <w:tc>
                <w:tcPr>
                  <w:tcW w:w="673" w:type="dxa"/>
                  <w:vMerge w:val="continue"/>
                  <w:noWrap w:val="0"/>
                  <w:vAlign w:val="center"/>
                </w:tcPr>
                <w:p w14:paraId="01182953">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831" w:type="dxa"/>
                  <w:noWrap w:val="0"/>
                  <w:vAlign w:val="center"/>
                </w:tcPr>
                <w:p w14:paraId="39F65A3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53.79</w:t>
                  </w:r>
                </w:p>
              </w:tc>
              <w:tc>
                <w:tcPr>
                  <w:tcW w:w="717" w:type="dxa"/>
                  <w:noWrap w:val="0"/>
                  <w:vAlign w:val="center"/>
                </w:tcPr>
                <w:p w14:paraId="5249F5A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30.18</w:t>
                  </w:r>
                </w:p>
              </w:tc>
              <w:tc>
                <w:tcPr>
                  <w:tcW w:w="359" w:type="dxa"/>
                  <w:noWrap w:val="0"/>
                  <w:vAlign w:val="center"/>
                </w:tcPr>
                <w:p w14:paraId="6DF996F6">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735" w:type="dxa"/>
                  <w:noWrap w:val="0"/>
                  <w:vAlign w:val="center"/>
                </w:tcPr>
                <w:p w14:paraId="13C2E26E">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6.59</w:t>
                  </w:r>
                </w:p>
              </w:tc>
              <w:tc>
                <w:tcPr>
                  <w:tcW w:w="900" w:type="dxa"/>
                  <w:noWrap w:val="0"/>
                  <w:vAlign w:val="center"/>
                </w:tcPr>
                <w:p w14:paraId="0179AE45">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75.13</w:t>
                  </w:r>
                </w:p>
              </w:tc>
              <w:tc>
                <w:tcPr>
                  <w:tcW w:w="705" w:type="dxa"/>
                  <w:vMerge w:val="continue"/>
                  <w:noWrap w:val="0"/>
                  <w:vAlign w:val="center"/>
                </w:tcPr>
                <w:p w14:paraId="2A18A936">
                  <w:pPr>
                    <w:widowControl/>
                    <w:adjustRightInd w:val="0"/>
                    <w:snapToGrid w:val="0"/>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c>
                <w:tcPr>
                  <w:tcW w:w="915" w:type="dxa"/>
                  <w:noWrap w:val="0"/>
                  <w:vAlign w:val="center"/>
                </w:tcPr>
                <w:p w14:paraId="73DD4D0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21</w:t>
                  </w:r>
                </w:p>
              </w:tc>
              <w:tc>
                <w:tcPr>
                  <w:tcW w:w="885" w:type="dxa"/>
                  <w:noWrap w:val="0"/>
                  <w:vAlign w:val="center"/>
                </w:tcPr>
                <w:p w14:paraId="6DAAE2AF">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54.13</w:t>
                  </w:r>
                </w:p>
              </w:tc>
              <w:tc>
                <w:tcPr>
                  <w:tcW w:w="871" w:type="dxa"/>
                  <w:noWrap w:val="0"/>
                  <w:vAlign w:val="center"/>
                </w:tcPr>
                <w:p w14:paraId="7BD8F0E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r>
            <w:tr w14:paraId="5679A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72A4DDA8">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5</w:t>
                  </w:r>
                </w:p>
              </w:tc>
              <w:tc>
                <w:tcPr>
                  <w:tcW w:w="900" w:type="dxa"/>
                  <w:vMerge w:val="continue"/>
                  <w:noWrap w:val="0"/>
                  <w:vAlign w:val="center"/>
                </w:tcPr>
                <w:p w14:paraId="7A6EAF80">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2259" w:type="dxa"/>
                  <w:noWrap w:val="0"/>
                  <w:vAlign w:val="center"/>
                </w:tcPr>
                <w:p w14:paraId="2FB529B4">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szCs w:val="21"/>
                      <w:highlight w:val="none"/>
                      <w14:textFill>
                        <w14:solidFill>
                          <w14:schemeClr w14:val="tx1"/>
                        </w14:solidFill>
                      </w14:textFill>
                    </w:rPr>
                    <w:t>三破撕碎机</w:t>
                  </w:r>
                </w:p>
              </w:tc>
              <w:tc>
                <w:tcPr>
                  <w:tcW w:w="660" w:type="dxa"/>
                  <w:noWrap w:val="0"/>
                  <w:vAlign w:val="center"/>
                </w:tcPr>
                <w:p w14:paraId="66B0B5B2">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1335" w:type="dxa"/>
                  <w:noWrap w:val="0"/>
                  <w:vAlign w:val="center"/>
                </w:tcPr>
                <w:p w14:paraId="0C901DB6">
                  <w:pPr>
                    <w:keepNext w:val="0"/>
                    <w:keepLines w:val="0"/>
                    <w:widowControl/>
                    <w:suppressLineNumbers w:val="0"/>
                    <w:jc w:val="center"/>
                    <w:textAlignment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85</w:t>
                  </w:r>
                </w:p>
              </w:tc>
              <w:tc>
                <w:tcPr>
                  <w:tcW w:w="673" w:type="dxa"/>
                  <w:vMerge w:val="continue"/>
                  <w:noWrap w:val="0"/>
                  <w:vAlign w:val="center"/>
                </w:tcPr>
                <w:p w14:paraId="1403DB6C">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831" w:type="dxa"/>
                  <w:noWrap w:val="0"/>
                  <w:vAlign w:val="center"/>
                </w:tcPr>
                <w:p w14:paraId="29AB8EC9">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76.33</w:t>
                  </w:r>
                </w:p>
              </w:tc>
              <w:tc>
                <w:tcPr>
                  <w:tcW w:w="717" w:type="dxa"/>
                  <w:noWrap w:val="0"/>
                  <w:vAlign w:val="center"/>
                </w:tcPr>
                <w:p w14:paraId="5FB7936B">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30.3</w:t>
                  </w:r>
                </w:p>
              </w:tc>
              <w:tc>
                <w:tcPr>
                  <w:tcW w:w="359" w:type="dxa"/>
                  <w:noWrap w:val="0"/>
                  <w:vAlign w:val="center"/>
                </w:tcPr>
                <w:p w14:paraId="590BD381">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735" w:type="dxa"/>
                  <w:noWrap w:val="0"/>
                  <w:vAlign w:val="center"/>
                </w:tcPr>
                <w:p w14:paraId="63CE6DC4">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6.55</w:t>
                  </w:r>
                </w:p>
              </w:tc>
              <w:tc>
                <w:tcPr>
                  <w:tcW w:w="900" w:type="dxa"/>
                  <w:noWrap w:val="0"/>
                  <w:vAlign w:val="center"/>
                </w:tcPr>
                <w:p w14:paraId="79BEE5F0">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75.21</w:t>
                  </w:r>
                </w:p>
              </w:tc>
              <w:tc>
                <w:tcPr>
                  <w:tcW w:w="705" w:type="dxa"/>
                  <w:vMerge w:val="continue"/>
                  <w:noWrap w:val="0"/>
                  <w:vAlign w:val="center"/>
                </w:tcPr>
                <w:p w14:paraId="08AFC8CF">
                  <w:pPr>
                    <w:widowControl/>
                    <w:adjustRightInd w:val="0"/>
                    <w:snapToGrid w:val="0"/>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c>
                <w:tcPr>
                  <w:tcW w:w="915" w:type="dxa"/>
                  <w:noWrap w:val="0"/>
                  <w:vAlign w:val="center"/>
                </w:tcPr>
                <w:p w14:paraId="6A94BE0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21</w:t>
                  </w:r>
                </w:p>
              </w:tc>
              <w:tc>
                <w:tcPr>
                  <w:tcW w:w="885" w:type="dxa"/>
                  <w:noWrap w:val="0"/>
                  <w:vAlign w:val="center"/>
                </w:tcPr>
                <w:p w14:paraId="14AC84EE">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54.79</w:t>
                  </w:r>
                </w:p>
              </w:tc>
              <w:tc>
                <w:tcPr>
                  <w:tcW w:w="871" w:type="dxa"/>
                  <w:noWrap w:val="0"/>
                  <w:vAlign w:val="center"/>
                </w:tcPr>
                <w:p w14:paraId="46CE216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r>
            <w:tr w14:paraId="24733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 w:type="dxa"/>
                  <w:noWrap w:val="0"/>
                  <w:vAlign w:val="center"/>
                </w:tcPr>
                <w:p w14:paraId="382A1F10">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6</w:t>
                  </w:r>
                </w:p>
              </w:tc>
              <w:tc>
                <w:tcPr>
                  <w:tcW w:w="900" w:type="dxa"/>
                  <w:vMerge w:val="continue"/>
                  <w:noWrap w:val="0"/>
                  <w:vAlign w:val="center"/>
                </w:tcPr>
                <w:p w14:paraId="5F3458E0">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2259" w:type="dxa"/>
                  <w:noWrap w:val="0"/>
                  <w:vAlign w:val="center"/>
                </w:tcPr>
                <w:p w14:paraId="1D37F968">
                  <w:pPr>
                    <w:adjustRightInd w:val="0"/>
                    <w:snapToGrid w:val="0"/>
                    <w:jc w:val="center"/>
                    <w:rPr>
                      <w:rFonts w:hint="eastAsia" w:ascii="宋体" w:hAnsi="宋体" w:eastAsia="宋体" w:cs="宋体"/>
                      <w:b w:val="0"/>
                      <w:bCs w:val="0"/>
                      <w:color w:val="000000" w:themeColor="text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highlight w:val="none"/>
                      <w:lang w:val="en-US" w:eastAsia="zh-CN"/>
                      <w14:textFill>
                        <w14:solidFill>
                          <w14:schemeClr w14:val="tx1"/>
                        </w14:solidFill>
                      </w14:textFill>
                    </w:rPr>
                    <w:t>除尘器风机</w:t>
                  </w:r>
                </w:p>
              </w:tc>
              <w:tc>
                <w:tcPr>
                  <w:tcW w:w="660" w:type="dxa"/>
                  <w:noWrap w:val="0"/>
                  <w:vAlign w:val="center"/>
                </w:tcPr>
                <w:p w14:paraId="64C7C23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c>
                <w:tcPr>
                  <w:tcW w:w="1335" w:type="dxa"/>
                  <w:noWrap w:val="0"/>
                  <w:vAlign w:val="center"/>
                </w:tcPr>
                <w:p w14:paraId="63F264F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85</w:t>
                  </w:r>
                </w:p>
              </w:tc>
              <w:tc>
                <w:tcPr>
                  <w:tcW w:w="673" w:type="dxa"/>
                  <w:vMerge w:val="continue"/>
                  <w:noWrap w:val="0"/>
                  <w:vAlign w:val="center"/>
                </w:tcPr>
                <w:p w14:paraId="3D70C1F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831" w:type="dxa"/>
                  <w:noWrap w:val="0"/>
                  <w:vAlign w:val="center"/>
                </w:tcPr>
                <w:p w14:paraId="5EF70DFA">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90.19</w:t>
                  </w:r>
                </w:p>
              </w:tc>
              <w:tc>
                <w:tcPr>
                  <w:tcW w:w="717" w:type="dxa"/>
                  <w:noWrap w:val="0"/>
                  <w:vAlign w:val="center"/>
                </w:tcPr>
                <w:p w14:paraId="3CFCF4CC">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34.75</w:t>
                  </w:r>
                </w:p>
              </w:tc>
              <w:tc>
                <w:tcPr>
                  <w:tcW w:w="359" w:type="dxa"/>
                  <w:noWrap w:val="0"/>
                  <w:vAlign w:val="center"/>
                </w:tcPr>
                <w:p w14:paraId="01DB3DC0">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735" w:type="dxa"/>
                  <w:noWrap w:val="0"/>
                  <w:vAlign w:val="center"/>
                </w:tcPr>
                <w:p w14:paraId="403EA1BE">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2.16</w:t>
                  </w:r>
                </w:p>
              </w:tc>
              <w:tc>
                <w:tcPr>
                  <w:tcW w:w="900" w:type="dxa"/>
                  <w:noWrap w:val="0"/>
                  <w:vAlign w:val="center"/>
                </w:tcPr>
                <w:p w14:paraId="6FE6F256">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75.20</w:t>
                  </w:r>
                </w:p>
              </w:tc>
              <w:tc>
                <w:tcPr>
                  <w:tcW w:w="705" w:type="dxa"/>
                  <w:vMerge w:val="continue"/>
                  <w:noWrap w:val="0"/>
                  <w:vAlign w:val="center"/>
                </w:tcPr>
                <w:p w14:paraId="63818DE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915" w:type="dxa"/>
                  <w:noWrap w:val="0"/>
                  <w:vAlign w:val="center"/>
                </w:tcPr>
                <w:p w14:paraId="3D5E32D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21</w:t>
                  </w:r>
                </w:p>
              </w:tc>
              <w:tc>
                <w:tcPr>
                  <w:tcW w:w="885" w:type="dxa"/>
                  <w:noWrap w:val="0"/>
                  <w:vAlign w:val="center"/>
                </w:tcPr>
                <w:p w14:paraId="11766C10">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54.20</w:t>
                  </w:r>
                </w:p>
              </w:tc>
              <w:tc>
                <w:tcPr>
                  <w:tcW w:w="871" w:type="dxa"/>
                  <w:noWrap w:val="0"/>
                  <w:vAlign w:val="center"/>
                </w:tcPr>
                <w:p w14:paraId="3E75634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1</w:t>
                  </w:r>
                </w:p>
              </w:tc>
            </w:tr>
            <w:tr w14:paraId="5589E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3187" w:type="dxa"/>
                  <w:gridSpan w:val="15"/>
                  <w:noWrap w:val="0"/>
                  <w:vAlign w:val="center"/>
                </w:tcPr>
                <w:p w14:paraId="20A150D6">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t>备注</w:t>
                  </w:r>
                  <w:r>
                    <w:rPr>
                      <w:rFonts w:hint="default" w:ascii="Times New Roman" w:hAnsi="Times New Roman" w:eastAsia="宋体" w:cs="Times New Roman"/>
                      <w:b/>
                      <w:color w:val="000000" w:themeColor="text1"/>
                      <w:kern w:val="0"/>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t>以项目所在厂房西南角边界为（0</w:t>
                  </w:r>
                  <w:r>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t>0</w:t>
                  </w:r>
                  <w:r>
                    <w:rPr>
                      <w:rFonts w:hint="eastAsia"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 w:val="0"/>
                      <w:bCs/>
                      <w:color w:val="000000" w:themeColor="text1"/>
                      <w:kern w:val="0"/>
                      <w:sz w:val="21"/>
                      <w:szCs w:val="21"/>
                      <w:highlight w:val="none"/>
                      <w:lang w:val="en-US" w:eastAsia="zh-CN" w:bidi="ar-SA"/>
                      <w14:textFill>
                        <w14:solidFill>
                          <w14:schemeClr w14:val="tx1"/>
                        </w14:solidFill>
                      </w14:textFill>
                    </w:rPr>
                    <w:t>0），距室内边界距离按最近距离计</w:t>
                  </w:r>
                </w:p>
              </w:tc>
            </w:tr>
          </w:tbl>
          <w:p w14:paraId="732F8B5C">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p w14:paraId="5473A2E4">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p w14:paraId="49BCD456">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p w14:paraId="0ABA4EB8">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p w14:paraId="71F02615">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p w14:paraId="60BBBCB9">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p w14:paraId="4017AF22">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p w14:paraId="47D6201A">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p w14:paraId="0B8FC2E8">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p w14:paraId="71F295CF">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p w14:paraId="43E02762">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tc>
      </w:tr>
    </w:tbl>
    <w:p w14:paraId="38AFA56F">
      <w:pPr>
        <w:adjustRightInd w:val="0"/>
        <w:snapToGrid w:val="0"/>
        <w:spacing w:line="360" w:lineRule="auto"/>
        <w:rPr>
          <w:rFonts w:hint="default" w:ascii="Times New Roman" w:hAnsi="Times New Roman" w:cs="Times New Roman"/>
          <w:b/>
          <w:color w:val="000000" w:themeColor="text1"/>
          <w:kern w:val="0"/>
          <w:sz w:val="28"/>
          <w:szCs w:val="28"/>
          <w:highlight w:val="none"/>
          <w14:textFill>
            <w14:solidFill>
              <w14:schemeClr w14:val="tx1"/>
            </w14:solidFill>
          </w14:textFill>
        </w:rPr>
        <w:sectPr>
          <w:pgSz w:w="16840" w:h="11907" w:orient="landscape"/>
          <w:pgMar w:top="1531" w:right="1701" w:bottom="1531" w:left="2127" w:header="851" w:footer="851" w:gutter="0"/>
          <w:pgNumType w:fmt="decimal"/>
          <w:cols w:space="720" w:num="1"/>
          <w:docGrid w:linePitch="312" w:charSpace="0"/>
        </w:sectPr>
      </w:pPr>
    </w:p>
    <w:tbl>
      <w:tblPr>
        <w:tblStyle w:val="25"/>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8"/>
        <w:gridCol w:w="8440"/>
      </w:tblGrid>
      <w:tr w14:paraId="3CB06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1" w:hRule="atLeast"/>
          <w:jc w:val="center"/>
        </w:trPr>
        <w:tc>
          <w:tcPr>
            <w:tcW w:w="468" w:type="dxa"/>
            <w:noWrap w:val="0"/>
            <w:tcMar>
              <w:left w:w="28" w:type="dxa"/>
              <w:right w:w="28" w:type="dxa"/>
            </w:tcMar>
            <w:vAlign w:val="center"/>
          </w:tcPr>
          <w:p w14:paraId="4DC7E6F5">
            <w:pPr>
              <w:pStyle w:val="21"/>
              <w:adjustRightInd w:val="0"/>
              <w:snapToGrid w:val="0"/>
              <w:spacing w:before="0" w:beforeAutospacing="0" w:after="0" w:afterAutospacing="0"/>
              <w:jc w:val="center"/>
              <w:rPr>
                <w:rFonts w:hint="default" w:ascii="Times New Roman" w:hAnsi="Times New Roman" w:cs="Times New Roman"/>
                <w:bCs/>
                <w:color w:val="000000" w:themeColor="text1"/>
                <w:kern w:val="2"/>
                <w:sz w:val="24"/>
                <w:szCs w:val="24"/>
                <w:highlight w:val="none"/>
                <w14:textFill>
                  <w14:solidFill>
                    <w14:schemeClr w14:val="tx1"/>
                  </w14:solidFill>
                </w14:textFill>
              </w:rPr>
            </w:pPr>
          </w:p>
        </w:tc>
        <w:tc>
          <w:tcPr>
            <w:tcW w:w="8440" w:type="dxa"/>
            <w:noWrap w:val="0"/>
            <w:vAlign w:val="top"/>
          </w:tcPr>
          <w:p w14:paraId="44107679">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建设单位拟采取以下措施降低噪声影响：</w:t>
            </w:r>
          </w:p>
          <w:p w14:paraId="77FD2276">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（1）选用低噪声设备：在满足项目生产工艺的前提下，尽可能选择先进、噪声低的生产设备，从源头降低噪声。</w:t>
            </w:r>
          </w:p>
          <w:p w14:paraId="2A6F97F7">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（2）厂区内合理布局：将设备尽量设置在厂区车间内，在满足生产的前提下综合考虑，充分利用厂内建筑物、墙壁的隔声作用，以减轻各类声源对周围环境的影响。</w:t>
            </w:r>
          </w:p>
          <w:p w14:paraId="36590819">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（3）设备基础减振：设备在安装时，根据设备的自重及振动特性采用合适的隔振垫，以减轻由于设备自身振动引起的结构传声对周围声环境产生的影响。</w:t>
            </w:r>
          </w:p>
          <w:p w14:paraId="2E851D54">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（4）加强设备管理：加强设备的维护，确保设备处于良好的运转状态，杜绝因设备不正常运转时产生的高噪声现象；同时，规范生产过程中设备操作，避免操作设备不当产生的高噪声现象。</w:t>
            </w:r>
          </w:p>
          <w:p w14:paraId="48FF81F1">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3.3预测结果</w:t>
            </w:r>
          </w:p>
          <w:p w14:paraId="3E05FDCD">
            <w:pPr>
              <w:spacing w:line="360" w:lineRule="auto"/>
              <w:ind w:firstLine="480" w:firstLineChars="200"/>
              <w:rPr>
                <w:rFonts w:hint="default" w:ascii="Times New Roman" w:hAnsi="Times New Roman" w:eastAsia="宋体" w:cs="Times New Roman"/>
                <w:b/>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在所有噪声同时存在情况下，考虑各种降噪措施以及隔声作用，厂界噪声影响预测结果见</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下</w:t>
            </w:r>
            <w:r>
              <w:rPr>
                <w:rFonts w:hint="default" w:ascii="Times New Roman" w:hAnsi="Times New Roman" w:eastAsia="宋体" w:cs="Times New Roman"/>
                <w:color w:val="000000" w:themeColor="text1"/>
                <w:sz w:val="24"/>
                <w:highlight w:val="none"/>
                <w14:textFill>
                  <w14:solidFill>
                    <w14:schemeClr w14:val="tx1"/>
                  </w14:solidFill>
                </w14:textFill>
              </w:rPr>
              <w:t>表。</w:t>
            </w:r>
          </w:p>
          <w:p w14:paraId="5B279E61">
            <w:pPr>
              <w:spacing w:line="240" w:lineRule="auto"/>
              <w:jc w:val="center"/>
              <w:rPr>
                <w:rFonts w:hint="default" w:ascii="Times New Roman" w:hAnsi="Times New Roman" w:eastAsia="宋体" w:cs="Times New Roman"/>
                <w:b/>
                <w:color w:val="000000" w:themeColor="text1"/>
                <w:kern w:val="0"/>
                <w:szCs w:val="21"/>
                <w:highlight w:val="none"/>
                <w14:textFill>
                  <w14:solidFill>
                    <w14:schemeClr w14:val="tx1"/>
                  </w14:solidFill>
                </w14:textFill>
              </w:rPr>
            </w:pPr>
            <w:r>
              <w:rPr>
                <w:rFonts w:hint="default" w:ascii="Times New Roman" w:hAnsi="Times New Roman" w:eastAsia="宋体" w:cs="Times New Roman"/>
                <w:b/>
                <w:color w:val="000000" w:themeColor="text1"/>
                <w:kern w:val="0"/>
                <w:szCs w:val="21"/>
                <w:highlight w:val="none"/>
                <w14:textFill>
                  <w14:solidFill>
                    <w14:schemeClr w14:val="tx1"/>
                  </w14:solidFill>
                </w14:textFill>
              </w:rPr>
              <w:t>表</w:t>
            </w:r>
            <w:r>
              <w:rPr>
                <w:rFonts w:hint="default" w:ascii="Times New Roman" w:hAnsi="Times New Roman" w:eastAsia="宋体" w:cs="Times New Roman"/>
                <w:b/>
                <w:color w:val="000000" w:themeColor="text1"/>
                <w:kern w:val="0"/>
                <w:szCs w:val="21"/>
                <w:highlight w:val="none"/>
                <w:lang w:val="en-US" w:eastAsia="zh-CN"/>
                <w14:textFill>
                  <w14:solidFill>
                    <w14:schemeClr w14:val="tx1"/>
                  </w14:solidFill>
                </w14:textFill>
              </w:rPr>
              <w:t>4-</w:t>
            </w:r>
            <w:r>
              <w:rPr>
                <w:rFonts w:hint="eastAsia" w:ascii="Times New Roman" w:hAnsi="Times New Roman" w:eastAsia="宋体" w:cs="Times New Roman"/>
                <w:b/>
                <w:color w:val="000000" w:themeColor="text1"/>
                <w:kern w:val="0"/>
                <w:szCs w:val="21"/>
                <w:highlight w:val="none"/>
                <w:lang w:val="en-US" w:eastAsia="zh-CN"/>
                <w14:textFill>
                  <w14:solidFill>
                    <w14:schemeClr w14:val="tx1"/>
                  </w14:solidFill>
                </w14:textFill>
              </w:rPr>
              <w:t xml:space="preserve">8 </w:t>
            </w:r>
            <w:r>
              <w:rPr>
                <w:rFonts w:hint="default" w:ascii="Times New Roman" w:hAnsi="Times New Roman" w:eastAsia="宋体" w:cs="Times New Roman"/>
                <w:b/>
                <w:color w:val="000000" w:themeColor="text1"/>
                <w:kern w:val="0"/>
                <w:szCs w:val="21"/>
                <w:highlight w:val="none"/>
                <w14:textFill>
                  <w14:solidFill>
                    <w14:schemeClr w14:val="tx1"/>
                  </w14:solidFill>
                </w14:textFill>
              </w:rPr>
              <w:t>噪声影响预测结果表</w:t>
            </w:r>
            <w:r>
              <w:rPr>
                <w:rFonts w:hint="default" w:ascii="Times New Roman" w:hAnsi="Times New Roman" w:eastAsia="宋体" w:cs="Times New Roman"/>
                <w:b/>
                <w:color w:val="000000" w:themeColor="text1"/>
                <w:kern w:val="0"/>
                <w:szCs w:val="21"/>
                <w:highlight w:val="none"/>
                <w:lang w:val="en-US" w:eastAsia="zh-CN"/>
                <w14:textFill>
                  <w14:solidFill>
                    <w14:schemeClr w14:val="tx1"/>
                  </w14:solidFill>
                </w14:textFill>
              </w:rPr>
              <w:t xml:space="preserve">   </w:t>
            </w:r>
            <w:r>
              <w:rPr>
                <w:rFonts w:hint="default" w:ascii="Times New Roman" w:hAnsi="Times New Roman" w:eastAsia="宋体" w:cs="Times New Roman"/>
                <w:b/>
                <w:color w:val="000000" w:themeColor="text1"/>
                <w:kern w:val="0"/>
                <w:szCs w:val="21"/>
                <w:highlight w:val="none"/>
                <w14:textFill>
                  <w14:solidFill>
                    <w14:schemeClr w14:val="tx1"/>
                  </w14:solidFill>
                </w14:textFill>
              </w:rPr>
              <w:t>单位：dB（A）</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19"/>
              <w:gridCol w:w="1843"/>
              <w:gridCol w:w="2049"/>
              <w:gridCol w:w="1459"/>
              <w:gridCol w:w="1741"/>
            </w:tblGrid>
            <w:tr w14:paraId="08B73F5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tcBorders>
                    <w:tl2br w:val="nil"/>
                    <w:tr2bl w:val="nil"/>
                  </w:tcBorders>
                  <w:noWrap w:val="0"/>
                  <w:vAlign w:val="center"/>
                </w:tcPr>
                <w:p w14:paraId="6B60CD2D">
                  <w:pPr>
                    <w:jc w:val="cente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t>名称</w:t>
                  </w:r>
                </w:p>
              </w:tc>
              <w:tc>
                <w:tcPr>
                  <w:tcW w:w="1122" w:type="pct"/>
                  <w:tcBorders>
                    <w:tl2br w:val="nil"/>
                    <w:tr2bl w:val="nil"/>
                  </w:tcBorders>
                  <w:noWrap w:val="0"/>
                  <w:vAlign w:val="center"/>
                </w:tcPr>
                <w:p w14:paraId="069BADD6">
                  <w:pPr>
                    <w:jc w:val="cente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t>影响对象</w:t>
                  </w:r>
                </w:p>
              </w:tc>
              <w:tc>
                <w:tcPr>
                  <w:tcW w:w="1247" w:type="pct"/>
                  <w:tcBorders>
                    <w:tl2br w:val="nil"/>
                    <w:tr2bl w:val="nil"/>
                  </w:tcBorders>
                  <w:noWrap w:val="0"/>
                  <w:vAlign w:val="center"/>
                </w:tcPr>
                <w:p w14:paraId="30A7EEE4">
                  <w:pPr>
                    <w:jc w:val="cente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t>降噪措施</w:t>
                  </w:r>
                </w:p>
              </w:tc>
              <w:tc>
                <w:tcPr>
                  <w:tcW w:w="888" w:type="pct"/>
                  <w:tcBorders>
                    <w:tl2br w:val="nil"/>
                    <w:tr2bl w:val="nil"/>
                  </w:tcBorders>
                  <w:noWrap w:val="0"/>
                  <w:vAlign w:val="center"/>
                </w:tcPr>
                <w:p w14:paraId="67676DC8">
                  <w:pPr>
                    <w:jc w:val="cente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t>贡献值</w:t>
                  </w:r>
                </w:p>
              </w:tc>
              <w:tc>
                <w:tcPr>
                  <w:tcW w:w="1060" w:type="pct"/>
                  <w:tcBorders>
                    <w:tl2br w:val="nil"/>
                    <w:tr2bl w:val="nil"/>
                  </w:tcBorders>
                  <w:noWrap w:val="0"/>
                  <w:vAlign w:val="center"/>
                </w:tcPr>
                <w:p w14:paraId="16D945C2">
                  <w:pPr>
                    <w:jc w:val="cente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t>标准值</w:t>
                  </w:r>
                </w:p>
              </w:tc>
            </w:tr>
            <w:tr w14:paraId="6810668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restart"/>
                  <w:tcBorders>
                    <w:tl2br w:val="nil"/>
                    <w:tr2bl w:val="nil"/>
                  </w:tcBorders>
                  <w:noWrap w:val="0"/>
                  <w:vAlign w:val="center"/>
                </w:tcPr>
                <w:p w14:paraId="3D62E192">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厂界</w:t>
                  </w:r>
                </w:p>
              </w:tc>
              <w:tc>
                <w:tcPr>
                  <w:tcW w:w="1122" w:type="pct"/>
                  <w:tcBorders>
                    <w:tl2br w:val="nil"/>
                    <w:tr2bl w:val="nil"/>
                  </w:tcBorders>
                  <w:noWrap w:val="0"/>
                  <w:vAlign w:val="center"/>
                </w:tcPr>
                <w:p w14:paraId="3DA1197F">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东厂界</w:t>
                  </w:r>
                </w:p>
              </w:tc>
              <w:tc>
                <w:tcPr>
                  <w:tcW w:w="1247" w:type="pct"/>
                  <w:vMerge w:val="restart"/>
                  <w:tcBorders>
                    <w:tl2br w:val="nil"/>
                    <w:tr2bl w:val="nil"/>
                  </w:tcBorders>
                  <w:noWrap w:val="0"/>
                  <w:vAlign w:val="center"/>
                </w:tcPr>
                <w:p w14:paraId="53E44EE2">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选择低噪声设备，</w:t>
                  </w:r>
                </w:p>
                <w:p w14:paraId="458DAC3C">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基础减振，厂房隔声</w:t>
                  </w:r>
                </w:p>
              </w:tc>
              <w:tc>
                <w:tcPr>
                  <w:tcW w:w="888" w:type="pct"/>
                  <w:tcBorders>
                    <w:tl2br w:val="nil"/>
                    <w:tr2bl w:val="nil"/>
                  </w:tcBorders>
                  <w:noWrap w:val="0"/>
                  <w:vAlign w:val="center"/>
                </w:tcPr>
                <w:p w14:paraId="1DBED781">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48.48</w:t>
                  </w:r>
                </w:p>
              </w:tc>
              <w:tc>
                <w:tcPr>
                  <w:tcW w:w="1060" w:type="pct"/>
                  <w:vMerge w:val="restart"/>
                  <w:tcBorders>
                    <w:tl2br w:val="nil"/>
                    <w:tr2bl w:val="nil"/>
                  </w:tcBorders>
                  <w:noWrap w:val="0"/>
                  <w:vAlign w:val="center"/>
                </w:tcPr>
                <w:p w14:paraId="138013C8">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昼间65</w:t>
                  </w:r>
                </w:p>
                <w:p w14:paraId="20C05EDA">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夜间55</w:t>
                  </w:r>
                </w:p>
              </w:tc>
            </w:tr>
            <w:tr w14:paraId="10981F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continue"/>
                  <w:tcBorders>
                    <w:tl2br w:val="nil"/>
                    <w:tr2bl w:val="nil"/>
                  </w:tcBorders>
                  <w:noWrap w:val="0"/>
                  <w:vAlign w:val="center"/>
                </w:tcPr>
                <w:p w14:paraId="26BF37CB">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c>
                <w:tcPr>
                  <w:tcW w:w="1122" w:type="pct"/>
                  <w:tcBorders>
                    <w:tl2br w:val="nil"/>
                    <w:tr2bl w:val="nil"/>
                  </w:tcBorders>
                  <w:noWrap w:val="0"/>
                  <w:vAlign w:val="center"/>
                </w:tcPr>
                <w:p w14:paraId="0F6261B3">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南</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厂界</w:t>
                  </w:r>
                </w:p>
              </w:tc>
              <w:tc>
                <w:tcPr>
                  <w:tcW w:w="1247" w:type="pct"/>
                  <w:vMerge w:val="continue"/>
                  <w:tcBorders>
                    <w:tl2br w:val="nil"/>
                    <w:tr2bl w:val="nil"/>
                  </w:tcBorders>
                  <w:noWrap w:val="0"/>
                  <w:vAlign w:val="center"/>
                </w:tcPr>
                <w:p w14:paraId="51639F71">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c>
                <w:tcPr>
                  <w:tcW w:w="888" w:type="pct"/>
                  <w:tcBorders>
                    <w:tl2br w:val="nil"/>
                    <w:tr2bl w:val="nil"/>
                  </w:tcBorders>
                  <w:noWrap w:val="0"/>
                  <w:vAlign w:val="center"/>
                </w:tcPr>
                <w:p w14:paraId="66C21E55">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40.09</w:t>
                  </w:r>
                </w:p>
              </w:tc>
              <w:tc>
                <w:tcPr>
                  <w:tcW w:w="1060" w:type="pct"/>
                  <w:vMerge w:val="continue"/>
                  <w:tcBorders>
                    <w:tl2br w:val="nil"/>
                    <w:tr2bl w:val="nil"/>
                  </w:tcBorders>
                  <w:noWrap w:val="0"/>
                  <w:vAlign w:val="center"/>
                </w:tcPr>
                <w:p w14:paraId="4E555A77">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r>
            <w:tr w14:paraId="4E822EE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continue"/>
                  <w:tcBorders>
                    <w:tl2br w:val="nil"/>
                    <w:tr2bl w:val="nil"/>
                  </w:tcBorders>
                  <w:noWrap w:val="0"/>
                  <w:vAlign w:val="center"/>
                </w:tcPr>
                <w:p w14:paraId="0BE939EC">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1122" w:type="pct"/>
                  <w:tcBorders>
                    <w:tl2br w:val="nil"/>
                    <w:tr2bl w:val="nil"/>
                  </w:tcBorders>
                  <w:noWrap w:val="0"/>
                  <w:vAlign w:val="center"/>
                </w:tcPr>
                <w:p w14:paraId="5F27F46D">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西</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厂界</w:t>
                  </w:r>
                </w:p>
              </w:tc>
              <w:tc>
                <w:tcPr>
                  <w:tcW w:w="1247" w:type="pct"/>
                  <w:vMerge w:val="continue"/>
                  <w:tcBorders>
                    <w:tl2br w:val="nil"/>
                    <w:tr2bl w:val="nil"/>
                  </w:tcBorders>
                  <w:noWrap w:val="0"/>
                  <w:vAlign w:val="center"/>
                </w:tcPr>
                <w:p w14:paraId="0E4049BD">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888" w:type="pct"/>
                  <w:tcBorders>
                    <w:tl2br w:val="nil"/>
                    <w:tr2bl w:val="nil"/>
                  </w:tcBorders>
                  <w:noWrap w:val="0"/>
                  <w:vAlign w:val="center"/>
                </w:tcPr>
                <w:p w14:paraId="44D0E484">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38.09</w:t>
                  </w:r>
                </w:p>
              </w:tc>
              <w:tc>
                <w:tcPr>
                  <w:tcW w:w="1060" w:type="pct"/>
                  <w:vMerge w:val="continue"/>
                  <w:tcBorders>
                    <w:tl2br w:val="nil"/>
                    <w:tr2bl w:val="nil"/>
                  </w:tcBorders>
                  <w:noWrap w:val="0"/>
                  <w:vAlign w:val="center"/>
                </w:tcPr>
                <w:p w14:paraId="73431EB4">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r w14:paraId="2996490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81" w:type="pct"/>
                  <w:vMerge w:val="continue"/>
                  <w:tcBorders>
                    <w:tl2br w:val="nil"/>
                    <w:tr2bl w:val="nil"/>
                  </w:tcBorders>
                  <w:noWrap w:val="0"/>
                  <w:vAlign w:val="center"/>
                </w:tcPr>
                <w:p w14:paraId="7C4B94A7">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1122" w:type="pct"/>
                  <w:tcBorders>
                    <w:tl2br w:val="nil"/>
                    <w:tr2bl w:val="nil"/>
                  </w:tcBorders>
                  <w:noWrap w:val="0"/>
                  <w:vAlign w:val="center"/>
                </w:tcPr>
                <w:p w14:paraId="6728329C">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北厂界</w:t>
                  </w:r>
                </w:p>
              </w:tc>
              <w:tc>
                <w:tcPr>
                  <w:tcW w:w="1247" w:type="pct"/>
                  <w:vMerge w:val="continue"/>
                  <w:tcBorders>
                    <w:tl2br w:val="nil"/>
                    <w:tr2bl w:val="nil"/>
                  </w:tcBorders>
                  <w:noWrap w:val="0"/>
                  <w:vAlign w:val="center"/>
                </w:tcPr>
                <w:p w14:paraId="3547FFD1">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888" w:type="pct"/>
                  <w:tcBorders>
                    <w:tl2br w:val="nil"/>
                    <w:tr2bl w:val="nil"/>
                  </w:tcBorders>
                  <w:noWrap w:val="0"/>
                  <w:vAlign w:val="center"/>
                </w:tcPr>
                <w:p w14:paraId="25C6E8E0">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54.42</w:t>
                  </w:r>
                </w:p>
              </w:tc>
              <w:tc>
                <w:tcPr>
                  <w:tcW w:w="1060" w:type="pct"/>
                  <w:vMerge w:val="continue"/>
                  <w:tcBorders>
                    <w:tl2br w:val="nil"/>
                    <w:tr2bl w:val="nil"/>
                  </w:tcBorders>
                  <w:noWrap w:val="0"/>
                  <w:vAlign w:val="center"/>
                </w:tcPr>
                <w:p w14:paraId="476BFD70">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r w14:paraId="20B0140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000" w:type="pct"/>
                  <w:gridSpan w:val="5"/>
                  <w:tcBorders>
                    <w:tl2br w:val="nil"/>
                    <w:tr2bl w:val="nil"/>
                  </w:tcBorders>
                  <w:noWrap w:val="0"/>
                  <w:vAlign w:val="center"/>
                </w:tcPr>
                <w:p w14:paraId="15D22CFB">
                  <w:pPr>
                    <w:jc w:val="both"/>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备注：以陕西国坤时代科技有限公司厂界为本项目厂界进行厂界噪声贡献值预测。</w:t>
                  </w:r>
                </w:p>
              </w:tc>
            </w:tr>
          </w:tbl>
          <w:p w14:paraId="5D46A2AA">
            <w:pPr>
              <w:numPr>
                <w:ilvl w:val="0"/>
                <w:numId w:val="0"/>
              </w:numPr>
              <w:adjustRightInd w:val="0"/>
              <w:snapToGrid w:val="0"/>
              <w:spacing w:line="360" w:lineRule="auto"/>
              <w:ind w:firstLine="480" w:firstLineChars="200"/>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项目运营后，</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在</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选用低噪声设备的同时，</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采用</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基础减振后，经过厂房隔声、距离衰减后厂界四周的噪声</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贡献值</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可以</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满足</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《工业企业厂界环境噪声排放标准》（GB12348-2008）中的</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类标准要求。</w:t>
            </w:r>
          </w:p>
          <w:p w14:paraId="0A907FFB">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3.4噪声监测计划</w:t>
            </w:r>
          </w:p>
          <w:p w14:paraId="4CC47958">
            <w:pPr>
              <w:numPr>
                <w:ilvl w:val="0"/>
                <w:numId w:val="0"/>
              </w:numPr>
              <w:adjustRightInd w:val="0"/>
              <w:snapToGrid w:val="0"/>
              <w:spacing w:line="360" w:lineRule="auto"/>
              <w:ind w:leftChars="0" w:firstLine="440" w:firstLineChars="20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t>根据《</w:t>
            </w:r>
            <w:r>
              <w:rPr>
                <w:rFonts w:hint="default" w:ascii="Times New Roman" w:hAnsi="Times New Roman" w:cs="Times New Roman"/>
                <w:color w:val="000000" w:themeColor="text1"/>
                <w:sz w:val="24"/>
                <w:highlight w:val="none"/>
                <w:lang w:val="en-US" w:eastAsia="zh-CN"/>
                <w14:textFill>
                  <w14:solidFill>
                    <w14:schemeClr w14:val="tx1"/>
                  </w14:solidFill>
                </w14:textFill>
              </w:rPr>
              <w:t>排污单位自行监测技术指南 总则</w:t>
            </w:r>
            <w:r>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HJ819-2017</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本项目运营期噪声监测计划见下表。</w:t>
            </w:r>
          </w:p>
          <w:p w14:paraId="6FE42CE4">
            <w:pPr>
              <w:numPr>
                <w:ilvl w:val="0"/>
                <w:numId w:val="0"/>
              </w:numPr>
              <w:adjustRightInd w:val="0"/>
              <w:snapToGrid w:val="0"/>
              <w:spacing w:line="240" w:lineRule="auto"/>
              <w:jc w:val="center"/>
              <w:rPr>
                <w:rFonts w:hint="default" w:ascii="Times New Roman" w:hAnsi="Times New Roman" w:eastAsia="宋体" w:cs="Times New Roman"/>
                <w:b/>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kern w:val="0"/>
                <w:szCs w:val="21"/>
                <w:highlight w:val="none"/>
                <w14:textFill>
                  <w14:solidFill>
                    <w14:schemeClr w14:val="tx1"/>
                  </w14:solidFill>
                </w14:textFill>
              </w:rPr>
              <w:t>表</w:t>
            </w:r>
            <w:r>
              <w:rPr>
                <w:rFonts w:hint="default" w:ascii="Times New Roman" w:hAnsi="Times New Roman" w:eastAsia="宋体" w:cs="Times New Roman"/>
                <w:b/>
                <w:color w:val="000000" w:themeColor="text1"/>
                <w:kern w:val="0"/>
                <w:szCs w:val="21"/>
                <w:highlight w:val="none"/>
                <w:lang w:val="en-US" w:eastAsia="zh-CN"/>
                <w14:textFill>
                  <w14:solidFill>
                    <w14:schemeClr w14:val="tx1"/>
                  </w14:solidFill>
                </w14:textFill>
              </w:rPr>
              <w:t>4-</w:t>
            </w:r>
            <w:r>
              <w:rPr>
                <w:rFonts w:hint="eastAsia" w:ascii="Times New Roman" w:hAnsi="Times New Roman" w:eastAsia="宋体" w:cs="Times New Roman"/>
                <w:b/>
                <w:color w:val="000000" w:themeColor="text1"/>
                <w:kern w:val="0"/>
                <w:szCs w:val="21"/>
                <w:highlight w:val="none"/>
                <w:lang w:val="en-US" w:eastAsia="zh-CN"/>
                <w14:textFill>
                  <w14:solidFill>
                    <w14:schemeClr w14:val="tx1"/>
                  </w14:solidFill>
                </w14:textFill>
              </w:rPr>
              <w:t xml:space="preserve">9 </w:t>
            </w:r>
            <w:r>
              <w:rPr>
                <w:rFonts w:hint="default" w:ascii="Times New Roman" w:hAnsi="Times New Roman" w:eastAsia="宋体" w:cs="Times New Roman"/>
                <w:b/>
                <w:color w:val="000000" w:themeColor="text1"/>
                <w:kern w:val="0"/>
                <w:szCs w:val="21"/>
                <w:highlight w:val="none"/>
                <w14:textFill>
                  <w14:solidFill>
                    <w14:schemeClr w14:val="tx1"/>
                  </w14:solidFill>
                </w14:textFill>
              </w:rPr>
              <w:t>噪声</w:t>
            </w:r>
            <w:r>
              <w:rPr>
                <w:rFonts w:hint="default" w:ascii="Times New Roman" w:hAnsi="Times New Roman" w:eastAsia="宋体" w:cs="Times New Roman"/>
                <w:b/>
                <w:color w:val="000000" w:themeColor="text1"/>
                <w:kern w:val="0"/>
                <w:szCs w:val="21"/>
                <w:highlight w:val="none"/>
                <w:lang w:val="en-US" w:eastAsia="zh-CN"/>
                <w14:textFill>
                  <w14:solidFill>
                    <w14:schemeClr w14:val="tx1"/>
                  </w14:solidFill>
                </w14:textFill>
              </w:rPr>
              <w:t>监测计划一览表</w:t>
            </w:r>
          </w:p>
          <w:tbl>
            <w:tblPr>
              <w:tblStyle w:val="25"/>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
            <w:tblGrid>
              <w:gridCol w:w="1081"/>
              <w:gridCol w:w="1250"/>
              <w:gridCol w:w="1637"/>
              <w:gridCol w:w="1069"/>
              <w:gridCol w:w="3180"/>
            </w:tblGrid>
            <w:tr w14:paraId="2D9F645D">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486" w:hRule="atLeast"/>
              </w:trPr>
              <w:tc>
                <w:tcPr>
                  <w:tcW w:w="657" w:type="pct"/>
                  <w:noWrap w:val="0"/>
                  <w:vAlign w:val="center"/>
                </w:tcPr>
                <w:p w14:paraId="2F14963D">
                  <w:pPr>
                    <w:spacing w:line="24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污染源</w:t>
                  </w:r>
                </w:p>
                <w:p w14:paraId="650FE631">
                  <w:pPr>
                    <w:spacing w:line="24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名称</w:t>
                  </w:r>
                </w:p>
              </w:tc>
              <w:tc>
                <w:tcPr>
                  <w:tcW w:w="760" w:type="pct"/>
                  <w:noWrap w:val="0"/>
                  <w:vAlign w:val="center"/>
                </w:tcPr>
                <w:p w14:paraId="1F363A7B">
                  <w:pPr>
                    <w:spacing w:line="24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监测项目</w:t>
                  </w:r>
                </w:p>
              </w:tc>
              <w:tc>
                <w:tcPr>
                  <w:tcW w:w="996" w:type="pct"/>
                  <w:noWrap w:val="0"/>
                  <w:vAlign w:val="center"/>
                </w:tcPr>
                <w:p w14:paraId="3A44B1DB">
                  <w:pPr>
                    <w:spacing w:line="24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监测点位置</w:t>
                  </w:r>
                </w:p>
              </w:tc>
              <w:tc>
                <w:tcPr>
                  <w:tcW w:w="650" w:type="pct"/>
                  <w:noWrap w:val="0"/>
                  <w:vAlign w:val="center"/>
                </w:tcPr>
                <w:p w14:paraId="202EB9F4">
                  <w:pPr>
                    <w:spacing w:line="24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监测频率</w:t>
                  </w:r>
                </w:p>
              </w:tc>
              <w:tc>
                <w:tcPr>
                  <w:tcW w:w="1935" w:type="pct"/>
                  <w:noWrap w:val="0"/>
                  <w:vAlign w:val="center"/>
                </w:tcPr>
                <w:p w14:paraId="7016E088">
                  <w:pPr>
                    <w:spacing w:line="240" w:lineRule="exact"/>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控制指标</w:t>
                  </w:r>
                </w:p>
              </w:tc>
            </w:tr>
            <w:tr w14:paraId="13562B14">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CellMar>
                  <w:top w:w="0" w:type="dxa"/>
                  <w:left w:w="108" w:type="dxa"/>
                  <w:bottom w:w="0" w:type="dxa"/>
                  <w:right w:w="108" w:type="dxa"/>
                </w:tblCellMar>
              </w:tblPrEx>
              <w:trPr>
                <w:trHeight w:val="733" w:hRule="atLeast"/>
              </w:trPr>
              <w:tc>
                <w:tcPr>
                  <w:tcW w:w="657" w:type="pct"/>
                  <w:noWrap w:val="0"/>
                  <w:vAlign w:val="center"/>
                </w:tcPr>
                <w:p w14:paraId="2F0367A0">
                  <w:pPr>
                    <w:spacing w:line="240" w:lineRule="auto"/>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设备</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运行噪声</w:t>
                  </w:r>
                </w:p>
              </w:tc>
              <w:tc>
                <w:tcPr>
                  <w:tcW w:w="760" w:type="pct"/>
                  <w:noWrap w:val="0"/>
                  <w:vAlign w:val="center"/>
                </w:tcPr>
                <w:p w14:paraId="50B85367">
                  <w:pPr>
                    <w:spacing w:line="240" w:lineRule="auto"/>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厂界</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四周</w:t>
                  </w:r>
                </w:p>
              </w:tc>
              <w:tc>
                <w:tcPr>
                  <w:tcW w:w="996" w:type="pct"/>
                  <w:noWrap w:val="0"/>
                  <w:vAlign w:val="center"/>
                </w:tcPr>
                <w:p w14:paraId="468549A7">
                  <w:pPr>
                    <w:spacing w:line="240" w:lineRule="auto"/>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厂界四周外1m</w:t>
                  </w:r>
                </w:p>
              </w:tc>
              <w:tc>
                <w:tcPr>
                  <w:tcW w:w="650" w:type="pct"/>
                  <w:noWrap w:val="0"/>
                  <w:vAlign w:val="center"/>
                </w:tcPr>
                <w:p w14:paraId="10797AD5">
                  <w:pPr>
                    <w:spacing w:line="240" w:lineRule="auto"/>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1次</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季</w:t>
                  </w:r>
                </w:p>
              </w:tc>
              <w:tc>
                <w:tcPr>
                  <w:tcW w:w="1935" w:type="pct"/>
                  <w:noWrap w:val="0"/>
                  <w:vAlign w:val="center"/>
                </w:tcPr>
                <w:p w14:paraId="5D4CD5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《工业企业厂界环境噪声排放标准》（GB12348-2008）</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Cs w:val="21"/>
                      <w:highlight w:val="none"/>
                      <w14:textFill>
                        <w14:solidFill>
                          <w14:schemeClr w14:val="tx1"/>
                        </w14:solidFill>
                      </w14:textFill>
                    </w:rPr>
                    <w:t>类标准</w:t>
                  </w:r>
                </w:p>
              </w:tc>
            </w:tr>
          </w:tbl>
          <w:p w14:paraId="1071FCFC">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4、固体废物</w:t>
            </w:r>
          </w:p>
          <w:p w14:paraId="0C5D14BC">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4.1固体废物产生情况</w:t>
            </w:r>
          </w:p>
          <w:p w14:paraId="1EC23F94">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本项目运营期产生的固体废物主要有生活垃圾、</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废铁等金属</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不可燃物、</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除尘灰、</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车间沉降粉尘、废旧布袋、</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废润滑油、</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废油桶和</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废含油抹布及手套等。按污染特性可分为生活垃圾、一般固体废物和危险废物。</w:t>
            </w:r>
          </w:p>
          <w:p w14:paraId="5EC6B200">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生活垃圾</w:t>
            </w:r>
          </w:p>
          <w:p w14:paraId="237FFCEC">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生活垃圾主要为职工日常办公生活产生的，按每人0.5kg/d计，本项目职工人数为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20</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人，则垃圾日产量为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10</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kg/d，年工作天数为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33</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0天，生活垃圾年产量约为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3.3</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t/a。厂区设分类垃圾收集桶，项目生活垃圾经收集后由环卫部门定期集中清运。</w:t>
            </w:r>
          </w:p>
          <w:p w14:paraId="4C15A51C">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一般固体废物</w:t>
            </w:r>
          </w:p>
          <w:p w14:paraId="01737AF1">
            <w:pPr>
              <w:numPr>
                <w:ilvl w:val="0"/>
                <w:numId w:val="0"/>
              </w:numPr>
              <w:adjustRightInd w:val="0"/>
              <w:snapToGrid w:val="0"/>
              <w:spacing w:line="360" w:lineRule="auto"/>
              <w:ind w:leftChars="0"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废铁金属</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：本项目运营期会产生</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废铁等金属</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。根据建设单位提供资料，产生量为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25.785t/a</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。根据《固体废物分类与代码目录》（生态环境部公告2024年第4号），属于SW17可再生类废物中的废钢铁，代码为900-001-S17。收集后暂存在</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一般固废暂存间</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，统一外售处理</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w:t>
            </w:r>
          </w:p>
          <w:p w14:paraId="4D4920AE">
            <w:pPr>
              <w:numPr>
                <w:ilvl w:val="0"/>
                <w:numId w:val="0"/>
              </w:numPr>
              <w:adjustRightInd w:val="0"/>
              <w:snapToGrid w:val="0"/>
              <w:spacing w:line="360" w:lineRule="auto"/>
              <w:ind w:leftChars="0"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不可燃物：</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本项目运营期会</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产生无法利用的不可燃物</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。根据建设单位提供资料，产生量为</w:t>
            </w:r>
            <w:r>
              <w:rPr>
                <w:rFonts w:hint="eastAsia" w:cs="Times New Roman"/>
                <w:color w:val="000000" w:themeColor="text1"/>
                <w:sz w:val="24"/>
                <w:highlight w:val="none"/>
                <w:lang w:val="en-US" w:eastAsia="zh-CN"/>
                <w14:textFill>
                  <w14:solidFill>
                    <w14:schemeClr w14:val="tx1"/>
                  </w14:solidFill>
                </w14:textFill>
              </w:rPr>
              <w:t>1.27</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t/a</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。收集后暂存在</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一般固废暂存间</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，统一外售处理</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w:t>
            </w:r>
          </w:p>
          <w:p w14:paraId="7A99E869">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除尘灰：本项目运营期</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产生的粉尘通过集气罩和管道收集，</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除尘灰产生量约为</w:t>
            </w:r>
            <w:r>
              <w:rPr>
                <w:rFonts w:hint="eastAsia" w:cs="Times New Roman"/>
                <w:color w:val="000000" w:themeColor="text1"/>
                <w:sz w:val="24"/>
                <w:highlight w:val="none"/>
                <w:lang w:val="en-US" w:eastAsia="zh-CN"/>
                <w14:textFill>
                  <w14:solidFill>
                    <w14:schemeClr w14:val="tx1"/>
                  </w14:solidFill>
                </w14:textFill>
              </w:rPr>
              <w:t>28.412</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t/a，集中收集外售水泥厂作原料</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p>
          <w:p w14:paraId="66954359">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车间沉降粉尘</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：本项目运营期</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原料多数为大块结构，产品为致密型燃料，</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运营期</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部分粉尘在车间内自然沉降，产生量约为</w:t>
            </w:r>
            <w:r>
              <w:rPr>
                <w:rFonts w:hint="eastAsia" w:cs="Times New Roman"/>
                <w:color w:val="000000" w:themeColor="text1"/>
                <w:sz w:val="24"/>
                <w:highlight w:val="none"/>
                <w:lang w:val="en-US" w:eastAsia="zh-CN"/>
                <w14:textFill>
                  <w14:solidFill>
                    <w14:schemeClr w14:val="tx1"/>
                  </w14:solidFill>
                </w14:textFill>
              </w:rPr>
              <w:t>25.823</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t/a，集中收集外售水泥厂作原料</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p>
          <w:p w14:paraId="2276CC14">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废旧布袋：</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根据建设单位提供资料，</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布袋除尘器废旧布袋一年更换一次，废旧布袋产生量约为0.065t/a。</w:t>
            </w:r>
          </w:p>
          <w:p w14:paraId="6DE6D1C3">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危险废物</w:t>
            </w:r>
          </w:p>
          <w:p w14:paraId="773FF778">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废润滑油：根据建设单位提供资料，项目运营过程中</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设备维护保养</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会产生废润滑油，产生量为0.4</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08</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t/a</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根据《国家危险废物名录》（2025年版），属于危险废物（类别为HW08废矿物油与含矿物油废物，其他生产、销售、使用过程中产生的废矿物油及含矿物油废弃包装物，代码为900-249-08）。统一收集后</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暂存于危废贮存库，定期</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交由有资质单位</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处置</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p>
          <w:p w14:paraId="3D2E4A00">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废油桶：根据建设单位提供资料，项目运营过程中</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设备维护保养</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会产生含油包装桶，产生量为0.0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t/a。根据《国家危险废物名录》（2025年版），属于危险废物（类别为HW08废矿物油与含矿物油废物，其他生产、销售、使用过程中产生的废矿物油及含矿物油废弃包装物，代码为900-249-08）。统一收集后</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暂存于危废贮存库，定期</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交由有资质单位</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处置</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p>
          <w:p w14:paraId="49707CF1">
            <w:pPr>
              <w:numPr>
                <w:ilvl w:val="0"/>
                <w:numId w:val="0"/>
              </w:numPr>
              <w:adjustRightInd w:val="0"/>
              <w:snapToGrid w:val="0"/>
              <w:spacing w:line="360" w:lineRule="auto"/>
              <w:ind w:leftChars="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含油抹布及手套：根据建设单位提供资料，项目运营过程中</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设备维护保养</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会产生废含油抹布及手套，产生量约为0.0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t/a</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根据《国家危险废物名录》（2025版），属于危险废物（类别为HW49其他废物，含有或沾染毒性、感染性危险废物的废弃包装物、容器、过滤吸附介质，代码为900-041-49）。统一收集后</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暂存于危废贮存库，定期</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交由有资质单位</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处置</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p>
          <w:p w14:paraId="5803FA12">
            <w:pPr>
              <w:numPr>
                <w:ilvl w:val="0"/>
                <w:numId w:val="0"/>
              </w:numPr>
              <w:adjustRightInd w:val="0"/>
              <w:snapToGrid w:val="0"/>
              <w:spacing w:line="360" w:lineRule="auto"/>
              <w:ind w:firstLine="440" w:firstLineChars="200"/>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t>本项目固体废物产生量及利用处置情况见下表。</w:t>
            </w:r>
          </w:p>
          <w:p w14:paraId="0C53C286">
            <w:pPr>
              <w:numPr>
                <w:ilvl w:val="0"/>
                <w:numId w:val="0"/>
              </w:numPr>
              <w:adjustRightInd w:val="0"/>
              <w:snapToGrid w:val="0"/>
              <w:spacing w:line="240" w:lineRule="auto"/>
              <w:jc w:val="center"/>
              <w:rPr>
                <w:rFonts w:hint="default" w:ascii="Times New Roman" w:hAnsi="Times New Roman" w:eastAsia="宋体" w:cs="Times New Roman"/>
                <w:b/>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kern w:val="0"/>
                <w:szCs w:val="21"/>
                <w:highlight w:val="none"/>
                <w14:textFill>
                  <w14:solidFill>
                    <w14:schemeClr w14:val="tx1"/>
                  </w14:solidFill>
                </w14:textFill>
              </w:rPr>
              <w:t>表</w:t>
            </w:r>
            <w:r>
              <w:rPr>
                <w:rFonts w:hint="default" w:ascii="Times New Roman" w:hAnsi="Times New Roman" w:eastAsia="宋体" w:cs="Times New Roman"/>
                <w:b/>
                <w:color w:val="000000" w:themeColor="text1"/>
                <w:kern w:val="0"/>
                <w:szCs w:val="21"/>
                <w:highlight w:val="none"/>
                <w:lang w:val="en-US" w:eastAsia="zh-CN"/>
                <w14:textFill>
                  <w14:solidFill>
                    <w14:schemeClr w14:val="tx1"/>
                  </w14:solidFill>
                </w14:textFill>
              </w:rPr>
              <w:t>4-10</w:t>
            </w:r>
            <w:r>
              <w:rPr>
                <w:rFonts w:hint="eastAsia" w:cs="Times New Roman"/>
                <w:b/>
                <w:color w:val="000000" w:themeColor="text1"/>
                <w:kern w:val="0"/>
                <w:szCs w:val="21"/>
                <w:highlight w:val="none"/>
                <w:lang w:val="en-US" w:eastAsia="zh-CN"/>
                <w14:textFill>
                  <w14:solidFill>
                    <w14:schemeClr w14:val="tx1"/>
                  </w14:solidFill>
                </w14:textFill>
              </w:rPr>
              <w:t xml:space="preserve"> </w:t>
            </w:r>
            <w:r>
              <w:rPr>
                <w:rFonts w:hint="default" w:ascii="Times New Roman" w:hAnsi="Times New Roman" w:eastAsia="宋体" w:cs="Times New Roman"/>
                <w:b/>
                <w:color w:val="000000" w:themeColor="text1"/>
                <w:kern w:val="0"/>
                <w:szCs w:val="21"/>
                <w:highlight w:val="none"/>
                <w:lang w:val="en-US" w:eastAsia="zh-CN"/>
                <w14:textFill>
                  <w14:solidFill>
                    <w14:schemeClr w14:val="tx1"/>
                  </w14:solidFill>
                </w14:textFill>
              </w:rPr>
              <w:t>固体废物产生量及利用处置情况一览表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46"/>
              <w:gridCol w:w="941"/>
              <w:gridCol w:w="914"/>
              <w:gridCol w:w="2102"/>
              <w:gridCol w:w="1024"/>
              <w:gridCol w:w="2187"/>
            </w:tblGrid>
            <w:tr w14:paraId="04A92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6" w:type="pct"/>
                  <w:tcBorders>
                    <w:top w:val="single" w:color="auto" w:sz="4" w:space="0"/>
                    <w:left w:val="single" w:color="auto" w:sz="4" w:space="0"/>
                    <w:bottom w:val="single" w:color="auto" w:sz="4" w:space="0"/>
                    <w:right w:val="single" w:color="auto" w:sz="4" w:space="0"/>
                  </w:tcBorders>
                  <w:noWrap w:val="0"/>
                  <w:vAlign w:val="center"/>
                </w:tcPr>
                <w:p w14:paraId="5CAB0C3F">
                  <w:pPr>
                    <w:jc w:val="center"/>
                    <w:rPr>
                      <w:rFonts w:hint="default" w:ascii="Times New Roman" w:hAnsi="Times New Roman" w:eastAsia="宋体" w:cs="Times New Roman"/>
                      <w:b/>
                      <w:bCs w:val="0"/>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 w:val="21"/>
                      <w:szCs w:val="21"/>
                      <w:highlight w:val="none"/>
                      <w14:textFill>
                        <w14:solidFill>
                          <w14:schemeClr w14:val="tx1"/>
                        </w14:solidFill>
                      </w14:textFill>
                    </w:rPr>
                    <w:t>固废名称</w:t>
                  </w:r>
                </w:p>
              </w:tc>
              <w:tc>
                <w:tcPr>
                  <w:tcW w:w="572" w:type="pct"/>
                  <w:tcBorders>
                    <w:top w:val="single" w:color="auto" w:sz="4" w:space="0"/>
                    <w:left w:val="single" w:color="auto" w:sz="4" w:space="0"/>
                    <w:bottom w:val="single" w:color="auto" w:sz="4" w:space="0"/>
                    <w:right w:val="single" w:color="auto" w:sz="4" w:space="0"/>
                  </w:tcBorders>
                  <w:noWrap w:val="0"/>
                  <w:vAlign w:val="center"/>
                </w:tcPr>
                <w:p w14:paraId="45FE6ED9">
                  <w:pPr>
                    <w:jc w:val="center"/>
                    <w:rPr>
                      <w:rFonts w:hint="default" w:ascii="Times New Roman" w:hAnsi="Times New Roman" w:eastAsia="宋体" w:cs="Times New Roman"/>
                      <w:b/>
                      <w:bCs w:val="0"/>
                      <w:color w:val="000000" w:themeColor="text1"/>
                      <w:kern w:val="0"/>
                      <w:sz w:val="21"/>
                      <w:szCs w:val="21"/>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kern w:val="0"/>
                      <w:sz w:val="21"/>
                      <w:szCs w:val="21"/>
                      <w:highlight w:val="none"/>
                      <w14:textFill>
                        <w14:solidFill>
                          <w14:schemeClr w14:val="tx1"/>
                        </w14:solidFill>
                      </w14:textFill>
                    </w:rPr>
                    <w:t>产生</w:t>
                  </w:r>
                  <w:r>
                    <w:rPr>
                      <w:rFonts w:hint="default" w:ascii="Times New Roman" w:hAnsi="Times New Roman" w:eastAsia="宋体" w:cs="Times New Roman"/>
                      <w:b/>
                      <w:bCs w:val="0"/>
                      <w:color w:val="000000" w:themeColor="text1"/>
                      <w:kern w:val="0"/>
                      <w:sz w:val="21"/>
                      <w:szCs w:val="21"/>
                      <w:highlight w:val="none"/>
                      <w:lang w:val="en-US" w:eastAsia="zh-CN"/>
                      <w14:textFill>
                        <w14:solidFill>
                          <w14:schemeClr w14:val="tx1"/>
                        </w14:solidFill>
                      </w14:textFill>
                    </w:rPr>
                    <w:t>环节</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10D2D5A8">
                  <w:pPr>
                    <w:jc w:val="center"/>
                    <w:rPr>
                      <w:rFonts w:hint="default" w:ascii="Times New Roman" w:hAnsi="Times New Roman" w:eastAsia="宋体" w:cs="Times New Roman"/>
                      <w:b/>
                      <w:bCs w:val="0"/>
                      <w:color w:val="000000" w:themeColor="text1"/>
                      <w:kern w:val="0"/>
                      <w:sz w:val="21"/>
                      <w:szCs w:val="21"/>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kern w:val="0"/>
                      <w:sz w:val="21"/>
                      <w:szCs w:val="21"/>
                      <w:highlight w:val="none"/>
                      <w:lang w:val="en-US" w:eastAsia="zh-CN"/>
                      <w14:textFill>
                        <w14:solidFill>
                          <w14:schemeClr w14:val="tx1"/>
                        </w14:solidFill>
                      </w14:textFill>
                    </w:rPr>
                    <w:t>物理性状</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19954A12">
                  <w:pPr>
                    <w:jc w:val="center"/>
                    <w:rPr>
                      <w:rFonts w:hint="default" w:ascii="Times New Roman" w:hAnsi="Times New Roman" w:eastAsia="宋体" w:cs="Times New Roman"/>
                      <w:b/>
                      <w:bCs w:val="0"/>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b/>
                      <w:bCs w:val="0"/>
                      <w:color w:val="000000" w:themeColor="text1"/>
                      <w:kern w:val="0"/>
                      <w:sz w:val="21"/>
                      <w:szCs w:val="21"/>
                      <w:highlight w:val="none"/>
                      <w14:textFill>
                        <w14:solidFill>
                          <w14:schemeClr w14:val="tx1"/>
                        </w14:solidFill>
                      </w14:textFill>
                    </w:rPr>
                    <w:t>属性</w:t>
                  </w:r>
                  <w:r>
                    <w:rPr>
                      <w:rFonts w:hint="default" w:ascii="Times New Roman" w:hAnsi="Times New Roman" w:eastAsia="宋体" w:cs="Times New Roman"/>
                      <w:b/>
                      <w:bCs w:val="0"/>
                      <w:color w:val="000000" w:themeColor="text1"/>
                      <w:kern w:val="0"/>
                      <w:sz w:val="21"/>
                      <w:szCs w:val="21"/>
                      <w:highlight w:val="none"/>
                      <w:lang w:val="en-US" w:eastAsia="zh-CN"/>
                      <w14:textFill>
                        <w14:solidFill>
                          <w14:schemeClr w14:val="tx1"/>
                        </w14:solidFill>
                      </w14:textFill>
                    </w:rPr>
                    <w:t>及代码</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3BE52F7F">
                  <w:pPr>
                    <w:jc w:val="center"/>
                    <w:rPr>
                      <w:rFonts w:hint="default" w:ascii="Times New Roman" w:hAnsi="Times New Roman" w:eastAsia="宋体" w:cs="Times New Roman"/>
                      <w:b/>
                      <w:bCs w:val="0"/>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 w:val="21"/>
                      <w:szCs w:val="21"/>
                      <w:highlight w:val="none"/>
                      <w14:textFill>
                        <w14:solidFill>
                          <w14:schemeClr w14:val="tx1"/>
                        </w14:solidFill>
                      </w14:textFill>
                    </w:rPr>
                    <w:t>产生量</w:t>
                  </w:r>
                  <w:r>
                    <w:rPr>
                      <w:rFonts w:hint="eastAsia" w:cs="Times New Roman"/>
                      <w:b/>
                      <w:bCs w:val="0"/>
                      <w:color w:val="000000" w:themeColor="text1"/>
                      <w:kern w:val="0"/>
                      <w:sz w:val="21"/>
                      <w:szCs w:val="21"/>
                      <w:highlight w:val="none"/>
                      <w:lang w:eastAsia="zh-CN"/>
                      <w14:textFill>
                        <w14:solidFill>
                          <w14:schemeClr w14:val="tx1"/>
                        </w14:solidFill>
                      </w14:textFill>
                    </w:rPr>
                    <w:t>（</w:t>
                  </w:r>
                  <w:r>
                    <w:rPr>
                      <w:rFonts w:hint="eastAsia" w:cs="Times New Roman"/>
                      <w:b/>
                      <w:bCs w:val="0"/>
                      <w:color w:val="000000" w:themeColor="text1"/>
                      <w:kern w:val="0"/>
                      <w:sz w:val="21"/>
                      <w:szCs w:val="21"/>
                      <w:highlight w:val="none"/>
                      <w:lang w:val="en-US" w:eastAsia="zh-CN"/>
                      <w14:textFill>
                        <w14:solidFill>
                          <w14:schemeClr w14:val="tx1"/>
                        </w14:solidFill>
                      </w14:textFill>
                    </w:rPr>
                    <w:t>t/a</w:t>
                  </w:r>
                  <w:r>
                    <w:rPr>
                      <w:rFonts w:hint="eastAsia" w:cs="Times New Roman"/>
                      <w:b/>
                      <w:bCs w:val="0"/>
                      <w:color w:val="000000" w:themeColor="text1"/>
                      <w:kern w:val="0"/>
                      <w:sz w:val="21"/>
                      <w:szCs w:val="21"/>
                      <w:highlight w:val="none"/>
                      <w:lang w:eastAsia="zh-CN"/>
                      <w14:textFill>
                        <w14:solidFill>
                          <w14:schemeClr w14:val="tx1"/>
                        </w14:solidFill>
                      </w14:textFill>
                    </w:rPr>
                    <w:t>）</w:t>
                  </w:r>
                </w:p>
              </w:tc>
              <w:tc>
                <w:tcPr>
                  <w:tcW w:w="1331" w:type="pct"/>
                  <w:tcBorders>
                    <w:top w:val="single" w:color="auto" w:sz="4" w:space="0"/>
                    <w:left w:val="single" w:color="auto" w:sz="4" w:space="0"/>
                    <w:bottom w:val="single" w:color="auto" w:sz="4" w:space="0"/>
                    <w:right w:val="single" w:color="auto" w:sz="4" w:space="0"/>
                  </w:tcBorders>
                  <w:noWrap w:val="0"/>
                  <w:vAlign w:val="center"/>
                </w:tcPr>
                <w:p w14:paraId="007208A2">
                  <w:pPr>
                    <w:jc w:val="center"/>
                    <w:rPr>
                      <w:rFonts w:hint="default" w:ascii="Times New Roman" w:hAnsi="Times New Roman" w:eastAsia="宋体" w:cs="Times New Roman"/>
                      <w:b/>
                      <w:bCs w:val="0"/>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b/>
                      <w:bCs w:val="0"/>
                      <w:color w:val="000000" w:themeColor="text1"/>
                      <w:kern w:val="0"/>
                      <w:sz w:val="21"/>
                      <w:szCs w:val="21"/>
                      <w:highlight w:val="none"/>
                      <w14:textFill>
                        <w14:solidFill>
                          <w14:schemeClr w14:val="tx1"/>
                        </w14:solidFill>
                      </w14:textFill>
                    </w:rPr>
                    <w:t>利用处置方式</w:t>
                  </w:r>
                </w:p>
              </w:tc>
            </w:tr>
            <w:tr w14:paraId="0675F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6" w:type="pct"/>
                  <w:tcBorders>
                    <w:top w:val="single" w:color="auto" w:sz="4" w:space="0"/>
                    <w:left w:val="single" w:color="auto" w:sz="4" w:space="0"/>
                    <w:bottom w:val="single" w:color="auto" w:sz="4" w:space="0"/>
                    <w:right w:val="single" w:color="auto" w:sz="4" w:space="0"/>
                  </w:tcBorders>
                  <w:noWrap w:val="0"/>
                  <w:vAlign w:val="center"/>
                </w:tcPr>
                <w:p w14:paraId="34D8AD33">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生活垃圾</w:t>
                  </w:r>
                </w:p>
              </w:tc>
              <w:tc>
                <w:tcPr>
                  <w:tcW w:w="572" w:type="pct"/>
                  <w:tcBorders>
                    <w:top w:val="single" w:color="auto" w:sz="4" w:space="0"/>
                    <w:left w:val="single" w:color="auto" w:sz="4" w:space="0"/>
                    <w:bottom w:val="single" w:color="auto" w:sz="4" w:space="0"/>
                    <w:right w:val="single" w:color="auto" w:sz="4" w:space="0"/>
                  </w:tcBorders>
                  <w:noWrap w:val="0"/>
                  <w:vAlign w:val="center"/>
                </w:tcPr>
                <w:p w14:paraId="7BE55D1C">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生活办公</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0166AAC0">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23ECE1A3">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5B4585FE">
                  <w:pPr>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t>3.3</w:t>
                  </w:r>
                </w:p>
              </w:tc>
              <w:tc>
                <w:tcPr>
                  <w:tcW w:w="1331" w:type="pct"/>
                  <w:tcBorders>
                    <w:top w:val="single" w:color="auto" w:sz="4" w:space="0"/>
                    <w:left w:val="single" w:color="auto" w:sz="4" w:space="0"/>
                    <w:bottom w:val="single" w:color="auto" w:sz="4" w:space="0"/>
                    <w:right w:val="single" w:color="auto" w:sz="4" w:space="0"/>
                  </w:tcBorders>
                  <w:noWrap w:val="0"/>
                  <w:vAlign w:val="center"/>
                </w:tcPr>
                <w:p w14:paraId="6A914235">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收集后由环卫部门定期集中清运</w:t>
                  </w:r>
                </w:p>
              </w:tc>
            </w:tr>
            <w:tr w14:paraId="4C7FB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6" w:type="pct"/>
                  <w:tcBorders>
                    <w:top w:val="single" w:color="auto" w:sz="4" w:space="0"/>
                    <w:left w:val="single" w:color="auto" w:sz="4" w:space="0"/>
                    <w:bottom w:val="single" w:color="auto" w:sz="4" w:space="0"/>
                    <w:right w:val="single" w:color="auto" w:sz="4" w:space="0"/>
                  </w:tcBorders>
                  <w:noWrap w:val="0"/>
                  <w:vAlign w:val="center"/>
                </w:tcPr>
                <w:p w14:paraId="215EF7BB">
                  <w:pPr>
                    <w:jc w:val="cente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废铁等</w:t>
                  </w:r>
                </w:p>
                <w:p w14:paraId="4C27AC28">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金属</w:t>
                  </w:r>
                </w:p>
              </w:tc>
              <w:tc>
                <w:tcPr>
                  <w:tcW w:w="572" w:type="pct"/>
                  <w:tcBorders>
                    <w:top w:val="single" w:color="auto" w:sz="4" w:space="0"/>
                    <w:left w:val="single" w:color="auto" w:sz="4" w:space="0"/>
                    <w:right w:val="single" w:color="auto" w:sz="4" w:space="0"/>
                  </w:tcBorders>
                  <w:noWrap w:val="0"/>
                  <w:vAlign w:val="center"/>
                </w:tcPr>
                <w:p w14:paraId="435E7669">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磁选工序</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0417EE97">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1012096F">
                  <w:pPr>
                    <w:jc w:val="cente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900-001-S17</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074C4348">
                  <w:pPr>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r>
                    <w:rPr>
                      <w:rFonts w:hint="eastAsia" w:cs="Times New Roman"/>
                      <w:b w:val="0"/>
                      <w:bCs w:val="0"/>
                      <w:color w:val="000000" w:themeColor="text1"/>
                      <w:kern w:val="0"/>
                      <w:sz w:val="21"/>
                      <w:szCs w:val="21"/>
                      <w:highlight w:val="none"/>
                      <w:lang w:val="en-US" w:eastAsia="zh-CN"/>
                      <w14:textFill>
                        <w14:solidFill>
                          <w14:schemeClr w14:val="tx1"/>
                        </w14:solidFill>
                      </w14:textFill>
                    </w:rPr>
                    <w:t>25.785</w:t>
                  </w:r>
                </w:p>
              </w:tc>
              <w:tc>
                <w:tcPr>
                  <w:tcW w:w="1331" w:type="pct"/>
                  <w:vMerge w:val="restart"/>
                  <w:tcBorders>
                    <w:top w:val="single" w:color="auto" w:sz="4" w:space="0"/>
                    <w:left w:val="single" w:color="auto" w:sz="4" w:space="0"/>
                    <w:right w:val="single" w:color="auto" w:sz="4" w:space="0"/>
                  </w:tcBorders>
                  <w:noWrap w:val="0"/>
                  <w:vAlign w:val="center"/>
                </w:tcPr>
                <w:p w14:paraId="528B8320">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收集后</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暂存在</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一般固废暂存间</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统一外售处理</w:t>
                  </w:r>
                </w:p>
              </w:tc>
            </w:tr>
            <w:tr w14:paraId="67FCC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6" w:type="pct"/>
                  <w:tcBorders>
                    <w:top w:val="single" w:color="auto" w:sz="4" w:space="0"/>
                    <w:left w:val="single" w:color="auto" w:sz="4" w:space="0"/>
                    <w:bottom w:val="single" w:color="auto" w:sz="4" w:space="0"/>
                    <w:right w:val="single" w:color="auto" w:sz="4" w:space="0"/>
                  </w:tcBorders>
                  <w:noWrap w:val="0"/>
                  <w:vAlign w:val="center"/>
                </w:tcPr>
                <w:p w14:paraId="3084D884">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不可燃物</w:t>
                  </w:r>
                </w:p>
              </w:tc>
              <w:tc>
                <w:tcPr>
                  <w:tcW w:w="572" w:type="pct"/>
                  <w:tcBorders>
                    <w:top w:val="single" w:color="auto" w:sz="4" w:space="0"/>
                    <w:left w:val="single" w:color="auto" w:sz="4" w:space="0"/>
                    <w:right w:val="single" w:color="auto" w:sz="4" w:space="0"/>
                  </w:tcBorders>
                  <w:noWrap w:val="0"/>
                  <w:vAlign w:val="center"/>
                </w:tcPr>
                <w:p w14:paraId="3D220D63">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上料工序</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3F35398B">
                  <w:pPr>
                    <w:jc w:val="cente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51CD1F2D">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75EB518E">
                  <w:pPr>
                    <w:jc w:val="center"/>
                    <w:rPr>
                      <w:rFonts w:hint="default" w:cs="Times New Roman"/>
                      <w:b w:val="0"/>
                      <w:bCs w:val="0"/>
                      <w:color w:val="000000" w:themeColor="text1"/>
                      <w:kern w:val="0"/>
                      <w:sz w:val="21"/>
                      <w:szCs w:val="21"/>
                      <w:highlight w:val="none"/>
                      <w:lang w:val="en-US" w:eastAsia="zh-CN"/>
                      <w14:textFill>
                        <w14:solidFill>
                          <w14:schemeClr w14:val="tx1"/>
                        </w14:solidFill>
                      </w14:textFill>
                    </w:rPr>
                  </w:pPr>
                  <w:r>
                    <w:rPr>
                      <w:rFonts w:hint="eastAsia" w:cs="Times New Roman"/>
                      <w:b w:val="0"/>
                      <w:bCs w:val="0"/>
                      <w:color w:val="000000" w:themeColor="text1"/>
                      <w:kern w:val="0"/>
                      <w:sz w:val="21"/>
                      <w:szCs w:val="21"/>
                      <w:highlight w:val="none"/>
                      <w:lang w:val="en-US" w:eastAsia="zh-CN"/>
                      <w14:textFill>
                        <w14:solidFill>
                          <w14:schemeClr w14:val="tx1"/>
                        </w14:solidFill>
                      </w14:textFill>
                    </w:rPr>
                    <w:t>1.27</w:t>
                  </w:r>
                </w:p>
              </w:tc>
              <w:tc>
                <w:tcPr>
                  <w:tcW w:w="1331" w:type="pct"/>
                  <w:vMerge w:val="continue"/>
                  <w:tcBorders>
                    <w:left w:val="single" w:color="auto" w:sz="4" w:space="0"/>
                    <w:right w:val="single" w:color="auto" w:sz="4" w:space="0"/>
                  </w:tcBorders>
                  <w:noWrap w:val="0"/>
                  <w:vAlign w:val="center"/>
                </w:tcPr>
                <w:p w14:paraId="4BCA08EB">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r w14:paraId="05A9A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6" w:type="pct"/>
                  <w:tcBorders>
                    <w:top w:val="single" w:color="auto" w:sz="4" w:space="0"/>
                    <w:left w:val="single" w:color="auto" w:sz="4" w:space="0"/>
                    <w:bottom w:val="single" w:color="auto" w:sz="4" w:space="0"/>
                    <w:right w:val="single" w:color="auto" w:sz="4" w:space="0"/>
                  </w:tcBorders>
                  <w:noWrap w:val="0"/>
                  <w:vAlign w:val="center"/>
                </w:tcPr>
                <w:p w14:paraId="35726197">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除尘灰</w:t>
                  </w:r>
                </w:p>
              </w:tc>
              <w:tc>
                <w:tcPr>
                  <w:tcW w:w="572" w:type="pct"/>
                  <w:vMerge w:val="restart"/>
                  <w:tcBorders>
                    <w:top w:val="single" w:color="auto" w:sz="4" w:space="0"/>
                    <w:left w:val="single" w:color="auto" w:sz="4" w:space="0"/>
                    <w:right w:val="single" w:color="auto" w:sz="4" w:space="0"/>
                  </w:tcBorders>
                  <w:noWrap w:val="0"/>
                  <w:vAlign w:val="center"/>
                </w:tcPr>
                <w:p w14:paraId="6B885CB6">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上料、破碎和打包</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工序</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225DEB01">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固态</w:t>
                  </w:r>
                </w:p>
              </w:tc>
              <w:tc>
                <w:tcPr>
                  <w:tcW w:w="1279" w:type="pct"/>
                  <w:vMerge w:val="restart"/>
                  <w:tcBorders>
                    <w:top w:val="single" w:color="auto" w:sz="4" w:space="0"/>
                    <w:left w:val="single" w:color="auto" w:sz="4" w:space="0"/>
                    <w:right w:val="single" w:color="auto" w:sz="4" w:space="0"/>
                  </w:tcBorders>
                  <w:noWrap w:val="0"/>
                  <w:vAlign w:val="center"/>
                </w:tcPr>
                <w:p w14:paraId="34870104">
                  <w:pPr>
                    <w:jc w:val="cente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403E61BA">
                  <w:pPr>
                    <w:jc w:val="center"/>
                    <w:rPr>
                      <w:rFonts w:hint="default" w:ascii="Times New Roman" w:hAnsi="Times New Roman" w:eastAsia="宋体" w:cs="Times New Roman"/>
                      <w:b w:val="0"/>
                      <w:bCs w:val="0"/>
                      <w:color w:val="000000" w:themeColor="text1"/>
                      <w:kern w:val="0"/>
                      <w:sz w:val="21"/>
                      <w:szCs w:val="21"/>
                      <w:highlight w:val="none"/>
                      <w:lang w:val="en-US" w:eastAsia="zh-CN" w:bidi="ar-SA"/>
                      <w14:textFill>
                        <w14:solidFill>
                          <w14:schemeClr w14:val="tx1"/>
                        </w14:solidFill>
                      </w14:textFill>
                    </w:rPr>
                  </w:pPr>
                  <w:r>
                    <w:rPr>
                      <w:rFonts w:hint="eastAsia" w:cs="Times New Roman"/>
                      <w:b w:val="0"/>
                      <w:bCs w:val="0"/>
                      <w:color w:val="000000" w:themeColor="text1"/>
                      <w:kern w:val="0"/>
                      <w:sz w:val="21"/>
                      <w:szCs w:val="21"/>
                      <w:highlight w:val="none"/>
                      <w:lang w:val="en-US" w:eastAsia="zh-CN" w:bidi="ar-SA"/>
                      <w14:textFill>
                        <w14:solidFill>
                          <w14:schemeClr w14:val="tx1"/>
                        </w14:solidFill>
                      </w14:textFill>
                    </w:rPr>
                    <w:t>28.412</w:t>
                  </w:r>
                </w:p>
              </w:tc>
              <w:tc>
                <w:tcPr>
                  <w:tcW w:w="1331" w:type="pct"/>
                  <w:vMerge w:val="restart"/>
                  <w:tcBorders>
                    <w:left w:val="single" w:color="auto" w:sz="4" w:space="0"/>
                    <w:right w:val="single" w:color="auto" w:sz="4" w:space="0"/>
                  </w:tcBorders>
                  <w:noWrap w:val="0"/>
                  <w:vAlign w:val="center"/>
                </w:tcPr>
                <w:p w14:paraId="7394158F">
                  <w:pPr>
                    <w:jc w:val="center"/>
                    <w:rPr>
                      <w:rFonts w:hint="default" w:ascii="Times New Roman" w:hAnsi="Times New Roman" w:eastAsia="宋体" w:cs="Times New Roman"/>
                      <w:color w:val="000000" w:themeColor="text1"/>
                      <w:kern w:val="0"/>
                      <w:sz w:val="21"/>
                      <w:szCs w:val="21"/>
                      <w:highlight w:val="none"/>
                      <w:lang w:val="en-US"/>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集中收集外售水泥厂作原料</w:t>
                  </w:r>
                </w:p>
              </w:tc>
            </w:tr>
            <w:tr w14:paraId="0755B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6" w:type="pct"/>
                  <w:tcBorders>
                    <w:top w:val="single" w:color="auto" w:sz="4" w:space="0"/>
                    <w:left w:val="single" w:color="auto" w:sz="4" w:space="0"/>
                    <w:right w:val="single" w:color="auto" w:sz="4" w:space="0"/>
                  </w:tcBorders>
                  <w:noWrap w:val="0"/>
                  <w:vAlign w:val="center"/>
                </w:tcPr>
                <w:p w14:paraId="67618E4E">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车间沉降粉尘</w:t>
                  </w:r>
                </w:p>
              </w:tc>
              <w:tc>
                <w:tcPr>
                  <w:tcW w:w="572" w:type="pct"/>
                  <w:vMerge w:val="continue"/>
                  <w:tcBorders>
                    <w:left w:val="single" w:color="auto" w:sz="4" w:space="0"/>
                    <w:right w:val="single" w:color="auto" w:sz="4" w:space="0"/>
                  </w:tcBorders>
                  <w:noWrap w:val="0"/>
                  <w:vAlign w:val="center"/>
                </w:tcPr>
                <w:p w14:paraId="4097074E">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c>
                <w:tcPr>
                  <w:tcW w:w="556" w:type="pct"/>
                  <w:tcBorders>
                    <w:top w:val="single" w:color="auto" w:sz="4" w:space="0"/>
                    <w:left w:val="single" w:color="auto" w:sz="4" w:space="0"/>
                    <w:right w:val="single" w:color="auto" w:sz="4" w:space="0"/>
                  </w:tcBorders>
                  <w:noWrap w:val="0"/>
                  <w:vAlign w:val="center"/>
                </w:tcPr>
                <w:p w14:paraId="3512D617">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固态</w:t>
                  </w:r>
                </w:p>
              </w:tc>
              <w:tc>
                <w:tcPr>
                  <w:tcW w:w="1279" w:type="pct"/>
                  <w:vMerge w:val="continue"/>
                  <w:tcBorders>
                    <w:left w:val="single" w:color="auto" w:sz="4" w:space="0"/>
                    <w:right w:val="single" w:color="auto" w:sz="4" w:space="0"/>
                  </w:tcBorders>
                  <w:noWrap w:val="0"/>
                  <w:vAlign w:val="center"/>
                </w:tcPr>
                <w:p w14:paraId="0816BA66">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c>
                <w:tcPr>
                  <w:tcW w:w="623" w:type="pct"/>
                  <w:tcBorders>
                    <w:top w:val="single" w:color="auto" w:sz="4" w:space="0"/>
                    <w:left w:val="single" w:color="auto" w:sz="4" w:space="0"/>
                    <w:right w:val="single" w:color="auto" w:sz="4" w:space="0"/>
                  </w:tcBorders>
                  <w:noWrap w:val="0"/>
                  <w:vAlign w:val="center"/>
                </w:tcPr>
                <w:p w14:paraId="07E49841">
                  <w:pPr>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r>
                    <w:rPr>
                      <w:rFonts w:hint="eastAsia" w:cs="Times New Roman"/>
                      <w:b w:val="0"/>
                      <w:bCs w:val="0"/>
                      <w:color w:val="000000" w:themeColor="text1"/>
                      <w:kern w:val="0"/>
                      <w:sz w:val="21"/>
                      <w:szCs w:val="21"/>
                      <w:highlight w:val="none"/>
                      <w:lang w:val="en-US" w:eastAsia="zh-CN"/>
                      <w14:textFill>
                        <w14:solidFill>
                          <w14:schemeClr w14:val="tx1"/>
                        </w14:solidFill>
                      </w14:textFill>
                    </w:rPr>
                    <w:t>25.823</w:t>
                  </w:r>
                </w:p>
              </w:tc>
              <w:tc>
                <w:tcPr>
                  <w:tcW w:w="1331" w:type="pct"/>
                  <w:vMerge w:val="continue"/>
                  <w:tcBorders>
                    <w:left w:val="single" w:color="auto" w:sz="4" w:space="0"/>
                    <w:right w:val="single" w:color="auto" w:sz="4" w:space="0"/>
                  </w:tcBorders>
                  <w:noWrap w:val="0"/>
                  <w:vAlign w:val="center"/>
                </w:tcPr>
                <w:p w14:paraId="3E901B25">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r w14:paraId="17FEE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6" w:type="pct"/>
                  <w:tcBorders>
                    <w:top w:val="single" w:color="auto" w:sz="4" w:space="0"/>
                    <w:left w:val="single" w:color="auto" w:sz="4" w:space="0"/>
                    <w:right w:val="single" w:color="auto" w:sz="4" w:space="0"/>
                  </w:tcBorders>
                  <w:noWrap w:val="0"/>
                  <w:vAlign w:val="center"/>
                </w:tcPr>
                <w:p w14:paraId="0334E8CC">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废旧布袋</w:t>
                  </w:r>
                </w:p>
              </w:tc>
              <w:tc>
                <w:tcPr>
                  <w:tcW w:w="572" w:type="pct"/>
                  <w:tcBorders>
                    <w:left w:val="single" w:color="auto" w:sz="4" w:space="0"/>
                    <w:right w:val="single" w:color="auto" w:sz="4" w:space="0"/>
                  </w:tcBorders>
                  <w:noWrap w:val="0"/>
                  <w:vAlign w:val="center"/>
                </w:tcPr>
                <w:p w14:paraId="4D00A028">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粉尘治理</w:t>
                  </w:r>
                </w:p>
              </w:tc>
              <w:tc>
                <w:tcPr>
                  <w:tcW w:w="556" w:type="pct"/>
                  <w:tcBorders>
                    <w:top w:val="single" w:color="auto" w:sz="4" w:space="0"/>
                    <w:left w:val="single" w:color="auto" w:sz="4" w:space="0"/>
                    <w:right w:val="single" w:color="auto" w:sz="4" w:space="0"/>
                  </w:tcBorders>
                  <w:noWrap w:val="0"/>
                  <w:vAlign w:val="center"/>
                </w:tcPr>
                <w:p w14:paraId="7632000F">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固态</w:t>
                  </w:r>
                </w:p>
              </w:tc>
              <w:tc>
                <w:tcPr>
                  <w:tcW w:w="1279" w:type="pct"/>
                  <w:tcBorders>
                    <w:left w:val="single" w:color="auto" w:sz="4" w:space="0"/>
                    <w:right w:val="single" w:color="auto" w:sz="4" w:space="0"/>
                  </w:tcBorders>
                  <w:noWrap w:val="0"/>
                  <w:vAlign w:val="center"/>
                </w:tcPr>
                <w:p w14:paraId="5F1D32D6">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c>
                <w:tcPr>
                  <w:tcW w:w="623" w:type="pct"/>
                  <w:tcBorders>
                    <w:top w:val="single" w:color="auto" w:sz="4" w:space="0"/>
                    <w:left w:val="single" w:color="auto" w:sz="4" w:space="0"/>
                    <w:right w:val="single" w:color="auto" w:sz="4" w:space="0"/>
                  </w:tcBorders>
                  <w:noWrap w:val="0"/>
                  <w:vAlign w:val="center"/>
                </w:tcPr>
                <w:p w14:paraId="7E41C290">
                  <w:pPr>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t>0.065</w:t>
                  </w:r>
                </w:p>
              </w:tc>
              <w:tc>
                <w:tcPr>
                  <w:tcW w:w="1331" w:type="pct"/>
                  <w:tcBorders>
                    <w:left w:val="single" w:color="auto" w:sz="4" w:space="0"/>
                    <w:right w:val="single" w:color="auto" w:sz="4" w:space="0"/>
                  </w:tcBorders>
                  <w:noWrap w:val="0"/>
                  <w:vAlign w:val="center"/>
                </w:tcPr>
                <w:p w14:paraId="7FF004E2">
                  <w:pPr>
                    <w:jc w:val="cente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回用于生产</w:t>
                  </w:r>
                </w:p>
              </w:tc>
            </w:tr>
            <w:tr w14:paraId="4B0EB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6" w:type="pct"/>
                  <w:tcBorders>
                    <w:top w:val="single" w:color="auto" w:sz="4" w:space="0"/>
                    <w:left w:val="single" w:color="auto" w:sz="4" w:space="0"/>
                    <w:bottom w:val="single" w:color="auto" w:sz="4" w:space="0"/>
                    <w:right w:val="single" w:color="auto" w:sz="4" w:space="0"/>
                  </w:tcBorders>
                  <w:noWrap w:val="0"/>
                  <w:vAlign w:val="center"/>
                </w:tcPr>
                <w:p w14:paraId="3AE95EDE">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废</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润滑油</w:t>
                  </w:r>
                </w:p>
              </w:tc>
              <w:tc>
                <w:tcPr>
                  <w:tcW w:w="572" w:type="pct"/>
                  <w:vMerge w:val="restart"/>
                  <w:tcBorders>
                    <w:left w:val="single" w:color="auto" w:sz="4" w:space="0"/>
                    <w:right w:val="single" w:color="auto" w:sz="4" w:space="0"/>
                  </w:tcBorders>
                  <w:noWrap w:val="0"/>
                  <w:vAlign w:val="center"/>
                </w:tcPr>
                <w:p w14:paraId="241C207C">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维护及</w:t>
                  </w:r>
                </w:p>
                <w:p w14:paraId="6A8B3A4C">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生产工序</w:t>
                  </w:r>
                </w:p>
              </w:tc>
              <w:tc>
                <w:tcPr>
                  <w:tcW w:w="556" w:type="pct"/>
                  <w:tcBorders>
                    <w:top w:val="single" w:color="auto" w:sz="4" w:space="0"/>
                    <w:left w:val="single" w:color="auto" w:sz="4" w:space="0"/>
                    <w:bottom w:val="single" w:color="auto" w:sz="4" w:space="0"/>
                    <w:right w:val="single" w:color="auto" w:sz="4" w:space="0"/>
                  </w:tcBorders>
                  <w:noWrap w:val="0"/>
                  <w:vAlign w:val="center"/>
                </w:tcPr>
                <w:p w14:paraId="5B895138">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液态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15C2819A">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危险废物HW08</w:t>
                  </w:r>
                </w:p>
                <w:p w14:paraId="48C28A3F">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900-249-08</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7116BC49">
                  <w:pPr>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t>0.408</w:t>
                  </w:r>
                </w:p>
              </w:tc>
              <w:tc>
                <w:tcPr>
                  <w:tcW w:w="1331" w:type="pct"/>
                  <w:vMerge w:val="restart"/>
                  <w:tcBorders>
                    <w:left w:val="single" w:color="auto" w:sz="4" w:space="0"/>
                    <w:right w:val="single" w:color="auto" w:sz="4" w:space="0"/>
                  </w:tcBorders>
                  <w:noWrap w:val="0"/>
                  <w:vAlign w:val="center"/>
                </w:tcPr>
                <w:p w14:paraId="056C6259">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统一收集后</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暂存于危废贮存库，定期</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交由有</w:t>
                  </w:r>
                </w:p>
                <w:p w14:paraId="7448EED8">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资质单位</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处置</w:t>
                  </w:r>
                </w:p>
              </w:tc>
            </w:tr>
            <w:tr w14:paraId="6AA11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6" w:type="pct"/>
                  <w:tcBorders>
                    <w:top w:val="single" w:color="auto" w:sz="4" w:space="0"/>
                    <w:left w:val="single" w:color="auto" w:sz="4" w:space="0"/>
                    <w:bottom w:val="single" w:color="auto" w:sz="4" w:space="0"/>
                    <w:right w:val="single" w:color="auto" w:sz="4" w:space="0"/>
                  </w:tcBorders>
                  <w:noWrap w:val="0"/>
                  <w:vAlign w:val="center"/>
                </w:tcPr>
                <w:p w14:paraId="5443ABD3">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废油桶</w:t>
                  </w:r>
                </w:p>
              </w:tc>
              <w:tc>
                <w:tcPr>
                  <w:tcW w:w="572" w:type="pct"/>
                  <w:vMerge w:val="continue"/>
                  <w:tcBorders>
                    <w:left w:val="single" w:color="auto" w:sz="4" w:space="0"/>
                    <w:right w:val="single" w:color="auto" w:sz="4" w:space="0"/>
                  </w:tcBorders>
                  <w:noWrap w:val="0"/>
                  <w:vAlign w:val="center"/>
                </w:tcPr>
                <w:p w14:paraId="14FE1FDF">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556" w:type="pct"/>
                  <w:tcBorders>
                    <w:top w:val="single" w:color="auto" w:sz="4" w:space="0"/>
                    <w:left w:val="single" w:color="auto" w:sz="4" w:space="0"/>
                    <w:bottom w:val="single" w:color="auto" w:sz="4" w:space="0"/>
                    <w:right w:val="single" w:color="auto" w:sz="4" w:space="0"/>
                  </w:tcBorders>
                  <w:noWrap w:val="0"/>
                  <w:vAlign w:val="center"/>
                </w:tcPr>
                <w:p w14:paraId="7799E51A">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55FFAC26">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危险废物HW08</w:t>
                  </w:r>
                </w:p>
                <w:p w14:paraId="79BF1566">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900-249-08</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1B9D6445">
                  <w:pPr>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t>0.02</w:t>
                  </w:r>
                </w:p>
              </w:tc>
              <w:tc>
                <w:tcPr>
                  <w:tcW w:w="1331" w:type="pct"/>
                  <w:vMerge w:val="continue"/>
                  <w:tcBorders>
                    <w:left w:val="single" w:color="auto" w:sz="4" w:space="0"/>
                    <w:right w:val="single" w:color="auto" w:sz="4" w:space="0"/>
                  </w:tcBorders>
                  <w:noWrap w:val="0"/>
                  <w:vAlign w:val="center"/>
                </w:tcPr>
                <w:p w14:paraId="23D2F0ED">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r w14:paraId="04DC7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636" w:type="pct"/>
                  <w:tcBorders>
                    <w:top w:val="single" w:color="auto" w:sz="4" w:space="0"/>
                    <w:left w:val="single" w:color="auto" w:sz="4" w:space="0"/>
                    <w:bottom w:val="single" w:color="auto" w:sz="4" w:space="0"/>
                    <w:right w:val="single" w:color="auto" w:sz="4" w:space="0"/>
                  </w:tcBorders>
                  <w:noWrap w:val="0"/>
                  <w:vAlign w:val="center"/>
                </w:tcPr>
                <w:p w14:paraId="2E43A798">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含油抹布及手套</w:t>
                  </w:r>
                </w:p>
              </w:tc>
              <w:tc>
                <w:tcPr>
                  <w:tcW w:w="572" w:type="pct"/>
                  <w:vMerge w:val="continue"/>
                  <w:tcBorders>
                    <w:left w:val="single" w:color="auto" w:sz="4" w:space="0"/>
                    <w:right w:val="single" w:color="auto" w:sz="4" w:space="0"/>
                  </w:tcBorders>
                  <w:noWrap w:val="0"/>
                  <w:vAlign w:val="center"/>
                </w:tcPr>
                <w:p w14:paraId="40405F67">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p>
              </w:tc>
              <w:tc>
                <w:tcPr>
                  <w:tcW w:w="556" w:type="pct"/>
                  <w:tcBorders>
                    <w:top w:val="single" w:color="auto" w:sz="4" w:space="0"/>
                    <w:left w:val="single" w:color="auto" w:sz="4" w:space="0"/>
                    <w:bottom w:val="single" w:color="auto" w:sz="4" w:space="0"/>
                    <w:right w:val="single" w:color="auto" w:sz="4" w:space="0"/>
                  </w:tcBorders>
                  <w:noWrap w:val="0"/>
                  <w:vAlign w:val="center"/>
                </w:tcPr>
                <w:p w14:paraId="2B58EFFE">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固态</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0E483BE6">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危险废物HW</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49</w:t>
                  </w:r>
                </w:p>
                <w:p w14:paraId="50984617">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900-041-49</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6D2FC6CA">
                  <w:pPr>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t>0.01</w:t>
                  </w:r>
                </w:p>
              </w:tc>
              <w:tc>
                <w:tcPr>
                  <w:tcW w:w="1331" w:type="pct"/>
                  <w:vMerge w:val="continue"/>
                  <w:tcBorders>
                    <w:left w:val="single" w:color="auto" w:sz="4" w:space="0"/>
                    <w:right w:val="single" w:color="auto" w:sz="4" w:space="0"/>
                  </w:tcBorders>
                  <w:noWrap w:val="0"/>
                  <w:vAlign w:val="center"/>
                </w:tcPr>
                <w:p w14:paraId="5875C9FB">
                  <w:pPr>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bl>
          <w:p w14:paraId="1F4789DD">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4.2固体废物环境管理要求</w:t>
            </w:r>
          </w:p>
          <w:p w14:paraId="10EAE13F">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kern w:val="2"/>
                <w:sz w:val="24"/>
                <w:szCs w:val="24"/>
                <w:highlight w:val="none"/>
                <w:lang w:val="en-US" w:eastAsia="zh-CN" w:bidi="ar-SA"/>
                <w14:textFill>
                  <w14:solidFill>
                    <w14:schemeClr w14:val="tx1"/>
                  </w14:solidFill>
                </w14:textFill>
              </w:rPr>
              <w:t>（1）</w:t>
            </w: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生活垃圾</w:t>
            </w:r>
          </w:p>
          <w:p w14:paraId="724027C3">
            <w:pPr>
              <w:spacing w:line="360" w:lineRule="auto"/>
              <w:ind w:firstLine="480" w:firstLineChars="200"/>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本项目运营期</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生活垃圾</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主要为员工生活垃圾等，</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建设单位根据《西安市生活垃圾分类管理办法》中规定，按要求将生活垃圾分为可回收物、有害垃圾、厨余垃圾、其他垃圾，分类投放，分类收集，由环卫部门定期集中清运。</w:t>
            </w:r>
          </w:p>
          <w:p w14:paraId="7627AD79">
            <w:pPr>
              <w:spacing w:line="360" w:lineRule="auto"/>
              <w:ind w:firstLine="480" w:firstLineChars="200"/>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再交由环卫部门统一清运处理。</w:t>
            </w:r>
          </w:p>
          <w:p w14:paraId="63DDCB2F">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kern w:val="2"/>
                <w:sz w:val="24"/>
                <w:szCs w:val="24"/>
                <w:highlight w:val="none"/>
                <w:lang w:val="en-US" w:eastAsia="zh-CN" w:bidi="ar-SA"/>
                <w14:textFill>
                  <w14:solidFill>
                    <w14:schemeClr w14:val="tx1"/>
                  </w14:solidFill>
                </w14:textFill>
              </w:rPr>
              <w:t>（2）</w:t>
            </w: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一般固体废物</w:t>
            </w:r>
          </w:p>
          <w:p w14:paraId="2AFC500B">
            <w:pPr>
              <w:numPr>
                <w:ilvl w:val="0"/>
                <w:numId w:val="0"/>
              </w:num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0"/>
                <w:highlight w:val="none"/>
                <w:lang w:val="en-US"/>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本项目</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运营期</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一般</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固体废物</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主要为</w:t>
            </w:r>
            <w:r>
              <w:rPr>
                <w:rFonts w:hint="eastAsia" w:ascii="Times New Roman" w:hAnsi="Times New Roman" w:eastAsia="宋体" w:cs="Times New Roman"/>
                <w:color w:val="000000" w:themeColor="text1"/>
                <w:kern w:val="0"/>
                <w:sz w:val="24"/>
                <w:szCs w:val="20"/>
                <w:highlight w:val="none"/>
                <w:lang w:eastAsia="zh-CN"/>
                <w14:textFill>
                  <w14:solidFill>
                    <w14:schemeClr w14:val="tx1"/>
                  </w14:solidFill>
                </w14:textFill>
              </w:rPr>
              <w:t>废铁</w:t>
            </w:r>
            <w:r>
              <w:rPr>
                <w:rFonts w:hint="eastAsia"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等</w:t>
            </w:r>
            <w:r>
              <w:rPr>
                <w:rFonts w:hint="eastAsia" w:ascii="Times New Roman" w:hAnsi="Times New Roman" w:eastAsia="宋体" w:cs="Times New Roman"/>
                <w:color w:val="000000" w:themeColor="text1"/>
                <w:kern w:val="0"/>
                <w:sz w:val="24"/>
                <w:szCs w:val="20"/>
                <w:highlight w:val="none"/>
                <w:lang w:eastAsia="zh-CN"/>
                <w14:textFill>
                  <w14:solidFill>
                    <w14:schemeClr w14:val="tx1"/>
                  </w14:solidFill>
                </w14:textFill>
              </w:rPr>
              <w:t>金属</w:t>
            </w:r>
            <w:r>
              <w:rPr>
                <w:rFonts w:hint="eastAsia"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w:t>
            </w:r>
            <w:r>
              <w:rPr>
                <w:rFonts w:hint="eastAsia" w:cs="Times New Roman"/>
                <w:color w:val="000000" w:themeColor="text1"/>
                <w:kern w:val="0"/>
                <w:sz w:val="24"/>
                <w:szCs w:val="20"/>
                <w:highlight w:val="none"/>
                <w:lang w:val="en-US" w:eastAsia="zh-CN"/>
                <w14:textFill>
                  <w14:solidFill>
                    <w14:schemeClr w14:val="tx1"/>
                  </w14:solidFill>
                </w14:textFill>
              </w:rPr>
              <w:t>不可燃物、</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除尘灰、</w:t>
            </w:r>
            <w:r>
              <w:rPr>
                <w:rFonts w:hint="eastAsia"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车间沉降粉尘和废旧布袋</w:t>
            </w:r>
            <w:r>
              <w:rPr>
                <w:rFonts w:hint="default" w:ascii="Times New Roman" w:hAnsi="Times New Roman" w:eastAsia="宋体" w:cs="Times New Roman"/>
                <w:color w:val="000000" w:themeColor="text1"/>
                <w:kern w:val="0"/>
                <w:sz w:val="24"/>
                <w:szCs w:val="20"/>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成分主要为</w:t>
            </w:r>
            <w:r>
              <w:rPr>
                <w:rFonts w:hint="eastAsia"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粉尘、废旧布袋和</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金属</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等</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szCs w:val="20"/>
                <w:highlight w:val="none"/>
                <w:lang w:eastAsia="zh-CN"/>
                <w14:textFill>
                  <w14:solidFill>
                    <w14:schemeClr w14:val="tx1"/>
                  </w14:solidFill>
                </w14:textFill>
              </w:rPr>
              <w:t>废铁</w:t>
            </w:r>
            <w:r>
              <w:rPr>
                <w:rFonts w:hint="eastAsia"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等金属</w:t>
            </w:r>
            <w:r>
              <w:rPr>
                <w:rFonts w:hint="eastAsia" w:cs="Times New Roman"/>
                <w:color w:val="000000" w:themeColor="text1"/>
                <w:kern w:val="0"/>
                <w:sz w:val="24"/>
                <w:szCs w:val="20"/>
                <w:highlight w:val="none"/>
                <w:lang w:val="en-US" w:eastAsia="zh-CN"/>
                <w14:textFill>
                  <w14:solidFill>
                    <w14:schemeClr w14:val="tx1"/>
                  </w14:solidFill>
                </w14:textFill>
              </w:rPr>
              <w:t>和不可燃物</w:t>
            </w:r>
            <w:r>
              <w:rPr>
                <w:rFonts w:hint="default" w:ascii="Times New Roman" w:hAnsi="Times New Roman" w:eastAsia="宋体" w:cs="Times New Roman"/>
                <w:color w:val="000000" w:themeColor="text1"/>
                <w:kern w:val="0"/>
                <w:sz w:val="24"/>
                <w:szCs w:val="20"/>
                <w:highlight w:val="none"/>
                <w:lang w:eastAsia="zh-CN"/>
                <w14:textFill>
                  <w14:solidFill>
                    <w14:schemeClr w14:val="tx1"/>
                  </w14:solidFill>
                </w14:textFill>
              </w:rPr>
              <w:t>收集后</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暂存在</w:t>
            </w:r>
            <w:r>
              <w:rPr>
                <w:rFonts w:hint="eastAsia"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一般固废暂存间</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0"/>
                <w:highlight w:val="none"/>
                <w:lang w:eastAsia="zh-CN"/>
                <w14:textFill>
                  <w14:solidFill>
                    <w14:schemeClr w14:val="tx1"/>
                  </w14:solidFill>
                </w14:textFill>
              </w:rPr>
              <w:t>统一外售处理</w:t>
            </w:r>
            <w:r>
              <w:rPr>
                <w:rFonts w:hint="eastAsia" w:ascii="Times New Roman" w:hAnsi="Times New Roman" w:eastAsia="宋体" w:cs="Times New Roman"/>
                <w:color w:val="000000" w:themeColor="text1"/>
                <w:kern w:val="0"/>
                <w:sz w:val="24"/>
                <w:szCs w:val="20"/>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0"/>
                <w:highlight w:val="none"/>
                <w:lang w:eastAsia="zh-CN"/>
                <w14:textFill>
                  <w14:solidFill>
                    <w14:schemeClr w14:val="tx1"/>
                  </w14:solidFill>
                </w14:textFill>
              </w:rPr>
              <w:t>除尘灰、</w:t>
            </w:r>
            <w:r>
              <w:rPr>
                <w:rFonts w:hint="eastAsia"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车间沉降粉尘</w:t>
            </w:r>
            <w:r>
              <w:rPr>
                <w:rFonts w:hint="eastAsia" w:cs="Times New Roman"/>
                <w:color w:val="000000" w:themeColor="text1"/>
                <w:kern w:val="0"/>
                <w:sz w:val="24"/>
                <w:szCs w:val="20"/>
                <w:highlight w:val="none"/>
                <w:lang w:val="en-US" w:eastAsia="zh-CN"/>
                <w14:textFill>
                  <w14:solidFill>
                    <w14:schemeClr w14:val="tx1"/>
                  </w14:solidFill>
                </w14:textFill>
              </w:rPr>
              <w:t>集中收集外售水泥厂作原料</w:t>
            </w:r>
            <w:r>
              <w:rPr>
                <w:rFonts w:hint="eastAsia"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；废旧布袋回用于生产。</w:t>
            </w:r>
          </w:p>
          <w:p w14:paraId="0B5800FA">
            <w:pPr>
              <w:numPr>
                <w:ilvl w:val="0"/>
                <w:numId w:val="0"/>
              </w:numPr>
              <w:adjustRightInd w:val="0"/>
              <w:snapToGrid w:val="0"/>
              <w:spacing w:line="360" w:lineRule="auto"/>
              <w:ind w:firstLine="480" w:firstLineChars="200"/>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一般固体废物贮存场，禁止危险废物和生活垃圾混入。</w:t>
            </w:r>
            <w:r>
              <w:rPr>
                <w:rFonts w:hint="eastAsia"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建设单位</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应建立检查维护制度</w:t>
            </w:r>
            <w:r>
              <w:rPr>
                <w:rFonts w:hint="eastAsia" w:ascii="Times New Roman" w:hAnsi="Times New Roman" w:eastAsia="宋体" w:cs="Times New Roman"/>
                <w:color w:val="000000" w:themeColor="text1"/>
                <w:kern w:val="0"/>
                <w:sz w:val="24"/>
                <w:szCs w:val="20"/>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档案制度。应将入场的一般固体废物的种类和数量，详细记录在案，长期保存，供随时查阅。贮存、</w:t>
            </w:r>
            <w:r>
              <w:rPr>
                <w:rFonts w:hint="default" w:ascii="Times New Roman" w:hAnsi="Times New Roman" w:eastAsia="宋体" w:cs="Times New Roman"/>
                <w:color w:val="000000" w:themeColor="text1"/>
                <w:kern w:val="0"/>
                <w:sz w:val="24"/>
                <w:highlight w:val="none"/>
                <w14:textFill>
                  <w14:solidFill>
                    <w14:schemeClr w14:val="tx1"/>
                  </w14:solidFill>
                </w14:textFill>
              </w:rPr>
              <w:t>处置场的环境保护图形标志，应按相关规定进行检查和维护。</w:t>
            </w:r>
          </w:p>
          <w:p w14:paraId="69FEB6AD">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kern w:val="2"/>
                <w:sz w:val="24"/>
                <w:szCs w:val="24"/>
                <w:highlight w:val="none"/>
                <w:lang w:val="en-US" w:eastAsia="zh-CN" w:bidi="ar-SA"/>
                <w14:textFill>
                  <w14:solidFill>
                    <w14:schemeClr w14:val="tx1"/>
                  </w14:solidFill>
                </w14:textFill>
              </w:rPr>
              <w:t>（3）</w:t>
            </w: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危险废物</w:t>
            </w:r>
          </w:p>
          <w:p w14:paraId="6C1D1318">
            <w:pPr>
              <w:numPr>
                <w:ilvl w:val="0"/>
                <w:numId w:val="0"/>
              </w:numPr>
              <w:adjustRightInd w:val="0"/>
              <w:snapToGrid w:val="0"/>
              <w:spacing w:line="360" w:lineRule="auto"/>
              <w:ind w:firstLine="440" w:firstLineChars="20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t>本项目运营期危险废物主要为</w:t>
            </w:r>
            <w:r>
              <w:rPr>
                <w:rFonts w:hint="default" w:ascii="Times New Roman" w:hAnsi="Times New Roman" w:cs="Times New Roman"/>
                <w:color w:val="000000" w:themeColor="text1"/>
                <w:sz w:val="24"/>
                <w:highlight w:val="none"/>
                <w:lang w:val="en-US" w:eastAsia="zh-CN"/>
                <w14:textFill>
                  <w14:solidFill>
                    <w14:schemeClr w14:val="tx1"/>
                  </w14:solidFill>
                </w14:textFill>
              </w:rPr>
              <w:t>废润滑油、废油桶、</w:t>
            </w:r>
            <w:r>
              <w:rPr>
                <w:rFonts w:hint="default" w:ascii="Times New Roman" w:hAnsi="Times New Roman" w:cs="Times New Roman"/>
                <w:color w:val="000000" w:themeColor="text1"/>
                <w:sz w:val="24"/>
                <w:highlight w:val="none"/>
                <w:lang w:eastAsia="zh-CN"/>
                <w14:textFill>
                  <w14:solidFill>
                    <w14:schemeClr w14:val="tx1"/>
                  </w14:solidFill>
                </w14:textFill>
              </w:rPr>
              <w:t>废</w:t>
            </w:r>
            <w:r>
              <w:rPr>
                <w:rFonts w:hint="default" w:ascii="Times New Roman" w:hAnsi="Times New Roman" w:cs="Times New Roman"/>
                <w:color w:val="000000" w:themeColor="text1"/>
                <w:sz w:val="24"/>
                <w:highlight w:val="none"/>
                <w:lang w:val="en-US" w:eastAsia="zh-CN"/>
                <w14:textFill>
                  <w14:solidFill>
                    <w14:schemeClr w14:val="tx1"/>
                  </w14:solidFill>
                </w14:textFill>
              </w:rPr>
              <w:t>含</w:t>
            </w:r>
            <w:r>
              <w:rPr>
                <w:rFonts w:hint="default" w:ascii="Times New Roman" w:hAnsi="Times New Roman" w:cs="Times New Roman"/>
                <w:color w:val="000000" w:themeColor="text1"/>
                <w:sz w:val="24"/>
                <w:highlight w:val="none"/>
                <w:lang w:eastAsia="zh-CN"/>
                <w14:textFill>
                  <w14:solidFill>
                    <w14:schemeClr w14:val="tx1"/>
                  </w14:solidFill>
                </w14:textFill>
              </w:rPr>
              <w:t>油</w:t>
            </w:r>
            <w:r>
              <w:rPr>
                <w:rFonts w:hint="default" w:ascii="Times New Roman" w:hAnsi="Times New Roman" w:cs="Times New Roman"/>
                <w:color w:val="000000" w:themeColor="text1"/>
                <w:sz w:val="24"/>
                <w:highlight w:val="none"/>
                <w:lang w:val="en-US" w:eastAsia="zh-CN"/>
                <w14:textFill>
                  <w14:solidFill>
                    <w14:schemeClr w14:val="tx1"/>
                  </w14:solidFill>
                </w14:textFill>
              </w:rPr>
              <w:t>抹布及</w:t>
            </w:r>
            <w:r>
              <w:rPr>
                <w:rFonts w:hint="default" w:ascii="Times New Roman" w:hAnsi="Times New Roman" w:cs="Times New Roman"/>
                <w:color w:val="000000" w:themeColor="text1"/>
                <w:sz w:val="24"/>
                <w:highlight w:val="none"/>
                <w:lang w:eastAsia="zh-CN"/>
                <w14:textFill>
                  <w14:solidFill>
                    <w14:schemeClr w14:val="tx1"/>
                  </w14:solidFill>
                </w14:textFill>
              </w:rPr>
              <w:t>手套</w:t>
            </w:r>
            <w:r>
              <w:rPr>
                <w:rFonts w:hint="default" w:ascii="Times New Roman" w:hAnsi="Times New Roman" w:cs="Times New Roman"/>
                <w:color w:val="000000" w:themeColor="text1"/>
                <w:sz w:val="24"/>
                <w:highlight w:val="none"/>
                <w14:textFill>
                  <w14:solidFill>
                    <w14:schemeClr w14:val="tx1"/>
                  </w14:solidFill>
                </w14:textFill>
              </w:rPr>
              <w:t>等</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项目设置一座危险废物贮存库（</w:t>
            </w:r>
            <w:r>
              <w:rPr>
                <w:rFonts w:hint="eastAsia" w:ascii="Times New Roman" w:hAnsi="Times New Roman" w:cs="Times New Roman"/>
                <w:color w:val="000000" w:themeColor="text1"/>
                <w:sz w:val="24"/>
                <w:highlight w:val="none"/>
                <w:lang w:val="en-US" w:eastAsia="zh-CN"/>
                <w14:textFill>
                  <w14:solidFill>
                    <w14:schemeClr w14:val="tx1"/>
                  </w14:solidFill>
                </w14:textFill>
              </w:rPr>
              <w:t>6</w:t>
            </w:r>
            <w:r>
              <w:rPr>
                <w:rFonts w:hint="default" w:ascii="Times New Roman" w:hAnsi="Times New Roman" w:cs="Times New Roman"/>
                <w:color w:val="000000" w:themeColor="text1"/>
                <w:sz w:val="24"/>
                <w:highlight w:val="none"/>
                <w:lang w:val="en-US" w:eastAsia="zh-CN"/>
                <w14:textFill>
                  <w14:solidFill>
                    <w14:schemeClr w14:val="tx1"/>
                  </w14:solidFill>
                </w14:textFill>
              </w:rPr>
              <w:t>m</w:t>
            </w:r>
            <w:r>
              <w:rPr>
                <w:rFonts w:hint="default" w:ascii="Times New Roman" w:hAnsi="Times New Roman" w:cs="Times New Roman"/>
                <w:color w:val="000000" w:themeColor="text1"/>
                <w:sz w:val="24"/>
                <w:highlight w:val="none"/>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highlight w:val="none"/>
                <w:lang w:val="en-US" w:eastAsia="zh-CN"/>
                <w14:textFill>
                  <w14:solidFill>
                    <w14:schemeClr w14:val="tx1"/>
                  </w14:solidFill>
                </w14:textFill>
              </w:rPr>
              <w:t>），位于生产车间</w:t>
            </w:r>
            <w:r>
              <w:rPr>
                <w:rFonts w:hint="eastAsia" w:ascii="Times New Roman" w:hAnsi="Times New Roman" w:cs="Times New Roman"/>
                <w:color w:val="000000" w:themeColor="text1"/>
                <w:sz w:val="24"/>
                <w:highlight w:val="none"/>
                <w:lang w:val="en-US" w:eastAsia="zh-CN"/>
                <w14:textFill>
                  <w14:solidFill>
                    <w14:schemeClr w14:val="tx1"/>
                  </w14:solidFill>
                </w14:textFill>
              </w:rPr>
              <w:t>西北</w:t>
            </w:r>
            <w:r>
              <w:rPr>
                <w:rFonts w:hint="default" w:ascii="Times New Roman" w:hAnsi="Times New Roman" w:cs="Times New Roman"/>
                <w:color w:val="000000" w:themeColor="text1"/>
                <w:sz w:val="24"/>
                <w:highlight w:val="none"/>
                <w:lang w:val="en-US" w:eastAsia="zh-CN"/>
                <w14:textFill>
                  <w14:solidFill>
                    <w14:schemeClr w14:val="tx1"/>
                  </w14:solidFill>
                </w14:textFill>
              </w:rPr>
              <w:t>侧，用于贮存危险废物。危险废物贮存执行</w:t>
            </w:r>
            <w:r>
              <w:rPr>
                <w:rFonts w:hint="default" w:ascii="Times New Roman" w:hAnsi="Times New Roman" w:cs="Times New Roman"/>
                <w:color w:val="000000" w:themeColor="text1"/>
                <w:sz w:val="24"/>
                <w:szCs w:val="24"/>
                <w:highlight w:val="none"/>
                <w14:textFill>
                  <w14:solidFill>
                    <w14:schemeClr w14:val="tx1"/>
                  </w14:solidFill>
                </w14:textFill>
              </w:rPr>
              <w:t>《危险废物贮存污染控制标准》（</w:t>
            </w:r>
            <w:r>
              <w:rPr>
                <w:rFonts w:hint="default" w:ascii="Times New Roman" w:hAnsi="Times New Roman" w:cs="Times New Roman"/>
                <w:color w:val="000000" w:themeColor="text1"/>
                <w:sz w:val="24"/>
                <w:szCs w:val="24"/>
                <w:highlight w:val="none"/>
                <w:lang w:eastAsia="zh-CN"/>
                <w14:textFill>
                  <w14:solidFill>
                    <w14:schemeClr w14:val="tx1"/>
                  </w14:solidFill>
                </w14:textFill>
              </w:rPr>
              <w:t>GB18597-2023</w:t>
            </w:r>
            <w:r>
              <w:rPr>
                <w:rFonts w:hint="default" w:ascii="Times New Roman" w:hAnsi="Times New Roman" w:cs="Times New Roman"/>
                <w:color w:val="000000" w:themeColor="text1"/>
                <w:sz w:val="24"/>
                <w:szCs w:val="24"/>
                <w:highlight w:val="none"/>
                <w14:textFill>
                  <w14:solidFill>
                    <w14:schemeClr w14:val="tx1"/>
                  </w14:solidFill>
                </w14:textFill>
              </w:rPr>
              <w:t>）中有关要求</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具体建设要求如下。</w:t>
            </w:r>
          </w:p>
          <w:p w14:paraId="6036F007">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危险废物贮存应根据危险废物的类别、形态、物理化学性质和污染防治要求进行分类贮存，且应避免危险废物与不相容的物质或材料接触。</w:t>
            </w:r>
          </w:p>
          <w:tbl>
            <w:tblPr>
              <w:tblStyle w:val="26"/>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538"/>
              <w:gridCol w:w="5155"/>
            </w:tblGrid>
            <w:tr w14:paraId="33F4A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3538" w:type="dxa"/>
                  <w:noWrap w:val="0"/>
                  <w:vAlign w:val="top"/>
                </w:tcPr>
                <w:p w14:paraId="15895C20">
                  <w:pPr>
                    <w:keepNext w:val="0"/>
                    <w:keepLines w:val="0"/>
                    <w:widowControl w:val="0"/>
                    <w:suppressLineNumbers w:val="0"/>
                    <w:tabs>
                      <w:tab w:val="left" w:pos="8607"/>
                    </w:tabs>
                    <w:adjustRightInd w:val="0"/>
                    <w:spacing w:before="0" w:beforeAutospacing="0" w:after="0" w:afterAutospacing="0" w:line="360" w:lineRule="auto"/>
                    <w:ind w:right="0"/>
                    <w:jc w:val="both"/>
                    <w:rPr>
                      <w:rFonts w:hint="default" w:ascii="Times New Roman" w:hAnsi="Times New Roman" w:eastAsia="宋体" w:cs="Times New Roman"/>
                      <w:color w:val="000000" w:themeColor="text1"/>
                      <w:kern w:val="2"/>
                      <w:sz w:val="21"/>
                      <w:szCs w:val="24"/>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drawing>
                      <wp:inline distT="0" distB="0" distL="114300" distR="114300">
                        <wp:extent cx="2259965" cy="1433195"/>
                        <wp:effectExtent l="0" t="0" r="6985" b="14605"/>
                        <wp:docPr id="62" name="图片 14" descr="D:\Documents\Downloads\危险废物贮存设施.jpg危险废物贮存设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4" descr="D:\Documents\Downloads\危险废物贮存设施.jpg危险废物贮存设施"/>
                                <pic:cNvPicPr>
                                  <a:picLocks noChangeAspect="1"/>
                                </pic:cNvPicPr>
                              </pic:nvPicPr>
                              <pic:blipFill>
                                <a:blip r:embed="rId14"/>
                                <a:stretch>
                                  <a:fillRect/>
                                </a:stretch>
                              </pic:blipFill>
                              <pic:spPr>
                                <a:xfrm>
                                  <a:off x="0" y="0"/>
                                  <a:ext cx="2259965" cy="1433195"/>
                                </a:xfrm>
                                <a:prstGeom prst="rect">
                                  <a:avLst/>
                                </a:prstGeom>
                                <a:noFill/>
                                <a:ln>
                                  <a:noFill/>
                                </a:ln>
                              </pic:spPr>
                            </pic:pic>
                          </a:graphicData>
                        </a:graphic>
                      </wp:inline>
                    </w:drawing>
                  </w: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2286635" cy="1584960"/>
                        <wp:effectExtent l="0" t="0" r="18415" b="15240"/>
                        <wp:docPr id="6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5"/>
                                <pic:cNvPicPr>
                                  <a:picLocks noChangeAspect="1"/>
                                </pic:cNvPicPr>
                              </pic:nvPicPr>
                              <pic:blipFill>
                                <a:blip r:embed="rId15"/>
                                <a:stretch>
                                  <a:fillRect/>
                                </a:stretch>
                              </pic:blipFill>
                              <pic:spPr>
                                <a:xfrm>
                                  <a:off x="0" y="0"/>
                                  <a:ext cx="2286635" cy="1584960"/>
                                </a:xfrm>
                                <a:prstGeom prst="rect">
                                  <a:avLst/>
                                </a:prstGeom>
                                <a:noFill/>
                                <a:ln>
                                  <a:noFill/>
                                </a:ln>
                              </pic:spPr>
                            </pic:pic>
                          </a:graphicData>
                        </a:graphic>
                      </wp:inline>
                    </w:drawing>
                  </w:r>
                </w:p>
              </w:tc>
              <w:tc>
                <w:tcPr>
                  <w:tcW w:w="5155" w:type="dxa"/>
                  <w:noWrap w:val="0"/>
                  <w:vAlign w:val="top"/>
                </w:tcPr>
                <w:p w14:paraId="52DF73D4">
                  <w:pPr>
                    <w:keepNext w:val="0"/>
                    <w:keepLines w:val="0"/>
                    <w:widowControl w:val="0"/>
                    <w:suppressLineNumbers w:val="0"/>
                    <w:tabs>
                      <w:tab w:val="left" w:pos="8607"/>
                    </w:tabs>
                    <w:adjustRightInd w:val="0"/>
                    <w:spacing w:before="0" w:beforeAutospacing="0" w:after="0" w:afterAutospacing="0" w:line="360" w:lineRule="auto"/>
                    <w:ind w:right="0"/>
                    <w:jc w:val="both"/>
                    <w:rPr>
                      <w:rFonts w:hint="default" w:ascii="Times New Roman" w:hAnsi="Times New Roman" w:eastAsia="宋体" w:cs="Times New Roman"/>
                      <w:color w:val="000000" w:themeColor="text1"/>
                      <w:kern w:val="2"/>
                      <w:sz w:val="21"/>
                      <w:szCs w:val="24"/>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2943860" cy="2902585"/>
                        <wp:effectExtent l="0" t="0" r="8890" b="12065"/>
                        <wp:docPr id="6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6"/>
                                <pic:cNvPicPr>
                                  <a:picLocks noChangeAspect="1"/>
                                </pic:cNvPicPr>
                              </pic:nvPicPr>
                              <pic:blipFill>
                                <a:blip r:embed="rId16"/>
                                <a:stretch>
                                  <a:fillRect/>
                                </a:stretch>
                              </pic:blipFill>
                              <pic:spPr>
                                <a:xfrm>
                                  <a:off x="0" y="0"/>
                                  <a:ext cx="2943860" cy="2902585"/>
                                </a:xfrm>
                                <a:prstGeom prst="rect">
                                  <a:avLst/>
                                </a:prstGeom>
                                <a:noFill/>
                                <a:ln>
                                  <a:noFill/>
                                </a:ln>
                              </pic:spPr>
                            </pic:pic>
                          </a:graphicData>
                        </a:graphic>
                      </wp:inline>
                    </w:drawing>
                  </w:r>
                </w:p>
              </w:tc>
            </w:tr>
          </w:tbl>
          <w:p w14:paraId="08BA7B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default" w:ascii="Times New Roman" w:hAnsi="Times New Roman" w:eastAsia="宋体" w:cs="Times New Roman"/>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b/>
                <w:snapToGrid w:val="0"/>
                <w:color w:val="000000" w:themeColor="text1"/>
                <w:kern w:val="0"/>
                <w:sz w:val="21"/>
                <w:szCs w:val="21"/>
                <w:highlight w:val="none"/>
                <w14:textFill>
                  <w14:solidFill>
                    <w14:schemeClr w14:val="tx1"/>
                  </w14:solidFill>
                </w14:textFill>
              </w:rPr>
              <w:t>图</w:t>
            </w:r>
            <w:r>
              <w:rPr>
                <w:rFonts w:hint="default" w:ascii="Times New Roman" w:hAnsi="Times New Roman" w:eastAsia="宋体" w:cs="Times New Roman"/>
                <w:b/>
                <w:snapToGrid w:val="0"/>
                <w:color w:val="000000" w:themeColor="text1"/>
                <w:kern w:val="0"/>
                <w:sz w:val="21"/>
                <w:szCs w:val="21"/>
                <w:highlight w:val="none"/>
                <w:lang w:val="en-US" w:eastAsia="zh-CN"/>
                <w14:textFill>
                  <w14:solidFill>
                    <w14:schemeClr w14:val="tx1"/>
                  </w14:solidFill>
                </w14:textFill>
              </w:rPr>
              <w:t xml:space="preserve">4-1  </w:t>
            </w:r>
            <w:r>
              <w:rPr>
                <w:rFonts w:hint="default" w:ascii="Times New Roman" w:hAnsi="Times New Roman" w:eastAsia="宋体" w:cs="Times New Roman"/>
                <w:b/>
                <w:snapToGrid w:val="0"/>
                <w:color w:val="000000" w:themeColor="text1"/>
                <w:kern w:val="0"/>
                <w:sz w:val="21"/>
                <w:szCs w:val="21"/>
                <w:highlight w:val="none"/>
                <w14:textFill>
                  <w14:solidFill>
                    <w14:schemeClr w14:val="tx1"/>
                  </w14:solidFill>
                </w14:textFill>
              </w:rPr>
              <w:t>危险废物标识要求</w:t>
            </w:r>
          </w:p>
          <w:p w14:paraId="374F92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a贮存设施污染控制要求</w:t>
            </w:r>
          </w:p>
          <w:p w14:paraId="0D3904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本项目危险废物主要为</w:t>
            </w: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废</w:t>
            </w:r>
            <w:r>
              <w:rPr>
                <w:rFonts w:hint="eastAsia"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润滑油</w:t>
            </w:r>
            <w:r>
              <w:rPr>
                <w:rFonts w:hint="default" w:ascii="Times New Roman" w:hAnsi="Times New Roman" w:eastAsia="宋体" w:cs="Times New Roman"/>
                <w:color w:val="000000" w:themeColor="text1"/>
                <w:kern w:val="0"/>
                <w:sz w:val="24"/>
                <w:szCs w:val="20"/>
                <w:highlight w:val="none"/>
                <w14:textFill>
                  <w14:solidFill>
                    <w14:schemeClr w14:val="tx1"/>
                  </w14:solidFill>
                </w14:textFill>
              </w:rPr>
              <w:t>等，采用专用容器贮存。</w:t>
            </w:r>
          </w:p>
          <w:p w14:paraId="21931F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 xml:space="preserve">贮存设施应根据危险废物的形态、物理化学性质、包装形式和污染物迁移途径，采取必要的防风、防晒、防雨、防漏、防渗、防腐以及其他环境污染防治措施，不应露天堆放危险废物。 </w:t>
            </w:r>
          </w:p>
          <w:p w14:paraId="4C6239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 xml:space="preserve">贮存设施应根据危险废物的类别、数量、形态、物理化学性质和污染防治等要求设置必要的贮存分区，避免不相容的危险废物接触、混合。 </w:t>
            </w:r>
          </w:p>
          <w:p w14:paraId="4C7010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0"/>
              <w:textAlignment w:val="auto"/>
              <w:rPr>
                <w:rFonts w:hint="default" w:ascii="Times New Roman" w:hAnsi="Times New Roman" w:eastAsia="宋体" w:cs="Times New Roman"/>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lang w:val="en-US" w:eastAsia="zh-CN"/>
                <w14:textFill>
                  <w14:solidFill>
                    <w14:schemeClr w14:val="tx1"/>
                  </w14:solidFill>
                </w14:textFill>
              </w:rPr>
              <w:t xml:space="preserve">贮存设施或贮存分区内地面、墙面裙脚、堵截泄漏的围堰、接触危险废物的隔板和墙体等应采用坚固的材料建造，表面无裂缝。 </w:t>
            </w:r>
          </w:p>
          <w:p w14:paraId="09461306">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m厚黏土层（渗透系数不大于10</w:t>
            </w:r>
            <w:r>
              <w:rPr>
                <w:rFonts w:hint="default" w:ascii="Times New Roman" w:hAnsi="Times New Roman" w:eastAsia="宋体" w:cs="Times New Roman"/>
                <w:color w:val="000000" w:themeColor="text1"/>
                <w:sz w:val="24"/>
                <w:szCs w:val="22"/>
                <w:highlight w:val="none"/>
                <w:vertAlign w:val="superscript"/>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cm/s），或至少2 mm厚高密度聚乙烯膜等人工防渗材料（渗透系数不大于10</w:t>
            </w:r>
            <w:r>
              <w:rPr>
                <w:rFonts w:hint="default" w:ascii="Times New Roman" w:hAnsi="Times New Roman" w:eastAsia="宋体" w:cs="Times New Roman"/>
                <w:color w:val="000000" w:themeColor="text1"/>
                <w:sz w:val="24"/>
                <w:szCs w:val="22"/>
                <w:highlight w:val="none"/>
                <w:vertAlign w:val="superscript"/>
                <w:lang w:val="en-US" w:eastAsia="zh-CN"/>
                <w14:textFill>
                  <w14:solidFill>
                    <w14:schemeClr w14:val="tx1"/>
                  </w14:solidFill>
                </w14:textFill>
              </w:rPr>
              <w:t>-10</w:t>
            </w: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 xml:space="preserve">cm/s），或其他防渗性能等效的材料。 </w:t>
            </w:r>
          </w:p>
          <w:p w14:paraId="038923DE">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 xml:space="preserve">同一贮存设施宜采用相同的防渗、防腐工艺（包括防渗、防腐结构或材料），防渗、防腐材料应覆盖所有可能与废物及其渗滤液、渗漏液等接触的构筑物表面；采用不同防渗、防腐工艺应分别建设贮存分区。 </w:t>
            </w:r>
          </w:p>
          <w:p w14:paraId="3484AD37">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贮存设施应采取技术和管理措施防止无关人员进入。</w:t>
            </w:r>
          </w:p>
          <w:p w14:paraId="683BB90A">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贮存库内不同贮存分区之间应采取隔离措施。隔离措施可根据危险废物特性采用过道、隔板或隔墙等方式。</w:t>
            </w:r>
          </w:p>
          <w:p w14:paraId="563EDEF1">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w:t>
            </w:r>
          </w:p>
          <w:p w14:paraId="2B60C1EA">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b容器和包装物污染控制要求</w:t>
            </w:r>
          </w:p>
          <w:p w14:paraId="4BEC5ED7">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容器和包装物材质、内衬应与盛装的危险废物相容。针对不同类别、形态、物理化学性质的危险废物，其容器和包装物应满足相应的防渗、防漏、防腐和强度等要求。容器和包装物外表面应保持清洁</w:t>
            </w:r>
            <w:r>
              <w:rPr>
                <w:rFonts w:hint="default" w:ascii="Times New Roman" w:hAnsi="Times New Roman" w:eastAsia="宋体" w:cs="Times New Roman"/>
                <w:color w:val="000000" w:themeColor="text1"/>
                <w:sz w:val="24"/>
                <w:szCs w:val="22"/>
                <w:highlight w:val="none"/>
                <w:lang w:eastAsia="zh-CN"/>
                <w14:textFill>
                  <w14:solidFill>
                    <w14:schemeClr w14:val="tx1"/>
                  </w14:solidFill>
                </w14:textFill>
              </w:rPr>
              <w:t>；</w:t>
            </w:r>
          </w:p>
          <w:p w14:paraId="4E716358">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硬质容器和包装物及其支护结构堆叠码放时不应有明显变形，无破损泄漏。柔性容器和包装物堆叠码放时应封口严密，无破损泄漏</w:t>
            </w:r>
            <w:r>
              <w:rPr>
                <w:rFonts w:hint="default" w:ascii="Times New Roman" w:hAnsi="Times New Roman" w:eastAsia="宋体" w:cs="Times New Roman"/>
                <w:color w:val="000000" w:themeColor="text1"/>
                <w:sz w:val="24"/>
                <w:szCs w:val="22"/>
                <w:highlight w:val="none"/>
                <w:lang w:eastAsia="zh-CN"/>
                <w14:textFill>
                  <w14:solidFill>
                    <w14:schemeClr w14:val="tx1"/>
                  </w14:solidFill>
                </w14:textFill>
              </w:rPr>
              <w:t>；</w:t>
            </w:r>
          </w:p>
          <w:p w14:paraId="2D438736">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使用容器盛装液态、半固态危险废物时，容器内部应留有适当的空间，以适应因温度变化等可能引发的收缩和膨胀，防止其导致容器渗漏或永久变形。</w:t>
            </w:r>
          </w:p>
          <w:p w14:paraId="455B95C4">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c贮存过程污染控制要求</w:t>
            </w:r>
          </w:p>
          <w:p w14:paraId="00E4B825">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危险废物存入贮存设施前应对危险废物类别和特性与危险废物标签等危险废物识别标志的一致性进行核验，不一致的或类别、特性不明的不应存入。</w:t>
            </w:r>
          </w:p>
          <w:p w14:paraId="40AD0524">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应定期检查危险废物的贮存状况，及时清理贮存设施地面，更换破损泄漏的危险废物贮存容器和包装物，保证堆存危险废物的防雨、防风、防扬尘等设施功能完好。</w:t>
            </w:r>
          </w:p>
          <w:p w14:paraId="46F3FC0A">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作业设备及车辆等结束作业离开贮存设施时，应对其残留的危险废物进行清理，清理的废物或清洗废水应收集处理。</w:t>
            </w:r>
          </w:p>
          <w:p w14:paraId="3186E7A3">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贮存设施运行期间，应按国家有关标准和规定建立危险废物管理台账并保存。</w:t>
            </w:r>
          </w:p>
          <w:p w14:paraId="25905299">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贮存设施所有者或运营者应建立贮存设施环境管理制度、管理人员岗位职责制度、设施运行操作制度、人员岗位培训制度等。</w:t>
            </w:r>
          </w:p>
          <w:p w14:paraId="771B26AB">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贮存设施所有者或运营者应依据国家土壤和地下水污染防治的有关规定，结合贮存设施特点建立土壤和地下水污染隐患排查制度，并定期开展隐患排查；发现隐患应及时采取措施消除隐患，并建立档案。</w:t>
            </w:r>
          </w:p>
          <w:p w14:paraId="39DFC350">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贮存设施所有者或运营者应建立贮存设施全部档案，包括设计、施工、验收、运行、监测和环境应急等，应按国家有关档案管理的法律法规进行整理和归档。</w:t>
            </w:r>
          </w:p>
          <w:p w14:paraId="0658B8F8">
            <w:pPr>
              <w:pStyle w:val="24"/>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采取上述措施后，项目</w:t>
            </w: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固体废物</w:t>
            </w:r>
            <w:r>
              <w:rPr>
                <w:rFonts w:hint="default" w:ascii="Times New Roman" w:hAnsi="Times New Roman" w:eastAsia="宋体" w:cs="Times New Roman"/>
                <w:color w:val="000000" w:themeColor="text1"/>
                <w:sz w:val="24"/>
                <w:szCs w:val="22"/>
                <w:highlight w:val="none"/>
                <w14:textFill>
                  <w14:solidFill>
                    <w14:schemeClr w14:val="tx1"/>
                  </w14:solidFill>
                </w14:textFill>
              </w:rPr>
              <w:t>均能够得到合理妥善处置，不产生二次污染，对外环境影响较小</w:t>
            </w:r>
            <w:r>
              <w:rPr>
                <w:rFonts w:hint="default" w:ascii="Times New Roman" w:hAnsi="Times New Roman" w:eastAsia="宋体" w:cs="Times New Roman"/>
                <w:color w:val="000000" w:themeColor="text1"/>
                <w:sz w:val="24"/>
                <w:szCs w:val="22"/>
                <w:highlight w:val="none"/>
                <w:lang w:eastAsia="zh-CN"/>
                <w14:textFill>
                  <w14:solidFill>
                    <w14:schemeClr w14:val="tx1"/>
                  </w14:solidFill>
                </w14:textFill>
              </w:rPr>
              <w:t>。</w:t>
            </w:r>
          </w:p>
          <w:p w14:paraId="50B30A4A">
            <w:pPr>
              <w:numPr>
                <w:ilvl w:val="0"/>
                <w:numId w:val="0"/>
              </w:numPr>
              <w:adjustRightInd w:val="0"/>
              <w:snapToGrid w:val="0"/>
              <w:spacing w:line="360" w:lineRule="auto"/>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5、地下水、土壤</w:t>
            </w:r>
          </w:p>
          <w:p w14:paraId="5F4183DA">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（1）地下水、土壤环境影响途径</w:t>
            </w:r>
          </w:p>
          <w:p w14:paraId="32AB6CEE">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生产车间采取分区防渗，正常情况下危险废物、一般固废等不会对地下水以及土壤造成影响，如因人员操作不当或桶体破损等导致物料发生泄漏，泄漏物料可能会泄漏至外环境，从而污染地下水、土壤环境。</w:t>
            </w:r>
          </w:p>
          <w:p w14:paraId="7CFECAD9">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（2）污染防护措施</w:t>
            </w:r>
          </w:p>
          <w:p w14:paraId="72869BAD">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针对项目可能发生的地下水、土壤污染，地下水、土壤污染防治措施按照</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源头控制、分区防治、应急响应</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相结合的原则，从污染物的产生、入渗、扩散、应急响应全方位进行控制。</w:t>
            </w:r>
          </w:p>
          <w:p w14:paraId="4931468D">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分区防渗控制措施：</w:t>
            </w:r>
          </w:p>
          <w:p w14:paraId="69B96644">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①重点防渗区：主要是危废贮存库，采用防渗混凝土硬化，地面与裙角采用防渗涂料进行防渗处理。物料分区堆放，并设置托盘。</w:t>
            </w:r>
          </w:p>
          <w:p w14:paraId="7F386645">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②一般防渗区：生产厂房等采取地面硬化处理。</w:t>
            </w:r>
          </w:p>
          <w:p w14:paraId="3079B62D">
            <w:pPr>
              <w:pStyle w:val="24"/>
              <w:keepNext w:val="0"/>
              <w:keepLines w:val="0"/>
              <w:pageBreakBefore w:val="0"/>
              <w:widowControl w:val="0"/>
              <w:kinsoku/>
              <w:wordWrap/>
              <w:overflowPunct/>
              <w:topLinePunct w:val="0"/>
              <w:bidi w:val="0"/>
              <w:spacing w:after="0" w:line="360" w:lineRule="auto"/>
              <w:ind w:left="0" w:leftChars="0" w:firstLine="480"/>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因此，本项目采取上述污染防护措施后，将不会对地下水、土壤环境造成污染。</w:t>
            </w:r>
          </w:p>
          <w:p w14:paraId="34BB233E">
            <w:pPr>
              <w:numPr>
                <w:ilvl w:val="0"/>
                <w:numId w:val="0"/>
              </w:numPr>
              <w:adjustRightInd w:val="0"/>
              <w:snapToGrid w:val="0"/>
              <w:spacing w:line="360" w:lineRule="auto"/>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pacing w:val="-10"/>
                <w:kern w:val="2"/>
                <w:sz w:val="24"/>
                <w:szCs w:val="24"/>
                <w:highlight w:val="none"/>
                <w:lang w:val="en-US" w:eastAsia="zh-CN" w:bidi="ar-SA"/>
                <w14:textFill>
                  <w14:solidFill>
                    <w14:schemeClr w14:val="tx1"/>
                  </w14:solidFill>
                </w14:textFill>
              </w:rPr>
              <w:t>6、</w:t>
            </w: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环境风险</w:t>
            </w:r>
          </w:p>
          <w:p w14:paraId="46E62122">
            <w:pPr>
              <w:numPr>
                <w:ilvl w:val="0"/>
                <w:numId w:val="0"/>
              </w:numPr>
              <w:adjustRightInd w:val="0"/>
              <w:snapToGrid w:val="0"/>
              <w:spacing w:line="360" w:lineRule="auto"/>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t>（1）危险物质和风险源分布</w:t>
            </w:r>
          </w:p>
          <w:p w14:paraId="19C7032C">
            <w:pPr>
              <w:pStyle w:val="41"/>
              <w:spacing w:line="360" w:lineRule="auto"/>
              <w:ind w:firstLine="480" w:firstLineChars="200"/>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根据《建设项目环境风险评价技术导则》（HJ169-2018）中的标准进行危险性识别，</w:t>
            </w:r>
            <w:r>
              <w:rPr>
                <w:rFonts w:hint="default" w:ascii="Times New Roman" w:hAnsi="Times New Roman" w:cs="Times New Roman"/>
                <w:color w:val="000000" w:themeColor="text1"/>
                <w:sz w:val="24"/>
                <w:szCs w:val="24"/>
                <w:highlight w:val="none"/>
                <w14:textFill>
                  <w14:solidFill>
                    <w14:schemeClr w14:val="tx1"/>
                  </w14:solidFill>
                </w14:textFill>
              </w:rPr>
              <w:t>本项目所</w:t>
            </w:r>
            <w:r>
              <w:rPr>
                <w:rFonts w:hint="default" w:ascii="Times New Roman" w:hAnsi="Times New Roman" w:cs="Times New Roman"/>
                <w:color w:val="000000" w:themeColor="text1"/>
                <w:sz w:val="24"/>
                <w:szCs w:val="24"/>
                <w:highlight w:val="none"/>
                <w:lang w:eastAsia="zh-CN"/>
                <w14:textFill>
                  <w14:solidFill>
                    <w14:schemeClr w14:val="tx1"/>
                  </w14:solidFill>
                </w14:textFill>
              </w:rPr>
              <w:t>涉及</w:t>
            </w:r>
            <w:r>
              <w:rPr>
                <w:rFonts w:hint="default" w:ascii="Times New Roman" w:hAnsi="Times New Roman" w:cs="Times New Roman"/>
                <w:color w:val="000000" w:themeColor="text1"/>
                <w:sz w:val="24"/>
                <w:szCs w:val="24"/>
                <w:highlight w:val="none"/>
                <w14:textFill>
                  <w14:solidFill>
                    <w14:schemeClr w14:val="tx1"/>
                  </w14:solidFill>
                </w14:textFill>
              </w:rPr>
              <w:t>的危险物质有：</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润滑油和废润滑油</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55B15EE5">
            <w:pPr>
              <w:pStyle w:val="20"/>
              <w:adjustRightInd w:val="0"/>
              <w:spacing w:after="0"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本项目危险物质数量与临界量比值见</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下</w:t>
            </w:r>
            <w:r>
              <w:rPr>
                <w:rFonts w:hint="default" w:ascii="Times New Roman" w:hAnsi="Times New Roman" w:cs="Times New Roman"/>
                <w:color w:val="000000" w:themeColor="text1"/>
                <w:kern w:val="0"/>
                <w:sz w:val="24"/>
                <w:highlight w:val="none"/>
                <w14:textFill>
                  <w14:solidFill>
                    <w14:schemeClr w14:val="tx1"/>
                  </w14:solidFill>
                </w14:textFill>
              </w:rPr>
              <w:t>表。</w:t>
            </w:r>
          </w:p>
          <w:p w14:paraId="7EC0984A">
            <w:pPr>
              <w:spacing w:line="240" w:lineRule="auto"/>
              <w:jc w:val="center"/>
              <w:rPr>
                <w:rFonts w:hint="default" w:ascii="Times New Roman" w:hAnsi="Times New Roman" w:cs="Times New Roman"/>
                <w:color w:val="000000" w:themeColor="text1"/>
                <w:highlight w:val="none"/>
                <w:lang w:val="zh-CN"/>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表</w:t>
            </w:r>
            <w:r>
              <w:rPr>
                <w:rFonts w:hint="default" w:ascii="Times New Roman" w:hAnsi="Times New Roman" w:cs="Times New Roman"/>
                <w:b/>
                <w:bCs/>
                <w:color w:val="000000" w:themeColor="text1"/>
                <w:highlight w:val="none"/>
                <w:lang w:val="en-US" w:eastAsia="zh-CN"/>
                <w14:textFill>
                  <w14:solidFill>
                    <w14:schemeClr w14:val="tx1"/>
                  </w14:solidFill>
                </w14:textFill>
              </w:rPr>
              <w:t>4-11</w:t>
            </w:r>
            <w:r>
              <w:rPr>
                <w:rFonts w:hint="eastAsia" w:cs="Times New Roman"/>
                <w:b/>
                <w:bCs/>
                <w:color w:val="000000" w:themeColor="text1"/>
                <w:highlight w:val="none"/>
                <w:lang w:val="en-US" w:eastAsia="zh-CN"/>
                <w14:textFill>
                  <w14:solidFill>
                    <w14:schemeClr w14:val="tx1"/>
                  </w14:solidFill>
                </w14:textFill>
              </w:rPr>
              <w:t xml:space="preserve"> </w:t>
            </w:r>
            <w:r>
              <w:rPr>
                <w:rFonts w:hint="eastAsia" w:ascii="Times New Roman" w:hAnsi="Times New Roman" w:cs="Times New Roman"/>
                <w:b/>
                <w:bCs/>
                <w:color w:val="000000" w:themeColor="text1"/>
                <w:kern w:val="0"/>
                <w:szCs w:val="28"/>
                <w:highlight w:val="none"/>
                <w:lang w:val="en-US" w:eastAsia="zh-CN"/>
                <w14:textFill>
                  <w14:solidFill>
                    <w14:schemeClr w14:val="tx1"/>
                  </w14:solidFill>
                </w14:textFill>
              </w:rPr>
              <w:t>环境风险物质</w:t>
            </w:r>
            <w:r>
              <w:rPr>
                <w:rFonts w:hint="default" w:ascii="Times New Roman" w:hAnsi="Times New Roman" w:cs="Times New Roman"/>
                <w:b/>
                <w:bCs/>
                <w:color w:val="000000" w:themeColor="text1"/>
                <w:kern w:val="0"/>
                <w:szCs w:val="28"/>
                <w:highlight w:val="none"/>
                <w:lang w:val="zh-CN"/>
                <w14:textFill>
                  <w14:solidFill>
                    <w14:schemeClr w14:val="tx1"/>
                  </w14:solidFill>
                </w14:textFill>
              </w:rPr>
              <w:t>识别表</w:t>
            </w:r>
          </w:p>
          <w:tbl>
            <w:tblPr>
              <w:tblStyle w:val="2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1228"/>
              <w:gridCol w:w="1599"/>
              <w:gridCol w:w="1323"/>
              <w:gridCol w:w="1950"/>
              <w:gridCol w:w="1356"/>
            </w:tblGrid>
            <w:tr w14:paraId="11AAE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8" w:type="pct"/>
                  <w:noWrap w:val="0"/>
                  <w:vAlign w:val="center"/>
                </w:tcPr>
                <w:p w14:paraId="576C3952">
                  <w:pPr>
                    <w:pStyle w:val="3"/>
                    <w:tabs>
                      <w:tab w:val="left" w:pos="576"/>
                    </w:tabs>
                    <w:snapToGrid w:val="0"/>
                    <w:spacing w:line="240" w:lineRule="auto"/>
                    <w:jc w:val="center"/>
                    <w:outlineLvl w:val="1"/>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pPr>
                  <w:bookmarkStart w:id="23" w:name="_Toc30074"/>
                  <w:r>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t>序号</w:t>
                  </w:r>
                  <w:bookmarkEnd w:id="23"/>
                </w:p>
              </w:tc>
              <w:tc>
                <w:tcPr>
                  <w:tcW w:w="1722" w:type="pct"/>
                  <w:gridSpan w:val="2"/>
                  <w:noWrap w:val="0"/>
                  <w:vAlign w:val="center"/>
                </w:tcPr>
                <w:p w14:paraId="0BFCE5AD">
                  <w:pPr>
                    <w:pStyle w:val="3"/>
                    <w:tabs>
                      <w:tab w:val="left" w:pos="495"/>
                    </w:tabs>
                    <w:snapToGrid w:val="0"/>
                    <w:spacing w:line="240" w:lineRule="auto"/>
                    <w:jc w:val="center"/>
                    <w:outlineLvl w:val="1"/>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pPr>
                  <w:bookmarkStart w:id="24" w:name="_Toc25281"/>
                  <w:r>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t>危险物质名称</w:t>
                  </w:r>
                  <w:bookmarkEnd w:id="24"/>
                </w:p>
              </w:tc>
              <w:tc>
                <w:tcPr>
                  <w:tcW w:w="805" w:type="pct"/>
                  <w:noWrap w:val="0"/>
                  <w:vAlign w:val="center"/>
                </w:tcPr>
                <w:p w14:paraId="79FBF715">
                  <w:pPr>
                    <w:pStyle w:val="3"/>
                    <w:tabs>
                      <w:tab w:val="left" w:pos="576"/>
                    </w:tabs>
                    <w:snapToGrid w:val="0"/>
                    <w:spacing w:line="240" w:lineRule="auto"/>
                    <w:jc w:val="center"/>
                    <w:outlineLvl w:val="1"/>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pPr>
                  <w:bookmarkStart w:id="25" w:name="_Toc7125"/>
                  <w:r>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t>最大储存量qn/t</w:t>
                  </w:r>
                  <w:bookmarkEnd w:id="25"/>
                </w:p>
              </w:tc>
              <w:tc>
                <w:tcPr>
                  <w:tcW w:w="1187" w:type="pct"/>
                  <w:noWrap w:val="0"/>
                  <w:vAlign w:val="center"/>
                </w:tcPr>
                <w:p w14:paraId="6C159C1A">
                  <w:pPr>
                    <w:pStyle w:val="3"/>
                    <w:tabs>
                      <w:tab w:val="left" w:pos="576"/>
                    </w:tabs>
                    <w:snapToGrid w:val="0"/>
                    <w:spacing w:line="240" w:lineRule="auto"/>
                    <w:jc w:val="center"/>
                    <w:outlineLvl w:val="1"/>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pPr>
                  <w:bookmarkStart w:id="26" w:name="_Toc7570"/>
                  <w:r>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t>HJ169</w:t>
                  </w:r>
                  <w:r>
                    <w:rPr>
                      <w:rFonts w:hint="eastAsia" w:cs="Times New Roman"/>
                      <w:b/>
                      <w:bCs w:val="0"/>
                      <w:color w:val="000000" w:themeColor="text1"/>
                      <w:w w:val="100"/>
                      <w:kern w:val="2"/>
                      <w:sz w:val="21"/>
                      <w:szCs w:val="21"/>
                      <w:highlight w:val="none"/>
                      <w:lang w:val="en-US" w:eastAsia="zh-CN" w:bidi="ar-SA"/>
                      <w14:textFill>
                        <w14:solidFill>
                          <w14:schemeClr w14:val="tx1"/>
                        </w14:solidFill>
                      </w14:textFill>
                    </w:rPr>
                    <w:t>-</w:t>
                  </w:r>
                  <w:r>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t>2018</w:t>
                  </w:r>
                  <w:bookmarkEnd w:id="26"/>
                </w:p>
                <w:p w14:paraId="3F9923F0">
                  <w:pPr>
                    <w:pStyle w:val="3"/>
                    <w:tabs>
                      <w:tab w:val="left" w:pos="576"/>
                    </w:tabs>
                    <w:snapToGrid w:val="0"/>
                    <w:spacing w:line="240" w:lineRule="auto"/>
                    <w:jc w:val="center"/>
                    <w:outlineLvl w:val="1"/>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pPr>
                  <w:bookmarkStart w:id="27" w:name="_Toc16996"/>
                  <w:r>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t>附录B临界量Qn/t</w:t>
                  </w:r>
                  <w:bookmarkEnd w:id="27"/>
                </w:p>
              </w:tc>
              <w:tc>
                <w:tcPr>
                  <w:tcW w:w="826" w:type="pct"/>
                  <w:noWrap w:val="0"/>
                  <w:vAlign w:val="center"/>
                </w:tcPr>
                <w:p w14:paraId="1C9ABD45">
                  <w:pPr>
                    <w:pStyle w:val="3"/>
                    <w:tabs>
                      <w:tab w:val="left" w:pos="576"/>
                    </w:tabs>
                    <w:snapToGrid w:val="0"/>
                    <w:spacing w:line="240" w:lineRule="auto"/>
                    <w:jc w:val="center"/>
                    <w:outlineLvl w:val="1"/>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pPr>
                  <w:bookmarkStart w:id="28" w:name="_Toc768"/>
                  <w:r>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t>该种危险</w:t>
                  </w:r>
                  <w:bookmarkEnd w:id="28"/>
                </w:p>
                <w:p w14:paraId="0B00FC49">
                  <w:pPr>
                    <w:pStyle w:val="3"/>
                    <w:tabs>
                      <w:tab w:val="left" w:pos="576"/>
                    </w:tabs>
                    <w:snapToGrid w:val="0"/>
                    <w:spacing w:line="240" w:lineRule="auto"/>
                    <w:jc w:val="center"/>
                    <w:outlineLvl w:val="1"/>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pPr>
                  <w:bookmarkStart w:id="29" w:name="_Toc27747"/>
                  <w:r>
                    <w:rPr>
                      <w:rFonts w:hint="default" w:ascii="Times New Roman" w:hAnsi="Times New Roman" w:eastAsia="宋体" w:cs="Times New Roman"/>
                      <w:b/>
                      <w:bCs w:val="0"/>
                      <w:color w:val="000000" w:themeColor="text1"/>
                      <w:w w:val="100"/>
                      <w:kern w:val="2"/>
                      <w:sz w:val="21"/>
                      <w:szCs w:val="21"/>
                      <w:highlight w:val="none"/>
                      <w:lang w:val="en-US" w:eastAsia="zh-CN" w:bidi="ar-SA"/>
                      <w14:textFill>
                        <w14:solidFill>
                          <w14:schemeClr w14:val="tx1"/>
                        </w14:solidFill>
                      </w14:textFill>
                    </w:rPr>
                    <w:t>物质Q值</w:t>
                  </w:r>
                  <w:bookmarkEnd w:id="29"/>
                </w:p>
              </w:tc>
            </w:tr>
            <w:tr w14:paraId="0ED18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8" w:type="pct"/>
                  <w:noWrap w:val="0"/>
                  <w:vAlign w:val="center"/>
                </w:tcPr>
                <w:p w14:paraId="066B26B6">
                  <w:pPr>
                    <w:pStyle w:val="3"/>
                    <w:tabs>
                      <w:tab w:val="left" w:pos="576"/>
                    </w:tabs>
                    <w:snapToGrid w:val="0"/>
                    <w:spacing w:line="240" w:lineRule="auto"/>
                    <w:jc w:val="center"/>
                    <w:outlineLvl w:val="1"/>
                    <w:rPr>
                      <w:rFonts w:hint="eastAsia" w:ascii="Times New Roman" w:hAnsi="Times New Roman" w:eastAsia="宋体" w:cs="Times New Roman"/>
                      <w:b w:val="0"/>
                      <w:color w:val="000000" w:themeColor="text1"/>
                      <w:sz w:val="21"/>
                      <w:szCs w:val="21"/>
                      <w:highlight w:val="none"/>
                      <w:lang w:val="en-US" w:eastAsia="zh-CN"/>
                      <w14:textFill>
                        <w14:solidFill>
                          <w14:schemeClr w14:val="tx1"/>
                        </w14:solidFill>
                      </w14:textFill>
                    </w:rPr>
                  </w:pPr>
                  <w:bookmarkStart w:id="30" w:name="_Toc17736"/>
                  <w:r>
                    <w:rPr>
                      <w:rFonts w:hint="eastAsia" w:ascii="Times New Roman" w:hAnsi="Times New Roman" w:cs="Times New Roman"/>
                      <w:b w:val="0"/>
                      <w:color w:val="000000" w:themeColor="text1"/>
                      <w:sz w:val="21"/>
                      <w:szCs w:val="21"/>
                      <w:highlight w:val="none"/>
                      <w:lang w:val="en-US" w:eastAsia="zh-CN"/>
                      <w14:textFill>
                        <w14:solidFill>
                          <w14:schemeClr w14:val="tx1"/>
                        </w14:solidFill>
                      </w14:textFill>
                    </w:rPr>
                    <w:t>1</w:t>
                  </w:r>
                </w:p>
              </w:tc>
              <w:tc>
                <w:tcPr>
                  <w:tcW w:w="748" w:type="pct"/>
                  <w:vMerge w:val="restart"/>
                  <w:noWrap w:val="0"/>
                  <w:vAlign w:val="center"/>
                </w:tcPr>
                <w:p w14:paraId="3A4BDFB9">
                  <w:pPr>
                    <w:tabs>
                      <w:tab w:val="left" w:pos="576"/>
                    </w:tabs>
                    <w:spacing w:line="240" w:lineRule="auto"/>
                    <w:ind w:firstLine="0" w:firstLineChars="0"/>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Cs/>
                      <w:color w:val="000000" w:themeColor="text1"/>
                      <w:sz w:val="21"/>
                      <w:szCs w:val="21"/>
                      <w:highlight w:val="none"/>
                      <w14:textFill>
                        <w14:solidFill>
                          <w14:schemeClr w14:val="tx1"/>
                        </w14:solidFill>
                      </w14:textFill>
                    </w:rPr>
                    <w:t>油类物质</w:t>
                  </w:r>
                </w:p>
              </w:tc>
              <w:tc>
                <w:tcPr>
                  <w:tcW w:w="974" w:type="pct"/>
                  <w:noWrap w:val="0"/>
                  <w:vAlign w:val="center"/>
                </w:tcPr>
                <w:p w14:paraId="09891AAF">
                  <w:pPr>
                    <w:pStyle w:val="3"/>
                    <w:tabs>
                      <w:tab w:val="left" w:pos="576"/>
                    </w:tabs>
                    <w:snapToGrid w:val="0"/>
                    <w:spacing w:line="240" w:lineRule="auto"/>
                    <w:jc w:val="center"/>
                    <w:outlineLvl w:val="1"/>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highlight w:val="none"/>
                      <w:lang w:val="en-US" w:eastAsia="zh-CN"/>
                      <w14:textFill>
                        <w14:solidFill>
                          <w14:schemeClr w14:val="tx1"/>
                        </w14:solidFill>
                      </w14:textFill>
                    </w:rPr>
                    <w:t>润滑油</w:t>
                  </w:r>
                </w:p>
              </w:tc>
              <w:tc>
                <w:tcPr>
                  <w:tcW w:w="805" w:type="pct"/>
                  <w:noWrap w:val="0"/>
                  <w:vAlign w:val="center"/>
                </w:tcPr>
                <w:p w14:paraId="160963D2">
                  <w:pPr>
                    <w:tabs>
                      <w:tab w:val="left" w:pos="576"/>
                    </w:tabs>
                    <w:spacing w:line="240" w:lineRule="auto"/>
                    <w:ind w:firstLine="0" w:firstLineChars="0"/>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0.17</w:t>
                  </w:r>
                </w:p>
              </w:tc>
              <w:tc>
                <w:tcPr>
                  <w:tcW w:w="1187" w:type="pct"/>
                  <w:noWrap w:val="0"/>
                  <w:vAlign w:val="center"/>
                </w:tcPr>
                <w:p w14:paraId="5D9480F2">
                  <w:pPr>
                    <w:tabs>
                      <w:tab w:val="left" w:pos="576"/>
                    </w:tabs>
                    <w:spacing w:line="240" w:lineRule="auto"/>
                    <w:ind w:firstLine="0" w:firstLineChars="0"/>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2500</w:t>
                  </w:r>
                </w:p>
              </w:tc>
              <w:tc>
                <w:tcPr>
                  <w:tcW w:w="826" w:type="pct"/>
                  <w:noWrap w:val="0"/>
                  <w:vAlign w:val="center"/>
                </w:tcPr>
                <w:p w14:paraId="76B46C41">
                  <w:pPr>
                    <w:tabs>
                      <w:tab w:val="left" w:pos="576"/>
                    </w:tabs>
                    <w:spacing w:line="240" w:lineRule="auto"/>
                    <w:ind w:firstLine="0" w:firstLineChars="0"/>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0.000068</w:t>
                  </w:r>
                </w:p>
              </w:tc>
            </w:tr>
            <w:bookmarkEnd w:id="30"/>
            <w:tr w14:paraId="6ECB2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8" w:type="pct"/>
                  <w:noWrap w:val="0"/>
                  <w:vAlign w:val="center"/>
                </w:tcPr>
                <w:p w14:paraId="4EAA20E4">
                  <w:pPr>
                    <w:pStyle w:val="3"/>
                    <w:tabs>
                      <w:tab w:val="left" w:pos="576"/>
                    </w:tabs>
                    <w:snapToGrid w:val="0"/>
                    <w:spacing w:line="240" w:lineRule="auto"/>
                    <w:jc w:val="center"/>
                    <w:outlineLvl w:val="1"/>
                    <w:rPr>
                      <w:rFonts w:hint="eastAsia" w:ascii="Times New Roman" w:hAnsi="Times New Roman" w:eastAsia="宋体" w:cs="Times New Roman"/>
                      <w:b w:val="0"/>
                      <w:color w:val="000000" w:themeColor="text1"/>
                      <w:sz w:val="21"/>
                      <w:szCs w:val="21"/>
                      <w:highlight w:val="none"/>
                      <w:lang w:eastAsia="zh-CN"/>
                      <w14:textFill>
                        <w14:solidFill>
                          <w14:schemeClr w14:val="tx1"/>
                        </w14:solidFill>
                      </w14:textFill>
                    </w:rPr>
                  </w:pPr>
                  <w:r>
                    <w:rPr>
                      <w:rFonts w:hint="eastAsia" w:ascii="Times New Roman" w:hAnsi="Times New Roman" w:cs="Times New Roman"/>
                      <w:b w:val="0"/>
                      <w:color w:val="000000" w:themeColor="text1"/>
                      <w:sz w:val="21"/>
                      <w:szCs w:val="21"/>
                      <w:highlight w:val="none"/>
                      <w:lang w:val="en-US" w:eastAsia="zh-CN"/>
                      <w14:textFill>
                        <w14:solidFill>
                          <w14:schemeClr w14:val="tx1"/>
                        </w14:solidFill>
                      </w14:textFill>
                    </w:rPr>
                    <w:t>2</w:t>
                  </w:r>
                </w:p>
              </w:tc>
              <w:tc>
                <w:tcPr>
                  <w:tcW w:w="748" w:type="pct"/>
                  <w:vMerge w:val="continue"/>
                  <w:noWrap w:val="0"/>
                  <w:vAlign w:val="center"/>
                </w:tcPr>
                <w:p w14:paraId="7CED1AFF">
                  <w:pPr>
                    <w:tabs>
                      <w:tab w:val="left" w:pos="576"/>
                    </w:tabs>
                    <w:spacing w:line="240" w:lineRule="auto"/>
                    <w:ind w:firstLine="0" w:firstLineChars="0"/>
                    <w:jc w:val="center"/>
                    <w:rPr>
                      <w:rFonts w:hint="default" w:ascii="Times New Roman" w:hAnsi="Times New Roman" w:cs="Times New Roman"/>
                      <w:b/>
                      <w:color w:val="000000" w:themeColor="text1"/>
                      <w:sz w:val="21"/>
                      <w:szCs w:val="21"/>
                      <w:highlight w:val="none"/>
                      <w14:textFill>
                        <w14:solidFill>
                          <w14:schemeClr w14:val="tx1"/>
                        </w14:solidFill>
                      </w14:textFill>
                    </w:rPr>
                  </w:pPr>
                </w:p>
              </w:tc>
              <w:tc>
                <w:tcPr>
                  <w:tcW w:w="974" w:type="pct"/>
                  <w:noWrap w:val="0"/>
                  <w:vAlign w:val="center"/>
                </w:tcPr>
                <w:p w14:paraId="5818F28A">
                  <w:pPr>
                    <w:pStyle w:val="3"/>
                    <w:tabs>
                      <w:tab w:val="left" w:pos="576"/>
                    </w:tabs>
                    <w:snapToGrid w:val="0"/>
                    <w:spacing w:line="240" w:lineRule="auto"/>
                    <w:jc w:val="center"/>
                    <w:outlineLvl w:val="1"/>
                    <w:rPr>
                      <w:rFonts w:hint="default" w:ascii="Times New Roman" w:hAnsi="Times New Roman" w:cs="Times New Roman"/>
                      <w:b w:val="0"/>
                      <w:color w:val="000000" w:themeColor="text1"/>
                      <w:sz w:val="21"/>
                      <w:szCs w:val="21"/>
                      <w:highlight w:val="none"/>
                      <w14:textFill>
                        <w14:solidFill>
                          <w14:schemeClr w14:val="tx1"/>
                        </w14:solidFill>
                      </w14:textFill>
                    </w:rPr>
                  </w:pPr>
                  <w:bookmarkStart w:id="31" w:name="_Toc4596"/>
                  <w: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t>废润滑油</w:t>
                  </w:r>
                  <w:bookmarkEnd w:id="31"/>
                </w:p>
              </w:tc>
              <w:tc>
                <w:tcPr>
                  <w:tcW w:w="805" w:type="pct"/>
                  <w:noWrap w:val="0"/>
                  <w:vAlign w:val="center"/>
                </w:tcPr>
                <w:p w14:paraId="39514F89">
                  <w:pPr>
                    <w:tabs>
                      <w:tab w:val="left" w:pos="576"/>
                    </w:tabs>
                    <w:spacing w:line="240" w:lineRule="auto"/>
                    <w:ind w:firstLine="0" w:firstLineChars="0"/>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0.408</w:t>
                  </w:r>
                </w:p>
              </w:tc>
              <w:tc>
                <w:tcPr>
                  <w:tcW w:w="1187" w:type="pct"/>
                  <w:noWrap w:val="0"/>
                  <w:vAlign w:val="center"/>
                </w:tcPr>
                <w:p w14:paraId="024488C7">
                  <w:pPr>
                    <w:tabs>
                      <w:tab w:val="left" w:pos="576"/>
                    </w:tabs>
                    <w:spacing w:line="240" w:lineRule="auto"/>
                    <w:ind w:firstLine="0" w:firstLineChars="0"/>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cs="Times New Roman"/>
                      <w:b w:val="0"/>
                      <w:bCs w:val="0"/>
                      <w:color w:val="000000" w:themeColor="text1"/>
                      <w:sz w:val="21"/>
                      <w:szCs w:val="21"/>
                      <w:highlight w:val="none"/>
                      <w:lang w:val="en-US" w:eastAsia="zh-CN"/>
                      <w14:textFill>
                        <w14:solidFill>
                          <w14:schemeClr w14:val="tx1"/>
                        </w14:solidFill>
                      </w14:textFill>
                    </w:rPr>
                    <w:t>50</w:t>
                  </w:r>
                </w:p>
              </w:tc>
              <w:tc>
                <w:tcPr>
                  <w:tcW w:w="826" w:type="pct"/>
                  <w:noWrap w:val="0"/>
                  <w:vAlign w:val="center"/>
                </w:tcPr>
                <w:p w14:paraId="403A79CD">
                  <w:pPr>
                    <w:tabs>
                      <w:tab w:val="left" w:pos="576"/>
                    </w:tabs>
                    <w:spacing w:line="240" w:lineRule="auto"/>
                    <w:ind w:firstLine="0" w:firstLineChars="0"/>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cs="Times New Roman"/>
                      <w:b w:val="0"/>
                      <w:bCs w:val="0"/>
                      <w:color w:val="000000" w:themeColor="text1"/>
                      <w:sz w:val="21"/>
                      <w:szCs w:val="21"/>
                      <w:highlight w:val="none"/>
                      <w:lang w:val="en-US" w:eastAsia="zh-CN"/>
                      <w14:textFill>
                        <w14:solidFill>
                          <w14:schemeClr w14:val="tx1"/>
                        </w14:solidFill>
                      </w14:textFill>
                    </w:rPr>
                    <w:t>0.00816</w:t>
                  </w:r>
                </w:p>
              </w:tc>
            </w:tr>
            <w:tr w14:paraId="7643F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73" w:type="pct"/>
                  <w:gridSpan w:val="5"/>
                  <w:noWrap w:val="0"/>
                  <w:vAlign w:val="center"/>
                </w:tcPr>
                <w:p w14:paraId="31E51861">
                  <w:pPr>
                    <w:pStyle w:val="3"/>
                    <w:tabs>
                      <w:tab w:val="left" w:pos="576"/>
                    </w:tabs>
                    <w:snapToGrid w:val="0"/>
                    <w:spacing w:line="240" w:lineRule="auto"/>
                    <w:jc w:val="center"/>
                    <w:outlineLvl w:val="1"/>
                    <w:rPr>
                      <w:rFonts w:hint="default" w:ascii="Times New Roman" w:hAnsi="Times New Roman" w:cs="Times New Roman"/>
                      <w:b w:val="0"/>
                      <w:bCs w:val="0"/>
                      <w:color w:val="000000" w:themeColor="text1"/>
                      <w:sz w:val="21"/>
                      <w:szCs w:val="21"/>
                      <w:highlight w:val="none"/>
                      <w14:textFill>
                        <w14:solidFill>
                          <w14:schemeClr w14:val="tx1"/>
                        </w14:solidFill>
                      </w14:textFill>
                    </w:rPr>
                  </w:pPr>
                  <w:bookmarkStart w:id="32" w:name="_Toc8523"/>
                  <w:r>
                    <w:rPr>
                      <w:rFonts w:hint="default" w:ascii="Times New Roman" w:hAnsi="Times New Roman" w:eastAsia="宋体" w:cs="Times New Roman"/>
                      <w:b w:val="0"/>
                      <w:bCs w:val="0"/>
                      <w:color w:val="000000" w:themeColor="text1"/>
                      <w:w w:val="100"/>
                      <w:kern w:val="2"/>
                      <w:sz w:val="21"/>
                      <w:szCs w:val="21"/>
                      <w:highlight w:val="none"/>
                      <w:lang w:val="en-US" w:eastAsia="zh-CN" w:bidi="ar-SA"/>
                      <w14:textFill>
                        <w14:solidFill>
                          <w14:schemeClr w14:val="tx1"/>
                        </w14:solidFill>
                      </w14:textFill>
                    </w:rPr>
                    <w:t>项目Q值∑</w:t>
                  </w:r>
                  <w:bookmarkEnd w:id="32"/>
                </w:p>
              </w:tc>
              <w:tc>
                <w:tcPr>
                  <w:tcW w:w="826" w:type="pct"/>
                  <w:noWrap w:val="0"/>
                  <w:vAlign w:val="center"/>
                </w:tcPr>
                <w:p w14:paraId="0674BCB5">
                  <w:pPr>
                    <w:tabs>
                      <w:tab w:val="left" w:pos="576"/>
                    </w:tabs>
                    <w:spacing w:line="240" w:lineRule="auto"/>
                    <w:ind w:firstLine="0" w:firstLineChars="0"/>
                    <w:jc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cs="Times New Roman"/>
                      <w:b w:val="0"/>
                      <w:bCs w:val="0"/>
                      <w:color w:val="000000" w:themeColor="text1"/>
                      <w:sz w:val="21"/>
                      <w:szCs w:val="21"/>
                      <w:highlight w:val="none"/>
                      <w:lang w:val="en-US" w:eastAsia="zh-CN"/>
                      <w14:textFill>
                        <w14:solidFill>
                          <w14:schemeClr w14:val="tx1"/>
                        </w14:solidFill>
                      </w14:textFill>
                    </w:rPr>
                    <w:t>0.008228</w:t>
                  </w:r>
                </w:p>
              </w:tc>
            </w:tr>
          </w:tbl>
          <w:p w14:paraId="53397416">
            <w:pPr>
              <w:numPr>
                <w:ilvl w:val="0"/>
                <w:numId w:val="0"/>
              </w:numPr>
              <w:adjustRightInd w:val="0"/>
              <w:snapToGrid w:val="0"/>
              <w:spacing w:line="360" w:lineRule="auto"/>
              <w:ind w:firstLine="48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由</w:t>
            </w:r>
            <w:r>
              <w:rPr>
                <w:rFonts w:hint="default" w:ascii="Times New Roman" w:hAnsi="Times New Roman" w:cs="Times New Roman"/>
                <w:color w:val="000000" w:themeColor="text1"/>
                <w:kern w:val="0"/>
                <w:sz w:val="24"/>
                <w:szCs w:val="24"/>
                <w:highlight w:val="none"/>
                <w14:textFill>
                  <w14:solidFill>
                    <w14:schemeClr w14:val="tx1"/>
                  </w14:solidFill>
                </w14:textFill>
              </w:rPr>
              <w:t>上表可知，本项目</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环境风险</w:t>
            </w:r>
            <w:r>
              <w:rPr>
                <w:rFonts w:hint="default" w:ascii="Times New Roman" w:hAnsi="Times New Roman" w:cs="Times New Roman"/>
                <w:color w:val="000000" w:themeColor="text1"/>
                <w:kern w:val="0"/>
                <w:sz w:val="24"/>
                <w:szCs w:val="24"/>
                <w:highlight w:val="none"/>
                <w14:textFill>
                  <w14:solidFill>
                    <w14:schemeClr w14:val="tx1"/>
                  </w14:solidFill>
                </w14:textFill>
              </w:rPr>
              <w:t>物质数量与临界量比值Q＜1</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p>
          <w:p w14:paraId="713F3AF0">
            <w:pPr>
              <w:numPr>
                <w:ilvl w:val="0"/>
                <w:numId w:val="0"/>
              </w:numPr>
              <w:adjustRightInd w:val="0"/>
              <w:snapToGrid w:val="0"/>
              <w:spacing w:line="360" w:lineRule="auto"/>
              <w:ind w:left="0" w:leftChars="0"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Cs/>
                <w:color w:val="000000" w:themeColor="text1"/>
                <w:spacing w:val="-10"/>
                <w:kern w:val="2"/>
                <w:sz w:val="24"/>
                <w:szCs w:val="24"/>
                <w:highlight w:val="none"/>
                <w:lang w:val="en-US" w:eastAsia="zh-CN" w:bidi="ar-SA"/>
                <w14:textFill>
                  <w14:solidFill>
                    <w14:schemeClr w14:val="tx1"/>
                  </w14:solidFill>
                </w14:textFill>
              </w:rPr>
              <w:t>（2）</w:t>
            </w:r>
            <w:r>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t>影响途径</w:t>
            </w:r>
          </w:p>
          <w:p w14:paraId="75C00ED8">
            <w:pPr>
              <w:widowControl/>
              <w:spacing w:line="360" w:lineRule="auto"/>
              <w:ind w:firstLine="480" w:firstLineChars="200"/>
              <w:jc w:val="left"/>
              <w:rPr>
                <w:rFonts w:hint="default" w:ascii="Times New Roman" w:hAnsi="Times New Roman" w:eastAsia="TimesNewRomanPSMT"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eastAsia="zh-CN" w:bidi="ar"/>
                <w14:textFill>
                  <w14:solidFill>
                    <w14:schemeClr w14:val="tx1"/>
                  </w14:solidFill>
                </w14:textFill>
              </w:rPr>
              <w:t>油类物质泄漏</w:t>
            </w:r>
            <w:r>
              <w:rPr>
                <w:rFonts w:hint="default" w:ascii="Times New Roman" w:hAnsi="Times New Roman" w:eastAsia="TimesNewRomanPSMT" w:cs="Times New Roman"/>
                <w:color w:val="000000" w:themeColor="text1"/>
                <w:kern w:val="0"/>
                <w:sz w:val="24"/>
                <w:szCs w:val="24"/>
                <w:highlight w:val="none"/>
                <w:lang w:bidi="ar"/>
                <w14:textFill>
                  <w14:solidFill>
                    <w14:schemeClr w14:val="tx1"/>
                  </w14:solidFill>
                </w14:textFill>
              </w:rPr>
              <w:t>通过地表径流进入地表水或通过土壤渗透至地下水；</w:t>
            </w:r>
            <w:r>
              <w:rPr>
                <w:rFonts w:hint="eastAsia" w:eastAsia="宋体" w:cs="Times New Roman"/>
                <w:color w:val="000000" w:themeColor="text1"/>
                <w:kern w:val="0"/>
                <w:sz w:val="24"/>
                <w:szCs w:val="24"/>
                <w:highlight w:val="none"/>
                <w:lang w:val="en-US" w:eastAsia="zh-CN" w:bidi="ar"/>
                <w14:textFill>
                  <w14:solidFill>
                    <w14:schemeClr w14:val="tx1"/>
                  </w14:solidFill>
                </w14:textFill>
              </w:rPr>
              <w:t>含油废物</w:t>
            </w:r>
            <w:r>
              <w:rPr>
                <w:rFonts w:hint="default" w:ascii="Times New Roman" w:hAnsi="Times New Roman" w:cs="Times New Roman"/>
                <w:color w:val="000000" w:themeColor="text1"/>
                <w:kern w:val="0"/>
                <w:sz w:val="24"/>
                <w:szCs w:val="24"/>
                <w:highlight w:val="none"/>
                <w14:textFill>
                  <w14:solidFill>
                    <w14:schemeClr w14:val="tx1"/>
                  </w14:solidFill>
                </w14:textFill>
              </w:rPr>
              <w:t>燃烧产生的一氧化碳通过空气影响大气环境</w:t>
            </w:r>
            <w:r>
              <w:rPr>
                <w:rFonts w:hint="default" w:ascii="Times New Roman" w:hAnsi="Times New Roman" w:eastAsia="TimesNewRomanPSMT" w:cs="Times New Roman"/>
                <w:color w:val="000000" w:themeColor="text1"/>
                <w:kern w:val="0"/>
                <w:sz w:val="24"/>
                <w:szCs w:val="24"/>
                <w:highlight w:val="none"/>
                <w:lang w:bidi="ar"/>
                <w14:textFill>
                  <w14:solidFill>
                    <w14:schemeClr w14:val="tx1"/>
                  </w14:solidFill>
                </w14:textFill>
              </w:rPr>
              <w:t>。则本厂最大可信事故为：</w:t>
            </w:r>
            <w:r>
              <w:rPr>
                <w:rFonts w:hint="eastAsia" w:eastAsia="宋体" w:cs="Times New Roman"/>
                <w:color w:val="000000" w:themeColor="text1"/>
                <w:kern w:val="0"/>
                <w:sz w:val="24"/>
                <w:szCs w:val="24"/>
                <w:highlight w:val="none"/>
                <w:lang w:val="en-US" w:eastAsia="zh-CN" w:bidi="ar"/>
                <w14:textFill>
                  <w14:solidFill>
                    <w14:schemeClr w14:val="tx1"/>
                  </w14:solidFill>
                </w14:textFill>
              </w:rPr>
              <w:t>油类物质</w:t>
            </w:r>
            <w:r>
              <w:rPr>
                <w:rFonts w:hint="default" w:ascii="Times New Roman" w:hAnsi="Times New Roman" w:eastAsia="宋体" w:cs="Times New Roman"/>
                <w:color w:val="000000" w:themeColor="text1"/>
                <w:kern w:val="0"/>
                <w:sz w:val="24"/>
                <w:szCs w:val="24"/>
                <w:highlight w:val="none"/>
                <w:lang w:eastAsia="zh-CN" w:bidi="ar"/>
                <w14:textFill>
                  <w14:solidFill>
                    <w14:schemeClr w14:val="tx1"/>
                  </w14:solidFill>
                </w14:textFill>
              </w:rPr>
              <w:t>泄漏</w:t>
            </w:r>
            <w:r>
              <w:rPr>
                <w:rFonts w:hint="default" w:ascii="Times New Roman" w:hAnsi="Times New Roman" w:eastAsia="TimesNewRomanPSMT" w:cs="Times New Roman"/>
                <w:color w:val="000000" w:themeColor="text1"/>
                <w:kern w:val="0"/>
                <w:sz w:val="24"/>
                <w:szCs w:val="24"/>
                <w:highlight w:val="none"/>
                <w:lang w:bidi="ar"/>
                <w14:textFill>
                  <w14:solidFill>
                    <w14:schemeClr w14:val="tx1"/>
                  </w14:solidFill>
                </w14:textFill>
              </w:rPr>
              <w:t>。</w:t>
            </w:r>
          </w:p>
          <w:p w14:paraId="76A2E11D">
            <w:pPr>
              <w:widowControl/>
              <w:spacing w:line="360" w:lineRule="auto"/>
              <w:ind w:firstLine="480" w:firstLineChars="200"/>
              <w:jc w:val="left"/>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TimesNewRomanPSMT" w:cs="Times New Roman"/>
                <w:color w:val="000000" w:themeColor="text1"/>
                <w:kern w:val="0"/>
                <w:sz w:val="24"/>
                <w:szCs w:val="24"/>
                <w:highlight w:val="none"/>
                <w:lang w:bidi="ar"/>
                <w14:textFill>
                  <w14:solidFill>
                    <w14:schemeClr w14:val="tx1"/>
                  </w14:solidFill>
                </w14:textFill>
              </w:rPr>
              <w:t>本项目风险物质中</w:t>
            </w:r>
            <w:r>
              <w:rPr>
                <w:rFonts w:hint="default" w:ascii="Times New Roman" w:hAnsi="Times New Roman" w:eastAsia="宋体" w:cs="Times New Roman"/>
                <w:color w:val="000000" w:themeColor="text1"/>
                <w:kern w:val="0"/>
                <w:sz w:val="24"/>
                <w:szCs w:val="24"/>
                <w:highlight w:val="none"/>
                <w:lang w:eastAsia="zh-CN" w:bidi="ar"/>
                <w14:textFill>
                  <w14:solidFill>
                    <w14:schemeClr w14:val="tx1"/>
                  </w14:solidFill>
                </w14:textFill>
              </w:rPr>
              <w:t>油类物质</w:t>
            </w:r>
            <w:r>
              <w:rPr>
                <w:rFonts w:hint="default" w:ascii="Times New Roman" w:hAnsi="Times New Roman" w:eastAsia="TimesNewRomanPSMT" w:cs="Times New Roman"/>
                <w:color w:val="000000" w:themeColor="text1"/>
                <w:kern w:val="0"/>
                <w:sz w:val="24"/>
                <w:szCs w:val="24"/>
                <w:highlight w:val="none"/>
                <w:lang w:bidi="ar"/>
                <w14:textFill>
                  <w14:solidFill>
                    <w14:schemeClr w14:val="tx1"/>
                  </w14:solidFill>
                </w14:textFill>
              </w:rPr>
              <w:t>具有有毒有害特性，储存于防渗处理的库房内</w:t>
            </w:r>
            <w:r>
              <w:rPr>
                <w:rFonts w:hint="default" w:ascii="Times New Roman" w:hAnsi="Times New Roman" w:eastAsia="宋体" w:cs="Times New Roman"/>
                <w:color w:val="000000" w:themeColor="text1"/>
                <w:kern w:val="0"/>
                <w:sz w:val="24"/>
                <w:szCs w:val="24"/>
                <w:highlight w:val="none"/>
                <w:lang w:eastAsia="zh-CN" w:bidi="ar"/>
                <w14:textFill>
                  <w14:solidFill>
                    <w14:schemeClr w14:val="tx1"/>
                  </w14:solidFill>
                </w14:textFill>
              </w:rPr>
              <w:t>。</w:t>
            </w:r>
          </w:p>
          <w:p w14:paraId="7F16825D">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Cs/>
                <w:color w:val="000000" w:themeColor="text1"/>
                <w:spacing w:val="-10"/>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3）环境风险防范措施</w:t>
            </w:r>
          </w:p>
          <w:p w14:paraId="441E85D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①</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贮存过程风险防范措施：危险物品入库必须检查验收登记，查看包装是否密封；装卸、搬运时应轻装轻卸；贮存场所应设置应急措施，如托盘等，且其建设应做好硬化、防渗工作；贮存的危险化学品必须有明显的标志，其库房和场所的消防设施、用电设施等必须符合国家的相关规定；要严格遵守有关贮存的安全规定，包括《仓库防火安全管理规则》《建筑设计防火规范》《易燃易爆化学物品消防安全监督管理办法》等。</w:t>
            </w:r>
          </w:p>
          <w:p w14:paraId="35AC48F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②</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生产过程风险防范措施：生产过程事故风险防范是安全生产的重要环节，建设单位应该做到以下防范措施：定期组织员工学习、贯彻各项安全生产政策，并将国家要求和安全技术规范转化为各自岗位的安全操作规程，并悬挂于醒目位置，规范岗位操作，降低事故概率。</w:t>
            </w:r>
          </w:p>
          <w:p w14:paraId="56910E2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③</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加强风险物质储存区域的检查，一旦发生泄漏事故，应立即停产，将危险物质转移到其他容器中，检修完毕后方能投入生产。</w:t>
            </w:r>
          </w:p>
          <w:p w14:paraId="41106E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④储存容器一旦因本身质量、外界因素或人为因素发生大量泄漏后，泄漏的原料将向低处流动。有效的围堵可将泄漏的原料限制在一定的安全范围内，防止火灾事故的发生，同时也有利于溢出物料的收集。因此建议建设单位在风险物品贮存区设置围堰，可有效防止事故状态下风险物品的外泄。</w:t>
            </w:r>
          </w:p>
          <w:p w14:paraId="54AC8AC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⑤</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危废暂存风险防范措施</w:t>
            </w:r>
          </w:p>
          <w:p w14:paraId="32D85C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根据《危险废物贮存污染控制标准》(GB18597-20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23</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)，地面与裙脚用坚固、防渗的材料建造，防渗层采用2mm厚的防渗材料，保证防渗层为至少1m厚黏土层（渗透系数不大于10</w:t>
            </w:r>
            <w:r>
              <w:rPr>
                <w:rFonts w:hint="default" w:ascii="Times New Roman" w:hAnsi="Times New Roman" w:eastAsia="宋体" w:cs="Times New Roman"/>
                <w:color w:val="000000" w:themeColor="text1"/>
                <w:sz w:val="24"/>
                <w:szCs w:val="24"/>
                <w:highlight w:val="none"/>
                <w:vertAlign w:val="superscript"/>
                <w:lang w:eastAsia="zh-CN"/>
                <w14:textFill>
                  <w14:solidFill>
                    <w14:schemeClr w14:val="tx1"/>
                  </w14:solidFill>
                </w14:textFill>
              </w:rPr>
              <w:t>-7</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cm/s），或至少2mm厚高密度聚乙烯膜等人工防渗材料（渗透系数不大于10</w:t>
            </w:r>
            <w:r>
              <w:rPr>
                <w:rFonts w:hint="default" w:ascii="Times New Roman" w:hAnsi="Times New Roman" w:eastAsia="宋体" w:cs="Times New Roman"/>
                <w:color w:val="000000" w:themeColor="text1"/>
                <w:sz w:val="24"/>
                <w:szCs w:val="24"/>
                <w:highlight w:val="none"/>
                <w:vertAlign w:val="superscript"/>
                <w:lang w:eastAsia="zh-CN"/>
                <w14:textFill>
                  <w14:solidFill>
                    <w14:schemeClr w14:val="tx1"/>
                  </w14:solidFill>
                </w14:textFill>
              </w:rPr>
              <w:t>-10</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cm/s）；防雨、防漏；设置明显标志。危废存放过程中，注意存放危险废物堆的防晒、防水等。不相容危险废物要分别存放或存放在不渗透间隔分开的区域内，每个部分都应有防渗漏脚，防漏裙脚的材料要与危险废物相容。</w:t>
            </w:r>
          </w:p>
          <w:p w14:paraId="3543C2F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（4）风险应急预案</w:t>
            </w:r>
          </w:p>
          <w:p w14:paraId="36A2E0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项目建成后应按照《关于进一步加强环境影响评价管理防范环境风险的通知》《企业事业单位突发环境事件应急预案备案管理办法（试行）》）等要求编制环境风险应急预案并进行备案登记。</w:t>
            </w:r>
          </w:p>
          <w:p w14:paraId="0EC1B05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为了有效地处理风险事故，应有切实可行的处理措施。项目风险事故应急措施包括设备器材、事故现场指挥、救护、通讯等系统的建立、现场应急措施方案、事故危害监测队伍、现场撤离和善后措施方案等。</w:t>
            </w:r>
          </w:p>
          <w:p w14:paraId="23F383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①设立报警、通讯系统以及事故处理领导体系：明确职责，并落实有关人员。</w:t>
            </w:r>
          </w:p>
          <w:p w14:paraId="13A20DD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②制定有效处理事故的应急行动方案，并得到有关部门的认可，能与有关部门有效配合。</w:t>
            </w:r>
          </w:p>
          <w:p w14:paraId="5AFE66D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③制定控制和减少事故影响范围以及补救行动的实施计划。</w:t>
            </w:r>
          </w:p>
          <w:p w14:paraId="1223CE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④对事故现场管理以及事故处置全过程的监督，应由事故处置人员或有关部门工作人员承担。</w:t>
            </w:r>
          </w:p>
          <w:p w14:paraId="1B0A9BC6">
            <w:pPr>
              <w:numPr>
                <w:ilvl w:val="0"/>
                <w:numId w:val="0"/>
              </w:numPr>
              <w:adjustRightInd w:val="0"/>
              <w:snapToGrid w:val="0"/>
              <w:spacing w:line="360" w:lineRule="auto"/>
              <w:ind w:left="0" w:leftChars="0"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Cs/>
                <w:color w:val="000000" w:themeColor="text1"/>
                <w:spacing w:val="-10"/>
                <w:kern w:val="2"/>
                <w:sz w:val="24"/>
                <w:szCs w:val="24"/>
                <w:highlight w:val="none"/>
                <w:lang w:val="en-US" w:eastAsia="zh-CN" w:bidi="ar-SA"/>
                <w14:textFill>
                  <w14:solidFill>
                    <w14:schemeClr w14:val="tx1"/>
                  </w14:solidFill>
                </w14:textFill>
              </w:rPr>
              <w:t>（5）</w:t>
            </w:r>
            <w:r>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t>评价结论及建议</w:t>
            </w:r>
          </w:p>
          <w:p w14:paraId="07204EE8">
            <w:pPr>
              <w:numPr>
                <w:ilvl w:val="0"/>
                <w:numId w:val="0"/>
              </w:numPr>
              <w:adjustRightInd w:val="0"/>
              <w:snapToGrid w:val="0"/>
              <w:spacing w:line="360" w:lineRule="auto"/>
              <w:ind w:firstLine="48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根据环境风险判定结果，</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本项目不需要设置专题。</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建设单位通过强化对环境风险物质控制措施，同时制定有针对性的应急计划，购置相关的应急物资，建设项目环境风险可控。</w:t>
            </w:r>
          </w:p>
          <w:p w14:paraId="0FE31A41">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eastAsia"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7、运输过程中环境影响分析</w:t>
            </w:r>
          </w:p>
          <w:p w14:paraId="13BCFA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运输车辆运输过程中</w:t>
            </w:r>
            <w:r>
              <w:rPr>
                <w:rFonts w:hint="default" w:ascii="Times New Roman" w:hAnsi="Times New Roman" w:cs="Times New Roman"/>
                <w:color w:val="000000" w:themeColor="text1"/>
                <w:sz w:val="24"/>
                <w:szCs w:val="24"/>
                <w:highlight w:val="none"/>
                <w14:textFill>
                  <w14:solidFill>
                    <w14:schemeClr w14:val="tx1"/>
                  </w14:solidFill>
                </w14:textFill>
              </w:rPr>
              <w:t>主要排放颗粒物、氮氧化物等污染物。颗粒物会直接增加空气中PM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cs="Times New Roman"/>
                <w:color w:val="000000" w:themeColor="text1"/>
                <w:sz w:val="24"/>
                <w:szCs w:val="24"/>
                <w:highlight w:val="none"/>
                <w14:textFill>
                  <w14:solidFill>
                    <w14:schemeClr w14:val="tx1"/>
                  </w14:solidFill>
                </w14:textFill>
              </w:rPr>
              <w:t>、PM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cs="Times New Roman"/>
                <w:color w:val="000000" w:themeColor="text1"/>
                <w:sz w:val="24"/>
                <w:szCs w:val="24"/>
                <w:highlight w:val="none"/>
                <w14:textFill>
                  <w14:solidFill>
                    <w14:schemeClr w14:val="tx1"/>
                  </w14:solidFill>
                </w14:textFill>
              </w:rPr>
              <w:t>的浓度，导致空气质量下降，影响周边环境空气质量和居民健康。</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建设单位</w:t>
            </w:r>
            <w:r>
              <w:rPr>
                <w:rFonts w:hint="default" w:ascii="Times New Roman" w:hAnsi="Times New Roman" w:cs="Times New Roman"/>
                <w:color w:val="000000" w:themeColor="text1"/>
                <w:sz w:val="24"/>
                <w:szCs w:val="24"/>
                <w:highlight w:val="none"/>
                <w14:textFill>
                  <w14:solidFill>
                    <w14:schemeClr w14:val="tx1"/>
                  </w14:solidFill>
                </w14:textFill>
              </w:rPr>
              <w:t>优先选用符合国六及以上排放标准的</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运输车辆</w:t>
            </w:r>
            <w:r>
              <w:rPr>
                <w:rFonts w:hint="default" w:ascii="Times New Roman" w:hAnsi="Times New Roman" w:cs="Times New Roman"/>
                <w:color w:val="000000" w:themeColor="text1"/>
                <w:sz w:val="24"/>
                <w:szCs w:val="24"/>
                <w:highlight w:val="none"/>
                <w14:textFill>
                  <w14:solidFill>
                    <w14:schemeClr w14:val="tx1"/>
                  </w14:solidFill>
                </w14:textFill>
              </w:rPr>
              <w:t>，或直接采用新能源车辆（如纯电动、氢燃料电池货车），尤其在运输路线途经居民区、学校等敏感点时，新能源车辆占比需不低于30%；禁止使用已淘汰的黄标车、老旧车（使用年限</w:t>
            </w:r>
            <w:r>
              <w:rPr>
                <w:rFonts w:hint="eastAsia" w:ascii="Times New Roman" w:hAnsi="Times New Roman" w:cs="Times New Roman"/>
                <w:color w:val="000000" w:themeColor="text1"/>
                <w:sz w:val="24"/>
                <w:szCs w:val="24"/>
                <w:highlight w:val="none"/>
                <w:lang w:eastAsia="zh-CN"/>
                <w14:textFill>
                  <w14:solidFill>
                    <w14:schemeClr w14:val="tx1"/>
                  </w14:solidFill>
                </w14:textFill>
              </w:rPr>
              <w:t>超过</w:t>
            </w:r>
            <w:r>
              <w:rPr>
                <w:rFonts w:hint="default" w:ascii="Times New Roman" w:hAnsi="Times New Roman" w:cs="Times New Roman"/>
                <w:color w:val="000000" w:themeColor="text1"/>
                <w:sz w:val="24"/>
                <w:szCs w:val="24"/>
                <w:highlight w:val="none"/>
                <w14:textFill>
                  <w14:solidFill>
                    <w14:schemeClr w14:val="tx1"/>
                  </w14:solidFill>
                </w14:textFill>
              </w:rPr>
              <w:t>8年且未达国五标准）参与运输。运输散装物料（如建筑垃圾）时，必须使用带自动密闭顶盖的厢式货车，或对普通货车加装防雨布</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和</w:t>
            </w:r>
            <w:r>
              <w:rPr>
                <w:rFonts w:hint="default" w:ascii="Times New Roman" w:hAnsi="Times New Roman" w:cs="Times New Roman"/>
                <w:color w:val="000000" w:themeColor="text1"/>
                <w:sz w:val="24"/>
                <w:szCs w:val="24"/>
                <w:highlight w:val="none"/>
                <w14:textFill>
                  <w14:solidFill>
                    <w14:schemeClr w14:val="tx1"/>
                  </w14:solidFill>
                </w14:textFill>
              </w:rPr>
              <w:t>防尘网，防止物料遗撒产生扬尘。</w:t>
            </w:r>
          </w:p>
          <w:p w14:paraId="0923F1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运输车辆运输过程中</w:t>
            </w:r>
            <w:r>
              <w:rPr>
                <w:rFonts w:hint="default" w:ascii="Times New Roman" w:hAnsi="Times New Roman" w:cs="Times New Roman"/>
                <w:color w:val="000000" w:themeColor="text1"/>
                <w:sz w:val="24"/>
                <w:szCs w:val="24"/>
                <w:highlight w:val="none"/>
                <w14:textFill>
                  <w14:solidFill>
                    <w14:schemeClr w14:val="tx1"/>
                  </w14:solidFill>
                </w14:textFill>
              </w:rPr>
              <w:t>会产生噪声，可能会对周围声环境敏感点</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如居民区、学校、医院等</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造成噪声污染，影响人们的正常生活、学习和工作。</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运输车辆应</w:t>
            </w:r>
            <w:r>
              <w:rPr>
                <w:rFonts w:hint="default" w:ascii="Times New Roman" w:hAnsi="Times New Roman" w:cs="Times New Roman"/>
                <w:color w:val="000000" w:themeColor="text1"/>
                <w:sz w:val="24"/>
                <w:szCs w:val="24"/>
                <w:highlight w:val="none"/>
                <w14:textFill>
                  <w14:solidFill>
                    <w14:schemeClr w14:val="tx1"/>
                  </w14:solidFill>
                </w14:textFill>
              </w:rPr>
              <w:t>避开环境敏感区（如居民区、医院、学校）</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且</w:t>
            </w:r>
            <w:r>
              <w:rPr>
                <w:rFonts w:hint="default" w:ascii="Times New Roman" w:hAnsi="Times New Roman" w:cs="Times New Roman"/>
                <w:color w:val="000000" w:themeColor="text1"/>
                <w:sz w:val="24"/>
                <w:szCs w:val="24"/>
                <w:highlight w:val="none"/>
                <w14:textFill>
                  <w14:solidFill>
                    <w14:schemeClr w14:val="tx1"/>
                  </w14:solidFill>
                </w14:textFill>
              </w:rPr>
              <w:t>划定运输</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禁行/限行路段</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，若必须途经，需选择距离敏感点边界≥50米的路线；运输时段避开敏感点人员活动高峰，减少污染物与人群的接触时长。</w:t>
            </w:r>
          </w:p>
          <w:p w14:paraId="6388849A">
            <w:pPr>
              <w:keepNext w:val="0"/>
              <w:keepLines w:val="0"/>
              <w:pageBreakBefore w:val="0"/>
              <w:widowControl w:val="0"/>
              <w:numPr>
                <w:ilvl w:val="0"/>
                <w:numId w:val="10"/>
              </w:numPr>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非道路移动机械环境保护管理要求</w:t>
            </w:r>
          </w:p>
          <w:p w14:paraId="468B1F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排放达标要求：</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建设单位</w:t>
            </w:r>
            <w:r>
              <w:rPr>
                <w:rFonts w:hint="default" w:ascii="Times New Roman" w:hAnsi="Times New Roman" w:cs="Times New Roman"/>
                <w:color w:val="000000" w:themeColor="text1"/>
                <w:sz w:val="24"/>
                <w:szCs w:val="24"/>
                <w:highlight w:val="none"/>
                <w14:textFill>
                  <w14:solidFill>
                    <w14:schemeClr w14:val="tx1"/>
                  </w14:solidFill>
                </w14:textFill>
              </w:rPr>
              <w:t>优先采购噪声源强≤85dB（A）的非道路移动机械</w:t>
            </w:r>
            <w:r>
              <w:rPr>
                <w:rFonts w:hint="eastAsia" w:cs="Times New Roman"/>
                <w:color w:val="000000" w:themeColor="text1"/>
                <w:sz w:val="24"/>
                <w:szCs w:val="24"/>
                <w:highlight w:val="none"/>
                <w:lang w:val="en-US" w:eastAsia="zh-CN"/>
                <w14:textFill>
                  <w14:solidFill>
                    <w14:schemeClr w14:val="tx1"/>
                  </w14:solidFill>
                </w14:textFill>
              </w:rPr>
              <w:t>并及时维护保养</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非道路移动机械不得超过国家现行有效的排放标准排放大气污染物，如《非道路移动机械用柴油机排气污染物排放限值及测量方法（中国第三、四阶段）》（GB20891-2014）等相关标准。同时，要符合当地机动车及非道路移动机械低排放区有关管理要求。</w:t>
            </w:r>
          </w:p>
          <w:p w14:paraId="685C19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编码登记与标识管理：排污单位应对在用非道路移动机械进行环保编码登记，取得机械环保登记号码、环保信息采集卡，并按照国家相关规范悬挂、粘贴或喷涂环保号码（标牌），以便于管理和监督。</w:t>
            </w:r>
          </w:p>
          <w:p w14:paraId="2BB705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建立环保管理台账：排污单位应建立移动源环保管理台账，记录移动源名称、发动机型号、识别代码、排放标准、车牌号或环保号牌、所有人或者使用人信息等，以及机动车车辆日进出登记情况、非道路移动机械日耗油量统计情况、车（机）污染防治装置安装情况及废气处理药剂使用记录等，以便追溯和管理。</w:t>
            </w:r>
          </w:p>
          <w:p w14:paraId="5D06BC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定期检测与维护：排污单位应定期对非道路移动机械进行检测和维护，确保其污染防治设施正常运行，污染物达标排放。</w:t>
            </w:r>
          </w:p>
          <w:p w14:paraId="2BD2D34E">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源头控制：在项目建设过程中，尽量选用低排放、高效能的非道路移动机械，从源头上减少污染物的排放。对于新购置或租赁的非道路移动机械，要确保其符合最新的排放标准和环保要求。</w:t>
            </w:r>
          </w:p>
          <w:p w14:paraId="445E4698">
            <w:pPr>
              <w:numPr>
                <w:ilvl w:val="0"/>
                <w:numId w:val="0"/>
              </w:numPr>
              <w:adjustRightInd w:val="0"/>
              <w:snapToGrid w:val="0"/>
              <w:spacing w:line="360" w:lineRule="auto"/>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r>
              <w:rPr>
                <w:rFonts w:hint="eastAsia" w:cs="Times New Roman"/>
                <w:b/>
                <w:bCs/>
                <w:color w:val="000000" w:themeColor="text1"/>
                <w:spacing w:val="-10"/>
                <w:kern w:val="2"/>
                <w:sz w:val="24"/>
                <w:szCs w:val="24"/>
                <w:highlight w:val="none"/>
                <w:lang w:val="en-US" w:eastAsia="zh-CN" w:bidi="ar-SA"/>
                <w14:textFill>
                  <w14:solidFill>
                    <w14:schemeClr w14:val="tx1"/>
                  </w14:solidFill>
                </w14:textFill>
              </w:rPr>
              <w:t>9</w:t>
            </w:r>
            <w:r>
              <w:rPr>
                <w:rFonts w:hint="default" w:ascii="Times New Roman" w:hAnsi="Times New Roman" w:cs="Times New Roman"/>
                <w:b/>
                <w:bCs/>
                <w:color w:val="000000" w:themeColor="text1"/>
                <w:spacing w:val="-10"/>
                <w:kern w:val="2"/>
                <w:sz w:val="24"/>
                <w:szCs w:val="24"/>
                <w:highlight w:val="none"/>
                <w:lang w:val="en-US" w:eastAsia="zh-CN" w:bidi="ar-SA"/>
                <w14:textFill>
                  <w14:solidFill>
                    <w14:schemeClr w14:val="tx1"/>
                  </w14:solidFill>
                </w14:textFill>
              </w:rPr>
              <w:t>、</w:t>
            </w:r>
            <w: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t>环保投资</w:t>
            </w:r>
          </w:p>
          <w:p w14:paraId="01185EE8">
            <w:pPr>
              <w:numPr>
                <w:ilvl w:val="0"/>
                <w:numId w:val="0"/>
              </w:numPr>
              <w:adjustRightInd w:val="0"/>
              <w:snapToGrid w:val="0"/>
              <w:spacing w:line="360" w:lineRule="auto"/>
              <w:ind w:firstLine="440" w:firstLineChars="200"/>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cs="Times New Roman"/>
                <w:b w:val="0"/>
                <w:bCs/>
                <w:color w:val="000000" w:themeColor="text1"/>
                <w:spacing w:val="-10"/>
                <w:sz w:val="24"/>
                <w:szCs w:val="24"/>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总投资200</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万元，其中环保</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投资概算</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35</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万元，占总投资的</w:t>
            </w:r>
            <w:r>
              <w:rPr>
                <w:rFonts w:hint="eastAsia"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1.75</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%，本项目运营期环保</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投资概算</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情况详见下表。</w:t>
            </w:r>
          </w:p>
          <w:p w14:paraId="46938265">
            <w:pPr>
              <w:numPr>
                <w:ilvl w:val="0"/>
                <w:numId w:val="0"/>
              </w:numPr>
              <w:adjustRightInd w:val="0"/>
              <w:snapToGrid w:val="0"/>
              <w:spacing w:line="240" w:lineRule="auto"/>
              <w:jc w:val="center"/>
              <w:rPr>
                <w:rFonts w:hint="default" w:ascii="Times New Roman" w:hAnsi="Times New Roman" w:cs="Times New Roman"/>
                <w:b/>
                <w:bCs w:val="0"/>
                <w:color w:val="000000" w:themeColor="text1"/>
                <w:spacing w:val="-10"/>
                <w:sz w:val="24"/>
                <w:szCs w:val="24"/>
                <w:highlight w:val="none"/>
                <w:lang w:val="en-US" w:eastAsia="zh-CN"/>
                <w14:textFill>
                  <w14:solidFill>
                    <w14:schemeClr w14:val="tx1"/>
                  </w14:solidFill>
                </w14:textFill>
              </w:rPr>
            </w:pPr>
            <w:r>
              <w:rPr>
                <w:rFonts w:hint="default" w:ascii="Times New Roman" w:hAnsi="Times New Roman" w:cs="Times New Roman"/>
                <w:b/>
                <w:bCs w:val="0"/>
                <w:color w:val="000000" w:themeColor="text1"/>
                <w:spacing w:val="-10"/>
                <w:sz w:val="21"/>
                <w:szCs w:val="21"/>
                <w:highlight w:val="none"/>
                <w:lang w:val="en-US" w:eastAsia="zh-CN"/>
                <w14:textFill>
                  <w14:solidFill>
                    <w14:schemeClr w14:val="tx1"/>
                  </w14:solidFill>
                </w14:textFill>
              </w:rPr>
              <w:t>表4-12</w:t>
            </w:r>
            <w:r>
              <w:rPr>
                <w:rFonts w:hint="eastAsia" w:cs="Times New Roman"/>
                <w:b/>
                <w:bCs w:val="0"/>
                <w:color w:val="000000" w:themeColor="text1"/>
                <w:spacing w:val="-10"/>
                <w:sz w:val="21"/>
                <w:szCs w:val="21"/>
                <w:highlight w:val="none"/>
                <w:lang w:val="en-US" w:eastAsia="zh-CN"/>
                <w14:textFill>
                  <w14:solidFill>
                    <w14:schemeClr w14:val="tx1"/>
                  </w14:solidFill>
                </w14:textFill>
              </w:rPr>
              <w:t xml:space="preserve"> </w:t>
            </w:r>
            <w:r>
              <w:rPr>
                <w:rFonts w:hint="default" w:ascii="Times New Roman" w:hAnsi="Times New Roman" w:cs="Times New Roman"/>
                <w:b/>
                <w:bCs w:val="0"/>
                <w:color w:val="000000" w:themeColor="text1"/>
                <w:spacing w:val="-10"/>
                <w:sz w:val="21"/>
                <w:szCs w:val="21"/>
                <w:highlight w:val="none"/>
                <w:lang w:val="en-US" w:eastAsia="zh-CN"/>
                <w14:textFill>
                  <w14:solidFill>
                    <w14:schemeClr w14:val="tx1"/>
                  </w14:solidFill>
                </w14:textFill>
              </w:rPr>
              <w:t>环保投资一览表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1484"/>
              <w:gridCol w:w="3116"/>
              <w:gridCol w:w="869"/>
              <w:gridCol w:w="1542"/>
            </w:tblGrid>
            <w:tr w14:paraId="4AFBC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26738FDD">
                  <w:pPr>
                    <w:spacing w:line="240" w:lineRule="auto"/>
                    <w:jc w:val="center"/>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类型</w:t>
                  </w:r>
                </w:p>
              </w:tc>
              <w:tc>
                <w:tcPr>
                  <w:tcW w:w="1486" w:type="dxa"/>
                  <w:noWrap w:val="0"/>
                  <w:vAlign w:val="center"/>
                </w:tcPr>
                <w:p w14:paraId="369BB03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污染源</w:t>
                  </w:r>
                </w:p>
              </w:tc>
              <w:tc>
                <w:tcPr>
                  <w:tcW w:w="3120" w:type="dxa"/>
                  <w:noWrap w:val="0"/>
                  <w:vAlign w:val="center"/>
                </w:tcPr>
                <w:p w14:paraId="0E855FA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环保设施</w:t>
                  </w:r>
                  <w:r>
                    <w:rPr>
                      <w:rFonts w:hint="default" w:ascii="Times New Roman" w:hAnsi="Times New Roman" w:eastAsia="宋体" w:cs="Times New Roman"/>
                      <w:b/>
                      <w:bCs/>
                      <w:color w:val="000000" w:themeColor="text1"/>
                      <w:highlight w:val="none"/>
                      <w:lang w:val="en-US" w:eastAsia="zh-CN"/>
                      <w14:textFill>
                        <w14:solidFill>
                          <w14:schemeClr w14:val="tx1"/>
                        </w14:solidFill>
                      </w14:textFill>
                    </w:rPr>
                    <w:t>或措施</w:t>
                  </w:r>
                </w:p>
              </w:tc>
              <w:tc>
                <w:tcPr>
                  <w:tcW w:w="870" w:type="dxa"/>
                  <w:noWrap w:val="0"/>
                  <w:vAlign w:val="center"/>
                </w:tcPr>
                <w:p w14:paraId="757911AA">
                  <w:pPr>
                    <w:spacing w:line="240" w:lineRule="auto"/>
                    <w:jc w:val="center"/>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数量</w:t>
                  </w:r>
                </w:p>
              </w:tc>
              <w:tc>
                <w:tcPr>
                  <w:tcW w:w="1544" w:type="dxa"/>
                  <w:noWrap w:val="0"/>
                  <w:vAlign w:val="center"/>
                </w:tcPr>
                <w:p w14:paraId="01F8E15C">
                  <w:pPr>
                    <w:spacing w:line="240" w:lineRule="auto"/>
                    <w:jc w:val="center"/>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环保投资/万元</w:t>
                  </w:r>
                </w:p>
              </w:tc>
            </w:tr>
            <w:tr w14:paraId="00280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29DDF202">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废气</w:t>
                  </w:r>
                </w:p>
              </w:tc>
              <w:tc>
                <w:tcPr>
                  <w:tcW w:w="1486" w:type="dxa"/>
                  <w:noWrap w:val="0"/>
                  <w:vAlign w:val="center"/>
                </w:tcPr>
                <w:p w14:paraId="61CE74E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上料、破碎和打包</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工序</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废气</w:t>
                  </w:r>
                </w:p>
              </w:tc>
              <w:tc>
                <w:tcPr>
                  <w:tcW w:w="3120" w:type="dxa"/>
                  <w:noWrap w:val="0"/>
                  <w:vAlign w:val="center"/>
                </w:tcPr>
                <w:p w14:paraId="3A3CB085">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上料和打包工序</w:t>
                  </w:r>
                  <w:r>
                    <w:rPr>
                      <w:rFonts w:hint="eastAsia" w:cs="Times New Roman"/>
                      <w:color w:val="000000" w:themeColor="text1"/>
                      <w:highlight w:val="none"/>
                      <w:lang w:val="en-US" w:eastAsia="zh-CN"/>
                      <w14:textFill>
                        <w14:solidFill>
                          <w14:schemeClr w14:val="tx1"/>
                        </w14:solidFill>
                      </w14:textFill>
                    </w:rPr>
                    <w:t>粉尘</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经2个集气罩收集，破碎工序</w:t>
                  </w:r>
                  <w:r>
                    <w:rPr>
                      <w:rFonts w:hint="eastAsia" w:cs="Times New Roman"/>
                      <w:color w:val="000000" w:themeColor="text1"/>
                      <w:highlight w:val="none"/>
                      <w:lang w:val="en-US" w:eastAsia="zh-CN"/>
                      <w14:textFill>
                        <w14:solidFill>
                          <w14:schemeClr w14:val="tx1"/>
                        </w14:solidFill>
                      </w14:textFill>
                    </w:rPr>
                    <w:t>粉尘</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经管道收集</w:t>
                  </w:r>
                  <w:r>
                    <w:rPr>
                      <w:rFonts w:hint="eastAsia" w:cs="Times New Roman"/>
                      <w:color w:val="000000" w:themeColor="text1"/>
                      <w:highlight w:val="none"/>
                      <w:lang w:val="en-US" w:eastAsia="zh-CN"/>
                      <w14:textFill>
                        <w14:solidFill>
                          <w14:schemeClr w14:val="tx1"/>
                        </w14:solidFill>
                      </w14:textFill>
                    </w:rPr>
                    <w:t>后</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r>
                    <w:rPr>
                      <w:rFonts w:hint="eastAsia" w:cs="Times New Roman"/>
                      <w:color w:val="000000" w:themeColor="text1"/>
                      <w:highlight w:val="none"/>
                      <w:lang w:val="en-US" w:eastAsia="zh-CN"/>
                      <w14:textFill>
                        <w14:solidFill>
                          <w14:schemeClr w14:val="tx1"/>
                        </w14:solidFill>
                      </w14:textFill>
                    </w:rPr>
                    <w:t>最终汇入一根主管道，</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经布袋除尘器处理，通过18</w:t>
                  </w:r>
                  <w:r>
                    <w:rPr>
                      <w:rFonts w:hint="default" w:ascii="Times New Roman" w:hAnsi="Times New Roman" w:eastAsia="宋体" w:cs="Times New Roman"/>
                      <w:color w:val="000000" w:themeColor="text1"/>
                      <w:highlight w:val="none"/>
                      <w:lang w:val="en-US" w:eastAsia="zh-CN"/>
                      <w14:textFill>
                        <w14:solidFill>
                          <w14:schemeClr w14:val="tx1"/>
                        </w14:solidFill>
                      </w14:textFill>
                    </w:rPr>
                    <w:t>m排气筒</w:t>
                  </w:r>
                  <w:r>
                    <w:rPr>
                      <w:rFonts w:hint="eastAsia" w:ascii="Times New Roman" w:hAnsi="Times New Roman" w:eastAsia="宋体" w:cs="Times New Roman"/>
                      <w:color w:val="000000" w:themeColor="text1"/>
                      <w:highlight w:val="none"/>
                      <w:lang w:val="en-US" w:eastAsia="zh-CN"/>
                      <w14:textFill>
                        <w14:solidFill>
                          <w14:schemeClr w14:val="tx1"/>
                        </w14:solidFill>
                      </w14:textFill>
                    </w:rPr>
                    <w:t>排放</w:t>
                  </w:r>
                </w:p>
              </w:tc>
              <w:tc>
                <w:tcPr>
                  <w:tcW w:w="870" w:type="dxa"/>
                  <w:noWrap w:val="0"/>
                  <w:vAlign w:val="center"/>
                </w:tcPr>
                <w:p w14:paraId="22090768">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1套</w:t>
                  </w:r>
                </w:p>
              </w:tc>
              <w:tc>
                <w:tcPr>
                  <w:tcW w:w="1544" w:type="dxa"/>
                  <w:noWrap w:val="0"/>
                  <w:vAlign w:val="center"/>
                </w:tcPr>
                <w:p w14:paraId="31D66FD5">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24</w:t>
                  </w:r>
                </w:p>
              </w:tc>
            </w:tr>
            <w:tr w14:paraId="7E290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166A358E">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废水</w:t>
                  </w:r>
                </w:p>
              </w:tc>
              <w:tc>
                <w:tcPr>
                  <w:tcW w:w="1486" w:type="dxa"/>
                  <w:noWrap w:val="0"/>
                  <w:vAlign w:val="center"/>
                </w:tcPr>
                <w:p w14:paraId="39B056CE">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生活污水</w:t>
                  </w:r>
                </w:p>
              </w:tc>
              <w:tc>
                <w:tcPr>
                  <w:tcW w:w="3120" w:type="dxa"/>
                  <w:noWrap w:val="0"/>
                  <w:vAlign w:val="center"/>
                </w:tcPr>
                <w:p w14:paraId="23DE799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依托</w:t>
                  </w:r>
                  <w:r>
                    <w:rPr>
                      <w:rFonts w:hint="eastAsia" w:ascii="Times New Roman" w:hAnsi="Times New Roman" w:eastAsia="宋体" w:cs="Times New Roman"/>
                      <w:color w:val="000000" w:themeColor="text1"/>
                      <w:highlight w:val="none"/>
                      <w:lang w:val="en-US" w:eastAsia="zh-CN"/>
                      <w14:textFill>
                        <w14:solidFill>
                          <w14:schemeClr w14:val="tx1"/>
                        </w14:solidFill>
                      </w14:textFill>
                    </w:rPr>
                    <w:t>陕西国坤时代科技有限</w:t>
                  </w:r>
                  <w:r>
                    <w:rPr>
                      <w:rFonts w:hint="eastAsia"/>
                      <w:color w:val="000000" w:themeColor="text1"/>
                      <w:highlight w:val="none"/>
                      <w:lang w:val="en-US" w:eastAsia="zh-CN"/>
                      <w14:textFill>
                        <w14:solidFill>
                          <w14:schemeClr w14:val="tx1"/>
                        </w14:solidFill>
                      </w14:textFill>
                    </w:rPr>
                    <w:t>公司</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化粪池</w:t>
                  </w:r>
                </w:p>
              </w:tc>
              <w:tc>
                <w:tcPr>
                  <w:tcW w:w="870" w:type="dxa"/>
                  <w:noWrap w:val="0"/>
                  <w:vAlign w:val="center"/>
                </w:tcPr>
                <w:p w14:paraId="2DF45167">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w:t>
                  </w:r>
                </w:p>
              </w:tc>
              <w:tc>
                <w:tcPr>
                  <w:tcW w:w="1544" w:type="dxa"/>
                  <w:noWrap w:val="0"/>
                  <w:vAlign w:val="center"/>
                </w:tcPr>
                <w:p w14:paraId="7E0E5A35">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w:t>
                  </w:r>
                </w:p>
              </w:tc>
            </w:tr>
            <w:tr w14:paraId="6CC05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noWrap w:val="0"/>
                  <w:vAlign w:val="center"/>
                </w:tcPr>
                <w:p w14:paraId="0409C24A">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噪声</w:t>
                  </w:r>
                </w:p>
              </w:tc>
              <w:tc>
                <w:tcPr>
                  <w:tcW w:w="4606" w:type="dxa"/>
                  <w:gridSpan w:val="2"/>
                  <w:noWrap w:val="0"/>
                  <w:vAlign w:val="center"/>
                </w:tcPr>
                <w:p w14:paraId="26B8A38C">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低噪声设备，基础减振，厂房隔声，风机搭建</w:t>
                  </w:r>
                </w:p>
                <w:p w14:paraId="47F8959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隔声房等</w:t>
                  </w:r>
                </w:p>
              </w:tc>
              <w:tc>
                <w:tcPr>
                  <w:tcW w:w="870" w:type="dxa"/>
                  <w:noWrap w:val="0"/>
                  <w:vAlign w:val="center"/>
                </w:tcPr>
                <w:p w14:paraId="7E6F1FBF">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p>
              </w:tc>
              <w:tc>
                <w:tcPr>
                  <w:tcW w:w="1544" w:type="dxa"/>
                  <w:noWrap w:val="0"/>
                  <w:vAlign w:val="center"/>
                </w:tcPr>
                <w:p w14:paraId="15809AF9">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4.5</w:t>
                  </w:r>
                </w:p>
              </w:tc>
            </w:tr>
            <w:tr w14:paraId="3784A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vMerge w:val="restart"/>
                  <w:noWrap w:val="0"/>
                  <w:vAlign w:val="center"/>
                </w:tcPr>
                <w:p w14:paraId="4984E582">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固体废物</w:t>
                  </w:r>
                </w:p>
              </w:tc>
              <w:tc>
                <w:tcPr>
                  <w:tcW w:w="1486" w:type="dxa"/>
                  <w:noWrap w:val="0"/>
                  <w:vAlign w:val="center"/>
                </w:tcPr>
                <w:p w14:paraId="26F9B2BF">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生活垃圾</w:t>
                  </w:r>
                </w:p>
              </w:tc>
              <w:tc>
                <w:tcPr>
                  <w:tcW w:w="3120" w:type="dxa"/>
                  <w:noWrap w:val="0"/>
                  <w:vAlign w:val="center"/>
                </w:tcPr>
                <w:p w14:paraId="121AF0B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设置垃圾桶集中收集后，交由</w:t>
                  </w:r>
                </w:p>
                <w:p w14:paraId="7DF24DB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环卫部门统一收集处理</w:t>
                  </w:r>
                </w:p>
              </w:tc>
              <w:tc>
                <w:tcPr>
                  <w:tcW w:w="870" w:type="dxa"/>
                  <w:noWrap w:val="0"/>
                  <w:vAlign w:val="center"/>
                </w:tcPr>
                <w:p w14:paraId="2DBF7EC5">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若干</w:t>
                  </w:r>
                </w:p>
              </w:tc>
              <w:tc>
                <w:tcPr>
                  <w:tcW w:w="1544" w:type="dxa"/>
                  <w:noWrap w:val="0"/>
                  <w:vAlign w:val="center"/>
                </w:tcPr>
                <w:p w14:paraId="70C9A5D0">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0.2</w:t>
                  </w:r>
                </w:p>
              </w:tc>
            </w:tr>
            <w:tr w14:paraId="00322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vMerge w:val="continue"/>
                  <w:noWrap w:val="0"/>
                  <w:vAlign w:val="center"/>
                </w:tcPr>
                <w:p w14:paraId="0282878F">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1486" w:type="dxa"/>
                  <w:noWrap w:val="0"/>
                  <w:vAlign w:val="center"/>
                </w:tcPr>
                <w:p w14:paraId="0750B40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一般固体废物</w:t>
                  </w:r>
                </w:p>
              </w:tc>
              <w:tc>
                <w:tcPr>
                  <w:tcW w:w="3120" w:type="dxa"/>
                  <w:noWrap w:val="0"/>
                  <w:vAlign w:val="center"/>
                </w:tcPr>
                <w:p w14:paraId="46C042DD">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设置一般固体废物暂存</w:t>
                  </w:r>
                  <w:r>
                    <w:rPr>
                      <w:rFonts w:hint="eastAsia" w:ascii="Times New Roman" w:hAnsi="Times New Roman" w:eastAsia="宋体" w:cs="Times New Roman"/>
                      <w:color w:val="000000" w:themeColor="text1"/>
                      <w:highlight w:val="none"/>
                      <w:lang w:val="en-US" w:eastAsia="zh-CN"/>
                      <w14:textFill>
                        <w14:solidFill>
                          <w14:schemeClr w14:val="tx1"/>
                        </w14:solidFill>
                      </w14:textFill>
                    </w:rPr>
                    <w:t>间</w:t>
                  </w:r>
                  <w:r>
                    <w:rPr>
                      <w:rFonts w:hint="default" w:ascii="Times New Roman" w:hAnsi="Times New Roman" w:eastAsia="宋体" w:cs="Times New Roman"/>
                      <w:color w:val="000000" w:themeColor="text1"/>
                      <w:highlight w:val="none"/>
                      <w:lang w:val="en-US" w:eastAsia="zh-CN"/>
                      <w14:textFill>
                        <w14:solidFill>
                          <w14:schemeClr w14:val="tx1"/>
                        </w14:solidFill>
                      </w14:textFill>
                    </w:rPr>
                    <w:t>，分类收集后</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回用于生产或</w:t>
                  </w:r>
                  <w:r>
                    <w:rPr>
                      <w:rFonts w:hint="default" w:ascii="Times New Roman" w:hAnsi="Times New Roman" w:eastAsia="宋体" w:cs="Times New Roman"/>
                      <w:color w:val="000000" w:themeColor="text1"/>
                      <w:highlight w:val="none"/>
                      <w:lang w:val="en-US" w:eastAsia="zh-CN"/>
                      <w14:textFill>
                        <w14:solidFill>
                          <w14:schemeClr w14:val="tx1"/>
                        </w14:solidFill>
                      </w14:textFill>
                    </w:rPr>
                    <w:t>外售综合利用</w:t>
                  </w:r>
                </w:p>
              </w:tc>
              <w:tc>
                <w:tcPr>
                  <w:tcW w:w="870" w:type="dxa"/>
                  <w:noWrap w:val="0"/>
                  <w:vAlign w:val="center"/>
                </w:tcPr>
                <w:p w14:paraId="36434B9F">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p>
              </w:tc>
              <w:tc>
                <w:tcPr>
                  <w:tcW w:w="1544" w:type="dxa"/>
                  <w:noWrap w:val="0"/>
                  <w:vAlign w:val="center"/>
                </w:tcPr>
                <w:p w14:paraId="09776856">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1.3</w:t>
                  </w:r>
                </w:p>
              </w:tc>
            </w:tr>
            <w:tr w14:paraId="4F960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04" w:type="dxa"/>
                  <w:vMerge w:val="continue"/>
                  <w:noWrap w:val="0"/>
                  <w:vAlign w:val="center"/>
                </w:tcPr>
                <w:p w14:paraId="45A0CDD2">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1486" w:type="dxa"/>
                  <w:noWrap w:val="0"/>
                  <w:vAlign w:val="center"/>
                </w:tcPr>
                <w:p w14:paraId="1C11D51C">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危险废物</w:t>
                  </w:r>
                </w:p>
              </w:tc>
              <w:tc>
                <w:tcPr>
                  <w:tcW w:w="3120" w:type="dxa"/>
                  <w:noWrap w:val="0"/>
                  <w:vAlign w:val="center"/>
                </w:tcPr>
                <w:p w14:paraId="5C855C4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设置危险废物贮存库（</w:t>
                  </w:r>
                  <w:r>
                    <w:rPr>
                      <w:rFonts w:hint="eastAsia" w:ascii="Times New Roman" w:hAnsi="Times New Roman" w:eastAsia="宋体" w:cs="Times New Roman"/>
                      <w:color w:val="000000" w:themeColor="text1"/>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highlight w:val="none"/>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highlight w:val="none"/>
                      <w:lang w:val="en-US" w:eastAsia="zh-CN"/>
                      <w14:textFill>
                        <w14:solidFill>
                          <w14:schemeClr w14:val="tx1"/>
                        </w14:solidFill>
                      </w14:textFill>
                    </w:rPr>
                    <w:t>），分区贮存后</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定期</w:t>
                  </w:r>
                  <w:r>
                    <w:rPr>
                      <w:rFonts w:hint="default" w:ascii="Times New Roman" w:hAnsi="Times New Roman" w:eastAsia="宋体" w:cs="Times New Roman"/>
                      <w:color w:val="000000" w:themeColor="text1"/>
                      <w:highlight w:val="none"/>
                      <w:lang w:val="en-US" w:eastAsia="zh-CN"/>
                      <w14:textFill>
                        <w14:solidFill>
                          <w14:schemeClr w14:val="tx1"/>
                        </w14:solidFill>
                      </w14:textFill>
                    </w:rPr>
                    <w:t>交由有资质</w:t>
                  </w:r>
                </w:p>
                <w:p w14:paraId="532391A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单位处置</w:t>
                  </w:r>
                </w:p>
              </w:tc>
              <w:tc>
                <w:tcPr>
                  <w:tcW w:w="870" w:type="dxa"/>
                  <w:noWrap w:val="0"/>
                  <w:vAlign w:val="center"/>
                </w:tcPr>
                <w:p w14:paraId="3A8EA1D4">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1间</w:t>
                  </w:r>
                </w:p>
              </w:tc>
              <w:tc>
                <w:tcPr>
                  <w:tcW w:w="1544" w:type="dxa"/>
                  <w:noWrap w:val="0"/>
                  <w:vAlign w:val="center"/>
                </w:tcPr>
                <w:p w14:paraId="383D7812">
                  <w:pPr>
                    <w:spacing w:line="240" w:lineRule="auto"/>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5</w:t>
                  </w:r>
                </w:p>
              </w:tc>
            </w:tr>
            <w:tr w14:paraId="2D0BA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680" w:type="dxa"/>
                  <w:gridSpan w:val="4"/>
                  <w:noWrap w:val="0"/>
                  <w:vAlign w:val="center"/>
                </w:tcPr>
                <w:p w14:paraId="5C51B0C1">
                  <w:pPr>
                    <w:spacing w:line="240" w:lineRule="auto"/>
                    <w:jc w:val="center"/>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highlight w:val="none"/>
                      <w:lang w:val="en-US" w:eastAsia="zh-CN"/>
                      <w14:textFill>
                        <w14:solidFill>
                          <w14:schemeClr w14:val="tx1"/>
                        </w14:solidFill>
                      </w14:textFill>
                    </w:rPr>
                    <w:t>合计</w:t>
                  </w:r>
                </w:p>
              </w:tc>
              <w:tc>
                <w:tcPr>
                  <w:tcW w:w="1544" w:type="dxa"/>
                  <w:noWrap w:val="0"/>
                  <w:vAlign w:val="center"/>
                </w:tcPr>
                <w:p w14:paraId="60008806">
                  <w:pPr>
                    <w:spacing w:line="240" w:lineRule="auto"/>
                    <w:jc w:val="center"/>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35</w:t>
                  </w:r>
                </w:p>
              </w:tc>
            </w:tr>
          </w:tbl>
          <w:p w14:paraId="6FB8B4F3">
            <w:pPr>
              <w:numPr>
                <w:ilvl w:val="0"/>
                <w:numId w:val="0"/>
              </w:numPr>
              <w:adjustRightInd w:val="0"/>
              <w:snapToGrid w:val="0"/>
              <w:spacing w:line="360" w:lineRule="auto"/>
              <w:ind w:firstLine="440" w:firstLineChars="200"/>
              <w:rPr>
                <w:rFonts w:hint="default" w:ascii="Times New Roman" w:hAnsi="Times New Roman" w:cs="Times New Roman"/>
                <w:bCs/>
                <w:color w:val="000000" w:themeColor="text1"/>
                <w:spacing w:val="-10"/>
                <w:sz w:val="24"/>
                <w:szCs w:val="24"/>
                <w:highlight w:val="none"/>
                <w:lang w:val="en-US" w:eastAsia="zh-CN"/>
                <w14:textFill>
                  <w14:solidFill>
                    <w14:schemeClr w14:val="tx1"/>
                  </w14:solidFill>
                </w14:textFill>
              </w:rPr>
            </w:pPr>
          </w:p>
        </w:tc>
      </w:tr>
    </w:tbl>
    <w:p w14:paraId="0DD4680C">
      <w:pPr>
        <w:adjustRightInd w:val="0"/>
        <w:snapToGrid w:val="0"/>
        <w:spacing w:line="360" w:lineRule="auto"/>
        <w:rPr>
          <w:rFonts w:hint="default" w:ascii="Times New Roman" w:hAnsi="Times New Roman" w:cs="Times New Roman"/>
          <w:b/>
          <w:color w:val="000000" w:themeColor="text1"/>
          <w:kern w:val="0"/>
          <w:sz w:val="28"/>
          <w:szCs w:val="28"/>
          <w:highlight w:val="none"/>
          <w14:textFill>
            <w14:solidFill>
              <w14:schemeClr w14:val="tx1"/>
            </w14:solidFill>
          </w14:textFill>
        </w:rPr>
        <w:sectPr>
          <w:pgSz w:w="11907" w:h="16840"/>
          <w:pgMar w:top="1701" w:right="1531" w:bottom="2127" w:left="1531" w:header="851" w:footer="851" w:gutter="0"/>
          <w:pgNumType w:fmt="decimal"/>
          <w:cols w:space="720" w:num="1"/>
          <w:docGrid w:linePitch="312" w:charSpace="0"/>
        </w:sectPr>
      </w:pPr>
    </w:p>
    <w:p w14:paraId="046ED9D7">
      <w:pPr>
        <w:pStyle w:val="21"/>
        <w:jc w:val="center"/>
        <w:outlineLvl w:val="0"/>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pPr>
      <w:bookmarkStart w:id="33" w:name="_Toc2420"/>
      <w:r>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t>五、</w:t>
      </w:r>
      <w:bookmarkStart w:id="34" w:name="_Hlk54167917"/>
      <w:r>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t>环境保护措施监督检查清单</w:t>
      </w:r>
      <w:bookmarkEnd w:id="33"/>
      <w:bookmarkEnd w:id="34"/>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79"/>
        <w:gridCol w:w="1668"/>
        <w:gridCol w:w="1450"/>
        <w:gridCol w:w="1788"/>
        <w:gridCol w:w="2475"/>
      </w:tblGrid>
      <w:tr w14:paraId="095E6C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tcBorders>
              <w:tl2br w:val="single" w:color="auto" w:sz="4" w:space="0"/>
            </w:tcBorders>
            <w:noWrap w:val="0"/>
            <w:vAlign w:val="top"/>
          </w:tcPr>
          <w:p w14:paraId="1D6E73C4">
            <w:pPr>
              <w:adjustRightInd w:val="0"/>
              <w:snapToGrid w:val="0"/>
              <w:ind w:firstLine="964" w:firstLineChars="400"/>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内容</w:t>
            </w:r>
          </w:p>
          <w:p w14:paraId="345F1891">
            <w:pPr>
              <w:adjustRightInd w:val="0"/>
              <w:snapToGrid w:val="0"/>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要素</w:t>
            </w:r>
          </w:p>
        </w:tc>
        <w:tc>
          <w:tcPr>
            <w:tcW w:w="1668" w:type="dxa"/>
            <w:noWrap w:val="0"/>
            <w:vAlign w:val="center"/>
          </w:tcPr>
          <w:p w14:paraId="74641C10">
            <w:pPr>
              <w:adjustRightInd w:val="0"/>
              <w:snapToGrid w:val="0"/>
              <w:jc w:val="center"/>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排放口</w:t>
            </w:r>
            <w:r>
              <w:rPr>
                <w:rFonts w:hint="eastAsia" w:ascii="Times New Roman" w:hAnsi="Times New Roman" w:cs="Times New Roman"/>
                <w:b/>
                <w:bCs/>
                <w:color w:val="000000" w:themeColor="text1"/>
                <w:sz w:val="24"/>
                <w:szCs w:val="24"/>
                <w:highlight w:val="none"/>
                <w:lang w:eastAsia="zh-CN"/>
                <w14:textFill>
                  <w14:solidFill>
                    <w14:schemeClr w14:val="tx1"/>
                  </w14:solidFill>
                </w14:textFill>
              </w:rPr>
              <w:t>（</w:t>
            </w:r>
            <w:r>
              <w:rPr>
                <w:rFonts w:hint="default" w:ascii="Times New Roman" w:hAnsi="Times New Roman" w:cs="Times New Roman"/>
                <w:b/>
                <w:bCs/>
                <w:color w:val="000000" w:themeColor="text1"/>
                <w:sz w:val="24"/>
                <w:szCs w:val="24"/>
                <w:highlight w:val="none"/>
                <w14:textFill>
                  <w14:solidFill>
                    <w14:schemeClr w14:val="tx1"/>
                  </w14:solidFill>
                </w14:textFill>
              </w:rPr>
              <w:t>编号、</w:t>
            </w:r>
          </w:p>
          <w:p w14:paraId="61AB6A97">
            <w:pPr>
              <w:adjustRightInd w:val="0"/>
              <w:snapToGrid w:val="0"/>
              <w:jc w:val="center"/>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名称</w:t>
            </w:r>
            <w:r>
              <w:rPr>
                <w:rFonts w:hint="eastAsia" w:ascii="Times New Roman" w:hAnsi="Times New Roman" w:cs="Times New Roman"/>
                <w:b/>
                <w:bCs/>
                <w:color w:val="000000" w:themeColor="text1"/>
                <w:sz w:val="24"/>
                <w:szCs w:val="24"/>
                <w:highlight w:val="none"/>
                <w:lang w:eastAsia="zh-CN"/>
                <w14:textFill>
                  <w14:solidFill>
                    <w14:schemeClr w14:val="tx1"/>
                  </w14:solidFill>
                </w14:textFill>
              </w:rPr>
              <w:t>）</w:t>
            </w:r>
            <w:r>
              <w:rPr>
                <w:rFonts w:hint="default" w:ascii="Times New Roman" w:hAnsi="Times New Roman" w:cs="Times New Roman"/>
                <w:b/>
                <w:bCs/>
                <w:color w:val="000000" w:themeColor="text1"/>
                <w:sz w:val="24"/>
                <w:szCs w:val="24"/>
                <w:highlight w:val="none"/>
                <w14:textFill>
                  <w14:solidFill>
                    <w14:schemeClr w14:val="tx1"/>
                  </w14:solidFill>
                </w14:textFill>
              </w:rPr>
              <w:t>/污染源</w:t>
            </w:r>
          </w:p>
        </w:tc>
        <w:tc>
          <w:tcPr>
            <w:tcW w:w="1450" w:type="dxa"/>
            <w:noWrap w:val="0"/>
            <w:vAlign w:val="center"/>
          </w:tcPr>
          <w:p w14:paraId="7FA689FC">
            <w:pPr>
              <w:adjustRightInd w:val="0"/>
              <w:snapToGrid w:val="0"/>
              <w:jc w:val="center"/>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污染物项目</w:t>
            </w:r>
          </w:p>
        </w:tc>
        <w:tc>
          <w:tcPr>
            <w:tcW w:w="1788" w:type="dxa"/>
            <w:noWrap w:val="0"/>
            <w:vAlign w:val="center"/>
          </w:tcPr>
          <w:p w14:paraId="1F275198">
            <w:pPr>
              <w:adjustRightInd w:val="0"/>
              <w:snapToGrid w:val="0"/>
              <w:jc w:val="center"/>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环境保护措施</w:t>
            </w:r>
          </w:p>
        </w:tc>
        <w:tc>
          <w:tcPr>
            <w:tcW w:w="2475" w:type="dxa"/>
            <w:noWrap w:val="0"/>
            <w:vAlign w:val="center"/>
          </w:tcPr>
          <w:p w14:paraId="35ACD4C2">
            <w:pPr>
              <w:adjustRightInd w:val="0"/>
              <w:snapToGrid w:val="0"/>
              <w:jc w:val="center"/>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执行标准</w:t>
            </w:r>
          </w:p>
        </w:tc>
      </w:tr>
      <w:tr w14:paraId="00FF1D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restart"/>
            <w:noWrap w:val="0"/>
            <w:vAlign w:val="center"/>
          </w:tcPr>
          <w:p w14:paraId="3C3333CC">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大气环境</w:t>
            </w:r>
          </w:p>
        </w:tc>
        <w:tc>
          <w:tcPr>
            <w:tcW w:w="1668" w:type="dxa"/>
            <w:noWrap w:val="0"/>
            <w:vAlign w:val="center"/>
          </w:tcPr>
          <w:p w14:paraId="52661EDC">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上料、破碎和打包</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工序废气排放口</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（DA001）</w:t>
            </w:r>
          </w:p>
        </w:tc>
        <w:tc>
          <w:tcPr>
            <w:tcW w:w="1450" w:type="dxa"/>
            <w:noWrap w:val="0"/>
            <w:vAlign w:val="center"/>
          </w:tcPr>
          <w:p w14:paraId="1B73C922">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颗粒物</w:t>
            </w:r>
          </w:p>
        </w:tc>
        <w:tc>
          <w:tcPr>
            <w:tcW w:w="1788" w:type="dxa"/>
            <w:noWrap w:val="0"/>
            <w:vAlign w:val="center"/>
          </w:tcPr>
          <w:p w14:paraId="0AD81AE2">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w w:val="100"/>
                <w:kern w:val="2"/>
                <w:sz w:val="24"/>
                <w:szCs w:val="24"/>
                <w:highlight w:val="none"/>
                <w:lang w:val="en-US" w:eastAsia="zh-CN" w:bidi="ar-SA"/>
                <w14:textFill>
                  <w14:solidFill>
                    <w14:schemeClr w14:val="tx1"/>
                  </w14:solidFill>
                </w14:textFill>
              </w:rPr>
              <w:t>上料和打包工序粉尘经2个集气罩收集，破碎工序粉尘经管道收集，最终汇入一根主管道，经布袋除尘器处理，通过18</w:t>
            </w:r>
            <w:r>
              <w:rPr>
                <w:rFonts w:hint="default" w:cs="Times New Roman"/>
                <w:color w:val="000000" w:themeColor="text1"/>
                <w:w w:val="100"/>
                <w:kern w:val="2"/>
                <w:sz w:val="24"/>
                <w:szCs w:val="24"/>
                <w:highlight w:val="none"/>
                <w:lang w:val="en-US" w:eastAsia="zh-CN" w:bidi="ar-SA"/>
                <w14:textFill>
                  <w14:solidFill>
                    <w14:schemeClr w14:val="tx1"/>
                  </w14:solidFill>
                </w14:textFill>
              </w:rPr>
              <w:t>m排气筒</w:t>
            </w:r>
            <w:r>
              <w:rPr>
                <w:rFonts w:hint="eastAsia" w:cs="Times New Roman"/>
                <w:color w:val="000000" w:themeColor="text1"/>
                <w:w w:val="100"/>
                <w:kern w:val="2"/>
                <w:sz w:val="24"/>
                <w:szCs w:val="24"/>
                <w:highlight w:val="none"/>
                <w:lang w:val="en-US" w:eastAsia="zh-CN" w:bidi="ar-SA"/>
                <w14:textFill>
                  <w14:solidFill>
                    <w14:schemeClr w14:val="tx1"/>
                  </w14:solidFill>
                </w14:textFill>
              </w:rPr>
              <w:t>排放</w:t>
            </w:r>
          </w:p>
        </w:tc>
        <w:tc>
          <w:tcPr>
            <w:tcW w:w="2475" w:type="dxa"/>
            <w:noWrap w:val="0"/>
            <w:vAlign w:val="center"/>
          </w:tcPr>
          <w:p w14:paraId="4E8CA82C">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《大气污染物综合</w:t>
            </w:r>
          </w:p>
          <w:p w14:paraId="139EFA01">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排放标准》</w:t>
            </w:r>
          </w:p>
          <w:p w14:paraId="6FD75ED1">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（GB16297-1996）</w:t>
            </w:r>
          </w:p>
          <w:p w14:paraId="3DAFF9DE">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表2中</w:t>
            </w:r>
            <w:r>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相关标准限值</w:t>
            </w:r>
          </w:p>
        </w:tc>
      </w:tr>
      <w:tr w14:paraId="652487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tcBorders/>
            <w:noWrap w:val="0"/>
            <w:vAlign w:val="center"/>
          </w:tcPr>
          <w:p w14:paraId="7B2901BD">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p>
        </w:tc>
        <w:tc>
          <w:tcPr>
            <w:tcW w:w="1668" w:type="dxa"/>
            <w:noWrap w:val="0"/>
            <w:vAlign w:val="center"/>
          </w:tcPr>
          <w:p w14:paraId="19AC9502">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生产车间</w:t>
            </w:r>
          </w:p>
        </w:tc>
        <w:tc>
          <w:tcPr>
            <w:tcW w:w="1450" w:type="dxa"/>
            <w:noWrap w:val="0"/>
            <w:vAlign w:val="center"/>
          </w:tcPr>
          <w:p w14:paraId="419E6D06">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颗粒物</w:t>
            </w:r>
          </w:p>
        </w:tc>
        <w:tc>
          <w:tcPr>
            <w:tcW w:w="1788" w:type="dxa"/>
            <w:noWrap w:val="0"/>
            <w:vAlign w:val="center"/>
          </w:tcPr>
          <w:p w14:paraId="35762EC3">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封闭车间</w:t>
            </w:r>
          </w:p>
        </w:tc>
        <w:tc>
          <w:tcPr>
            <w:tcW w:w="2475" w:type="dxa"/>
            <w:noWrap w:val="0"/>
            <w:vAlign w:val="center"/>
          </w:tcPr>
          <w:p w14:paraId="4ABD8BEC">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eastAsia"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w w:val="100"/>
                <w:kern w:val="2"/>
                <w:sz w:val="24"/>
                <w:szCs w:val="24"/>
                <w:highlight w:val="none"/>
                <w:lang w:val="en-US" w:eastAsia="zh-CN" w:bidi="ar-SA"/>
                <w14:textFill>
                  <w14:solidFill>
                    <w14:schemeClr w14:val="tx1"/>
                  </w14:solidFill>
                </w14:textFill>
              </w:rPr>
              <w:t>《大气污染物综合排放标准》（GB16297-1996）无组织排放监控浓度限值</w:t>
            </w:r>
          </w:p>
        </w:tc>
      </w:tr>
      <w:tr w14:paraId="0898B3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0112F550">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地表水环境</w:t>
            </w:r>
          </w:p>
        </w:tc>
        <w:tc>
          <w:tcPr>
            <w:tcW w:w="1668" w:type="dxa"/>
            <w:noWrap w:val="0"/>
            <w:vAlign w:val="center"/>
          </w:tcPr>
          <w:p w14:paraId="035DC800">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生活污水</w:t>
            </w:r>
          </w:p>
        </w:tc>
        <w:tc>
          <w:tcPr>
            <w:tcW w:w="1450" w:type="dxa"/>
            <w:noWrap w:val="0"/>
            <w:vAlign w:val="center"/>
          </w:tcPr>
          <w:p w14:paraId="5AD6F6BE">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COD、BOD</w:t>
            </w:r>
            <w:r>
              <w:rPr>
                <w:rFonts w:hint="default" w:ascii="Times New Roman" w:hAnsi="Times New Roman" w:cs="Times New Roman"/>
                <w:color w:val="000000" w:themeColor="text1"/>
                <w:sz w:val="24"/>
                <w:szCs w:val="24"/>
                <w:highlight w:val="none"/>
                <w:vertAlign w:val="subscript"/>
                <w:lang w:val="en-US" w:eastAsia="zh-CN"/>
                <w14:textFill>
                  <w14:solidFill>
                    <w14:schemeClr w14:val="tx1"/>
                  </w14:solidFill>
                </w14:textFill>
              </w:rPr>
              <w:t>5</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、SS、NH</w:t>
            </w:r>
            <w:r>
              <w:rPr>
                <w:rFonts w:hint="default" w:ascii="Times New Roman" w:hAnsi="Times New Roman" w:cs="Times New Roman"/>
                <w:color w:val="000000" w:themeColor="text1"/>
                <w:sz w:val="24"/>
                <w:szCs w:val="24"/>
                <w:highlight w:val="none"/>
                <w:vertAlign w:val="subscript"/>
                <w:lang w:val="en-US" w:eastAsia="zh-CN"/>
                <w14:textFill>
                  <w14:solidFill>
                    <w14:schemeClr w14:val="tx1"/>
                  </w14:solidFill>
                </w14:textFill>
              </w:rPr>
              <w:t>3</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-N、</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PH</w:t>
            </w:r>
          </w:p>
        </w:tc>
        <w:tc>
          <w:tcPr>
            <w:tcW w:w="1788" w:type="dxa"/>
            <w:noWrap w:val="0"/>
            <w:vAlign w:val="center"/>
          </w:tcPr>
          <w:p w14:paraId="02C87F77">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依托</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陕西国坤时代科技有限公司化粪池</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处理后经市政污水管网排入泾河新城第二污水处理厂</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进一步处理</w:t>
            </w:r>
          </w:p>
        </w:tc>
        <w:tc>
          <w:tcPr>
            <w:tcW w:w="2475" w:type="dxa"/>
            <w:noWrap w:val="0"/>
            <w:vAlign w:val="center"/>
          </w:tcPr>
          <w:p w14:paraId="2D5674E3">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themeColor="text1"/>
                <w:spacing w:val="4"/>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《污水综合排放标准》（GB</w:t>
            </w:r>
            <w:r>
              <w:rPr>
                <w:rFonts w:hint="eastAsia" w:cs="Times New Roman"/>
                <w:color w:val="000000" w:themeColor="text1"/>
                <w:kern w:val="0"/>
                <w:sz w:val="24"/>
                <w:szCs w:val="24"/>
                <w:highlight w:val="none"/>
                <w:lang w:val="en-US" w:eastAsia="zh-CN"/>
                <w14:textFill>
                  <w14:solidFill>
                    <w14:schemeClr w14:val="tx1"/>
                  </w14:solidFill>
                </w14:textFill>
              </w:rPr>
              <w:t>8</w:t>
            </w:r>
            <w:r>
              <w:rPr>
                <w:rFonts w:hint="default" w:ascii="Times New Roman" w:hAnsi="Times New Roman" w:cs="Times New Roman"/>
                <w:color w:val="000000" w:themeColor="text1"/>
                <w:kern w:val="0"/>
                <w:sz w:val="24"/>
                <w:szCs w:val="24"/>
                <w:highlight w:val="none"/>
                <w14:textFill>
                  <w14:solidFill>
                    <w14:schemeClr w14:val="tx1"/>
                  </w14:solidFill>
                </w14:textFill>
              </w:rPr>
              <w:t>97</w:t>
            </w:r>
            <w:r>
              <w:rPr>
                <w:rFonts w:hint="eastAsia" w:cs="Times New Roman"/>
                <w:color w:val="000000" w:themeColor="text1"/>
                <w:kern w:val="0"/>
                <w:sz w:val="24"/>
                <w:szCs w:val="24"/>
                <w:highlight w:val="none"/>
                <w:lang w:val="en-US" w:eastAsia="zh-CN"/>
                <w14:textFill>
                  <w14:solidFill>
                    <w14:schemeClr w14:val="tx1"/>
                  </w14:solidFill>
                </w14:textFill>
              </w:rPr>
              <w:t>8</w:t>
            </w:r>
            <w:r>
              <w:rPr>
                <w:rFonts w:hint="default" w:ascii="Times New Roman" w:hAnsi="Times New Roman" w:cs="Times New Roman"/>
                <w:color w:val="000000" w:themeColor="text1"/>
                <w:kern w:val="0"/>
                <w:sz w:val="24"/>
                <w:szCs w:val="24"/>
                <w:highlight w:val="none"/>
                <w14:textFill>
                  <w14:solidFill>
                    <w14:schemeClr w14:val="tx1"/>
                  </w14:solidFill>
                </w14:textFill>
              </w:rPr>
              <w:t>-1996）中</w:t>
            </w:r>
            <w:r>
              <w:rPr>
                <w:rFonts w:hint="eastAsia" w:cs="Times New Roman"/>
                <w:color w:val="000000" w:themeColor="text1"/>
                <w:kern w:val="0"/>
                <w:sz w:val="24"/>
                <w:szCs w:val="24"/>
                <w:highlight w:val="none"/>
                <w:lang w:val="en-US" w:eastAsia="zh-CN"/>
                <w14:textFill>
                  <w14:solidFill>
                    <w14:schemeClr w14:val="tx1"/>
                  </w14:solidFill>
                </w14:textFill>
              </w:rPr>
              <w:t>三级</w:t>
            </w:r>
            <w:r>
              <w:rPr>
                <w:rFonts w:hint="default" w:ascii="Times New Roman" w:hAnsi="Times New Roman" w:cs="Times New Roman"/>
                <w:color w:val="000000" w:themeColor="text1"/>
                <w:kern w:val="0"/>
                <w:sz w:val="24"/>
                <w:szCs w:val="24"/>
                <w:highlight w:val="none"/>
                <w14:textFill>
                  <w14:solidFill>
                    <w14:schemeClr w14:val="tx1"/>
                  </w14:solidFill>
                </w14:textFill>
              </w:rPr>
              <w:t>标准</w:t>
            </w:r>
            <w:r>
              <w:rPr>
                <w:rFonts w:hint="default" w:ascii="Times New Roman" w:hAnsi="Times New Roman" w:cs="Times New Roman"/>
                <w:color w:val="000000" w:themeColor="text1"/>
                <w:spacing w:val="0"/>
                <w:kern w:val="0"/>
                <w:sz w:val="24"/>
                <w:szCs w:val="24"/>
                <w:highlight w:val="none"/>
                <w14:textFill>
                  <w14:solidFill>
                    <w14:schemeClr w14:val="tx1"/>
                  </w14:solidFill>
                </w14:textFill>
              </w:rPr>
              <w:t>及</w:t>
            </w:r>
            <w:r>
              <w:rPr>
                <w:rFonts w:hint="default" w:ascii="Times New Roman" w:hAnsi="Times New Roman" w:cs="Times New Roman"/>
                <w:color w:val="000000" w:themeColor="text1"/>
                <w:spacing w:val="0"/>
                <w:sz w:val="24"/>
                <w:szCs w:val="24"/>
                <w:highlight w:val="none"/>
                <w14:textFill>
                  <w14:solidFill>
                    <w14:schemeClr w14:val="tx1"/>
                  </w14:solidFill>
                </w14:textFill>
              </w:rPr>
              <w:t>《污水排入城镇下水道水质标准》</w:t>
            </w:r>
            <w:r>
              <w:rPr>
                <w:rFonts w:hint="default" w:ascii="Times New Roman" w:hAnsi="Times New Roman" w:cs="Times New Roman"/>
                <w:color w:val="000000" w:themeColor="text1"/>
                <w:spacing w:val="4"/>
                <w:sz w:val="24"/>
                <w:szCs w:val="24"/>
                <w:highlight w:val="none"/>
                <w14:textFill>
                  <w14:solidFill>
                    <w14:schemeClr w14:val="tx1"/>
                  </w14:solidFill>
                </w14:textFill>
              </w:rPr>
              <w:t>（GB/T31962-2015）表1</w:t>
            </w:r>
            <w:r>
              <w:rPr>
                <w:rFonts w:hint="default" w:ascii="Times New Roman" w:hAnsi="Times New Roman" w:cs="Times New Roman"/>
                <w:color w:val="000000" w:themeColor="text1"/>
                <w:spacing w:val="4"/>
                <w:sz w:val="24"/>
                <w:szCs w:val="24"/>
                <w:highlight w:val="none"/>
                <w:lang w:val="en-US" w:eastAsia="zh-CN"/>
                <w14:textFill>
                  <w14:solidFill>
                    <w14:schemeClr w14:val="tx1"/>
                  </w14:solidFill>
                </w14:textFill>
              </w:rPr>
              <w:t>中B级</w:t>
            </w:r>
          </w:p>
          <w:p w14:paraId="3B1EF53A">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pacing w:val="4"/>
                <w:sz w:val="24"/>
                <w:szCs w:val="24"/>
                <w:highlight w:val="none"/>
                <w14:textFill>
                  <w14:solidFill>
                    <w14:schemeClr w14:val="tx1"/>
                  </w14:solidFill>
                </w14:textFill>
              </w:rPr>
              <w:t>标准要求</w:t>
            </w:r>
          </w:p>
        </w:tc>
      </w:tr>
      <w:tr w14:paraId="04F6F9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00FC5B80">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声环境</w:t>
            </w:r>
          </w:p>
        </w:tc>
        <w:tc>
          <w:tcPr>
            <w:tcW w:w="1668" w:type="dxa"/>
            <w:noWrap w:val="0"/>
            <w:vAlign w:val="center"/>
          </w:tcPr>
          <w:p w14:paraId="66C12266">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厂界</w:t>
            </w:r>
          </w:p>
        </w:tc>
        <w:tc>
          <w:tcPr>
            <w:tcW w:w="1450" w:type="dxa"/>
            <w:noWrap w:val="0"/>
            <w:vAlign w:val="center"/>
          </w:tcPr>
          <w:p w14:paraId="3F6068E8">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设备噪声</w:t>
            </w:r>
          </w:p>
        </w:tc>
        <w:tc>
          <w:tcPr>
            <w:tcW w:w="1788" w:type="dxa"/>
            <w:noWrap w:val="0"/>
            <w:vAlign w:val="center"/>
          </w:tcPr>
          <w:p w14:paraId="5C4404F5">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选择低噪声设备，基础减振，厂房隔声等</w:t>
            </w:r>
          </w:p>
        </w:tc>
        <w:tc>
          <w:tcPr>
            <w:tcW w:w="2475" w:type="dxa"/>
            <w:noWrap w:val="0"/>
            <w:vAlign w:val="center"/>
          </w:tcPr>
          <w:p w14:paraId="249BA80B">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14:textFill>
                  <w14:solidFill>
                    <w14:schemeClr w14:val="tx1"/>
                  </w14:solidFill>
                </w14:textFill>
              </w:rPr>
              <w:t>《</w:t>
            </w:r>
            <w:r>
              <w:rPr>
                <w:rFonts w:hint="default" w:ascii="Times New Roman" w:hAnsi="Times New Roman" w:cs="Times New Roman"/>
                <w:color w:val="000000" w:themeColor="text1"/>
                <w:spacing w:val="4"/>
                <w:sz w:val="24"/>
                <w:szCs w:val="24"/>
                <w:highlight w:val="none"/>
                <w14:textFill>
                  <w14:solidFill>
                    <w14:schemeClr w14:val="tx1"/>
                  </w14:solidFill>
                </w14:textFill>
              </w:rPr>
              <w:t>工业企业厂界环境噪声排放标准</w:t>
            </w:r>
            <w:r>
              <w:rPr>
                <w:rFonts w:hint="default" w:ascii="Times New Roman" w:hAnsi="Times New Roman" w:cs="Times New Roman"/>
                <w:color w:val="000000" w:themeColor="text1"/>
                <w:kern w:val="0"/>
                <w:sz w:val="24"/>
                <w:szCs w:val="24"/>
                <w:highlight w:val="none"/>
                <w14:textFill>
                  <w14:solidFill>
                    <w14:schemeClr w14:val="tx1"/>
                  </w14:solidFill>
                </w14:textFill>
              </w:rPr>
              <w:t>》（GB12348-2008）中</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14:textFill>
                  <w14:solidFill>
                    <w14:schemeClr w14:val="tx1"/>
                  </w14:solidFill>
                </w14:textFill>
              </w:rPr>
              <w:t>类标准</w:t>
            </w:r>
          </w:p>
        </w:tc>
      </w:tr>
      <w:tr w14:paraId="7D076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01113440">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电磁辐射</w:t>
            </w:r>
          </w:p>
        </w:tc>
        <w:tc>
          <w:tcPr>
            <w:tcW w:w="1668" w:type="dxa"/>
            <w:noWrap w:val="0"/>
            <w:vAlign w:val="center"/>
          </w:tcPr>
          <w:p w14:paraId="5BB237B4">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p>
        </w:tc>
        <w:tc>
          <w:tcPr>
            <w:tcW w:w="1450" w:type="dxa"/>
            <w:noWrap w:val="0"/>
            <w:vAlign w:val="center"/>
          </w:tcPr>
          <w:p w14:paraId="67A9DBBE">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p>
        </w:tc>
        <w:tc>
          <w:tcPr>
            <w:tcW w:w="1788" w:type="dxa"/>
            <w:noWrap w:val="0"/>
            <w:vAlign w:val="center"/>
          </w:tcPr>
          <w:p w14:paraId="51B6D72E">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p>
        </w:tc>
        <w:tc>
          <w:tcPr>
            <w:tcW w:w="2475" w:type="dxa"/>
            <w:noWrap w:val="0"/>
            <w:vAlign w:val="center"/>
          </w:tcPr>
          <w:p w14:paraId="6BC3D4DA">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p>
        </w:tc>
      </w:tr>
      <w:tr w14:paraId="0AEAFB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restart"/>
            <w:noWrap w:val="0"/>
            <w:vAlign w:val="center"/>
          </w:tcPr>
          <w:p w14:paraId="3A64B953">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固体废物</w:t>
            </w:r>
          </w:p>
        </w:tc>
        <w:tc>
          <w:tcPr>
            <w:tcW w:w="1668" w:type="dxa"/>
            <w:noWrap w:val="0"/>
            <w:vAlign w:val="center"/>
          </w:tcPr>
          <w:p w14:paraId="4F31960E">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生活垃圾</w:t>
            </w:r>
          </w:p>
        </w:tc>
        <w:tc>
          <w:tcPr>
            <w:tcW w:w="1450" w:type="dxa"/>
            <w:noWrap w:val="0"/>
            <w:vAlign w:val="center"/>
          </w:tcPr>
          <w:p w14:paraId="57327106">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p>
        </w:tc>
        <w:tc>
          <w:tcPr>
            <w:tcW w:w="4263" w:type="dxa"/>
            <w:gridSpan w:val="2"/>
            <w:noWrap w:val="0"/>
            <w:vAlign w:val="center"/>
          </w:tcPr>
          <w:p w14:paraId="6AD2DDF8">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设置垃圾桶集中收集后，交由环卫部门统一收集处理</w:t>
            </w:r>
          </w:p>
        </w:tc>
      </w:tr>
      <w:tr w14:paraId="144597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754C101A">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668" w:type="dxa"/>
            <w:vMerge w:val="restart"/>
            <w:noWrap w:val="0"/>
            <w:vAlign w:val="center"/>
          </w:tcPr>
          <w:p w14:paraId="650961E5">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一般固体废物</w:t>
            </w:r>
          </w:p>
        </w:tc>
        <w:tc>
          <w:tcPr>
            <w:tcW w:w="1450" w:type="dxa"/>
            <w:noWrap w:val="0"/>
            <w:vAlign w:val="center"/>
          </w:tcPr>
          <w:p w14:paraId="7C7D0A3C">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废铁金属</w:t>
            </w:r>
          </w:p>
        </w:tc>
        <w:tc>
          <w:tcPr>
            <w:tcW w:w="4263" w:type="dxa"/>
            <w:gridSpan w:val="2"/>
            <w:vMerge w:val="restart"/>
            <w:noWrap w:val="0"/>
            <w:vAlign w:val="center"/>
          </w:tcPr>
          <w:p w14:paraId="38D4D0EF">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收集后暂存在</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一般固废暂存间</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6D7065D">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统一外售处理</w:t>
            </w:r>
          </w:p>
        </w:tc>
      </w:tr>
      <w:tr w14:paraId="5DC67A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60942DA3">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668" w:type="dxa"/>
            <w:vMerge w:val="continue"/>
            <w:noWrap w:val="0"/>
            <w:vAlign w:val="center"/>
          </w:tcPr>
          <w:p w14:paraId="5BD64193">
            <w:pPr>
              <w:adjustRightInd w:val="0"/>
              <w:snapToGrid w:val="0"/>
              <w:jc w:val="center"/>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p>
        </w:tc>
        <w:tc>
          <w:tcPr>
            <w:tcW w:w="1450" w:type="dxa"/>
            <w:noWrap w:val="0"/>
            <w:vAlign w:val="center"/>
          </w:tcPr>
          <w:p w14:paraId="28AB09DC">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不可燃物</w:t>
            </w:r>
          </w:p>
        </w:tc>
        <w:tc>
          <w:tcPr>
            <w:tcW w:w="4263" w:type="dxa"/>
            <w:gridSpan w:val="2"/>
            <w:vMerge w:val="continue"/>
            <w:noWrap w:val="0"/>
            <w:vAlign w:val="center"/>
          </w:tcPr>
          <w:p w14:paraId="64EA1A20">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p>
        </w:tc>
      </w:tr>
      <w:tr w14:paraId="5C521D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3D7CB2EB">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668" w:type="dxa"/>
            <w:vMerge w:val="continue"/>
            <w:noWrap w:val="0"/>
            <w:vAlign w:val="center"/>
          </w:tcPr>
          <w:p w14:paraId="600A0893">
            <w:pPr>
              <w:adjustRightInd w:val="0"/>
              <w:snapToGrid w:val="0"/>
              <w:jc w:val="center"/>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p>
        </w:tc>
        <w:tc>
          <w:tcPr>
            <w:tcW w:w="1450" w:type="dxa"/>
            <w:noWrap w:val="0"/>
            <w:vAlign w:val="center"/>
          </w:tcPr>
          <w:p w14:paraId="6DB85528">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除尘灰</w:t>
            </w:r>
          </w:p>
        </w:tc>
        <w:tc>
          <w:tcPr>
            <w:tcW w:w="4263" w:type="dxa"/>
            <w:gridSpan w:val="2"/>
            <w:vMerge w:val="restart"/>
            <w:noWrap w:val="0"/>
            <w:vAlign w:val="center"/>
          </w:tcPr>
          <w:p w14:paraId="1E220A49">
            <w:pPr>
              <w:adjustRightInd w:val="0"/>
              <w:snapToGrid w:val="0"/>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收集后暂存在</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一般固废暂存间，</w:t>
            </w:r>
          </w:p>
          <w:p w14:paraId="2E58C546">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外售水泥厂作原料</w:t>
            </w:r>
          </w:p>
        </w:tc>
      </w:tr>
      <w:tr w14:paraId="153729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526A4C77">
            <w:pPr>
              <w:adjustRightInd w:val="0"/>
              <w:snapToGrid w:val="0"/>
              <w:jc w:val="center"/>
              <w:rPr>
                <w:color w:val="000000" w:themeColor="text1"/>
                <w:highlight w:val="none"/>
                <w14:textFill>
                  <w14:solidFill>
                    <w14:schemeClr w14:val="tx1"/>
                  </w14:solidFill>
                </w14:textFill>
              </w:rPr>
            </w:pPr>
          </w:p>
        </w:tc>
        <w:tc>
          <w:tcPr>
            <w:tcW w:w="1668" w:type="dxa"/>
            <w:vMerge w:val="continue"/>
            <w:noWrap w:val="0"/>
            <w:vAlign w:val="center"/>
          </w:tcPr>
          <w:p w14:paraId="5FB8E0D2">
            <w:pPr>
              <w:adjustRightInd w:val="0"/>
              <w:snapToGrid w:val="0"/>
              <w:jc w:val="center"/>
              <w:rPr>
                <w:color w:val="000000" w:themeColor="text1"/>
                <w:highlight w:val="none"/>
                <w14:textFill>
                  <w14:solidFill>
                    <w14:schemeClr w14:val="tx1"/>
                  </w14:solidFill>
                </w14:textFill>
              </w:rPr>
            </w:pPr>
          </w:p>
        </w:tc>
        <w:tc>
          <w:tcPr>
            <w:tcW w:w="1450" w:type="dxa"/>
            <w:noWrap w:val="0"/>
            <w:vAlign w:val="center"/>
          </w:tcPr>
          <w:p w14:paraId="382403CD">
            <w:pPr>
              <w:adjustRightInd w:val="0"/>
              <w:snapToGrid w:val="0"/>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车间沉降</w:t>
            </w:r>
          </w:p>
          <w:p w14:paraId="1182DC73">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粉尘</w:t>
            </w:r>
          </w:p>
        </w:tc>
        <w:tc>
          <w:tcPr>
            <w:tcW w:w="4263" w:type="dxa"/>
            <w:gridSpan w:val="2"/>
            <w:vMerge w:val="continue"/>
            <w:noWrap w:val="0"/>
            <w:vAlign w:val="center"/>
          </w:tcPr>
          <w:p w14:paraId="60890B33">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p>
        </w:tc>
      </w:tr>
      <w:tr w14:paraId="190489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33EC1E14">
            <w:pPr>
              <w:adjustRightInd w:val="0"/>
              <w:snapToGrid w:val="0"/>
              <w:jc w:val="center"/>
              <w:rPr>
                <w:color w:val="000000" w:themeColor="text1"/>
                <w:highlight w:val="none"/>
                <w14:textFill>
                  <w14:solidFill>
                    <w14:schemeClr w14:val="tx1"/>
                  </w14:solidFill>
                </w14:textFill>
              </w:rPr>
            </w:pPr>
          </w:p>
        </w:tc>
        <w:tc>
          <w:tcPr>
            <w:tcW w:w="1668" w:type="dxa"/>
            <w:vMerge w:val="continue"/>
            <w:noWrap w:val="0"/>
            <w:vAlign w:val="center"/>
          </w:tcPr>
          <w:p w14:paraId="57EEA775">
            <w:pPr>
              <w:adjustRightInd w:val="0"/>
              <w:snapToGrid w:val="0"/>
              <w:jc w:val="center"/>
              <w:rPr>
                <w:color w:val="000000" w:themeColor="text1"/>
                <w:highlight w:val="none"/>
                <w14:textFill>
                  <w14:solidFill>
                    <w14:schemeClr w14:val="tx1"/>
                  </w14:solidFill>
                </w14:textFill>
              </w:rPr>
            </w:pPr>
          </w:p>
        </w:tc>
        <w:tc>
          <w:tcPr>
            <w:tcW w:w="1450" w:type="dxa"/>
            <w:noWrap w:val="0"/>
            <w:vAlign w:val="center"/>
          </w:tcPr>
          <w:p w14:paraId="5FDD43E2">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废旧布袋</w:t>
            </w:r>
          </w:p>
        </w:tc>
        <w:tc>
          <w:tcPr>
            <w:tcW w:w="4263" w:type="dxa"/>
            <w:gridSpan w:val="2"/>
            <w:noWrap w:val="0"/>
            <w:vAlign w:val="center"/>
          </w:tcPr>
          <w:p w14:paraId="5C012286">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回用于生产</w:t>
            </w:r>
          </w:p>
        </w:tc>
      </w:tr>
      <w:tr w14:paraId="1B0FF2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vMerge w:val="continue"/>
            <w:noWrap w:val="0"/>
            <w:vAlign w:val="center"/>
          </w:tcPr>
          <w:p w14:paraId="63C9C4F3">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p>
        </w:tc>
        <w:tc>
          <w:tcPr>
            <w:tcW w:w="1668" w:type="dxa"/>
            <w:noWrap w:val="0"/>
            <w:vAlign w:val="center"/>
          </w:tcPr>
          <w:p w14:paraId="0D8103DD">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危险废物</w:t>
            </w:r>
          </w:p>
        </w:tc>
        <w:tc>
          <w:tcPr>
            <w:tcW w:w="1450" w:type="dxa"/>
            <w:noWrap w:val="0"/>
            <w:vAlign w:val="center"/>
          </w:tcPr>
          <w:p w14:paraId="71014EAC">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废润滑油、废油桶、废含油抹布及手套</w:t>
            </w:r>
          </w:p>
        </w:tc>
        <w:tc>
          <w:tcPr>
            <w:tcW w:w="4263" w:type="dxa"/>
            <w:gridSpan w:val="2"/>
            <w:noWrap w:val="0"/>
            <w:vAlign w:val="center"/>
          </w:tcPr>
          <w:p w14:paraId="7150E9CE">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统一收集后</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暂存于危废贮存库，定期</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交由有资质单位</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处置</w:t>
            </w:r>
          </w:p>
        </w:tc>
      </w:tr>
      <w:tr w14:paraId="63C161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76DFEB4E">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土壤及地下水</w:t>
            </w:r>
          </w:p>
          <w:p w14:paraId="2F419762">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污染防治措施</w:t>
            </w:r>
          </w:p>
        </w:tc>
        <w:tc>
          <w:tcPr>
            <w:tcW w:w="7381" w:type="dxa"/>
            <w:gridSpan w:val="4"/>
            <w:noWrap w:val="0"/>
            <w:vAlign w:val="center"/>
          </w:tcPr>
          <w:p w14:paraId="39E8690A">
            <w:pPr>
              <w:pStyle w:val="56"/>
              <w:spacing w:line="360" w:lineRule="auto"/>
              <w:ind w:firstLine="0" w:firstLineChars="0"/>
              <w:jc w:val="both"/>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危废贮存库</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做好地面防渗；</w:t>
            </w:r>
          </w:p>
          <w:p w14:paraId="29A5F8D3">
            <w:pPr>
              <w:pStyle w:val="56"/>
              <w:spacing w:line="360" w:lineRule="auto"/>
              <w:ind w:firstLine="0" w:firstLineChars="0"/>
              <w:jc w:val="both"/>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危废贮存库</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远离火源、热源、保持容器密封，保持阴凉干燥，设有通风设施；</w:t>
            </w:r>
          </w:p>
          <w:p w14:paraId="4F4797A5">
            <w:pPr>
              <w:pStyle w:val="56"/>
              <w:spacing w:line="360" w:lineRule="auto"/>
              <w:ind w:firstLine="0" w:firstLineChars="0"/>
              <w:jc w:val="both"/>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（3）配备干粉灭火器、消防砂、消防铲等；</w:t>
            </w:r>
          </w:p>
          <w:p w14:paraId="79B0D9DB">
            <w:pPr>
              <w:pStyle w:val="56"/>
              <w:spacing w:line="360" w:lineRule="auto"/>
              <w:ind w:firstLine="0" w:firstLineChars="0"/>
              <w:jc w:val="both"/>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（4）加强危</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废贮存库</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管理，严格按照危险废物暂存要求落实；</w:t>
            </w:r>
          </w:p>
          <w:p w14:paraId="5BE83D32">
            <w:pPr>
              <w:adjustRightInd w:val="0"/>
              <w:snapToGrid w:val="0"/>
              <w:spacing w:line="360" w:lineRule="auto"/>
              <w:jc w:val="both"/>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（5）加强废气处理设施的管理，提高处理效率，减少污染物的排放量</w:t>
            </w:r>
            <w:r>
              <w:rPr>
                <w:rFonts w:hint="default" w:ascii="Times New Roman" w:hAnsi="Times New Roman" w:cs="Times New Roman"/>
                <w:color w:val="000000" w:themeColor="text1"/>
                <w:kern w:val="0"/>
                <w:sz w:val="24"/>
                <w:szCs w:val="24"/>
                <w:highlight w:val="none"/>
                <w14:textFill>
                  <w14:solidFill>
                    <w14:schemeClr w14:val="tx1"/>
                  </w14:solidFill>
                </w14:textFill>
              </w:rPr>
              <w:t>。</w:t>
            </w:r>
          </w:p>
        </w:tc>
      </w:tr>
      <w:tr w14:paraId="303E28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449EF649">
            <w:pPr>
              <w:adjustRightInd w:val="0"/>
              <w:snapToGrid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生态保护措施</w:t>
            </w:r>
          </w:p>
        </w:tc>
        <w:tc>
          <w:tcPr>
            <w:tcW w:w="7381" w:type="dxa"/>
            <w:gridSpan w:val="4"/>
            <w:noWrap w:val="0"/>
            <w:vAlign w:val="center"/>
          </w:tcPr>
          <w:p w14:paraId="5F58297E">
            <w:pPr>
              <w:adjustRightInd w:val="0"/>
              <w:snapToGrid w:val="0"/>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p>
        </w:tc>
      </w:tr>
      <w:tr w14:paraId="78828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4CC10F7F">
            <w:pPr>
              <w:adjustRightInd w:val="0"/>
              <w:snapToGrid w:val="0"/>
              <w:jc w:val="center"/>
              <w:rPr>
                <w:rFonts w:hint="default" w:ascii="Times New Roman" w:hAnsi="Times New Roman" w:cs="Times New Roman"/>
                <w:color w:val="000000" w:themeColor="text1"/>
                <w:spacing w:val="-8"/>
                <w:sz w:val="24"/>
                <w:szCs w:val="24"/>
                <w:highlight w:val="none"/>
                <w14:textFill>
                  <w14:solidFill>
                    <w14:schemeClr w14:val="tx1"/>
                  </w14:solidFill>
                </w14:textFill>
              </w:rPr>
            </w:pPr>
            <w:r>
              <w:rPr>
                <w:rFonts w:hint="default" w:ascii="Times New Roman" w:hAnsi="Times New Roman" w:cs="Times New Roman"/>
                <w:color w:val="000000" w:themeColor="text1"/>
                <w:spacing w:val="-8"/>
                <w:sz w:val="24"/>
                <w:szCs w:val="24"/>
                <w:highlight w:val="none"/>
                <w14:textFill>
                  <w14:solidFill>
                    <w14:schemeClr w14:val="tx1"/>
                  </w14:solidFill>
                </w14:textFill>
              </w:rPr>
              <w:t>环境风险</w:t>
            </w:r>
          </w:p>
          <w:p w14:paraId="3758E4BF">
            <w:pPr>
              <w:adjustRightInd w:val="0"/>
              <w:snapToGrid w:val="0"/>
              <w:jc w:val="center"/>
              <w:rPr>
                <w:rFonts w:hint="default" w:ascii="Times New Roman" w:hAnsi="Times New Roman" w:cs="Times New Roman"/>
                <w:color w:val="000000" w:themeColor="text1"/>
                <w:spacing w:val="-8"/>
                <w:sz w:val="24"/>
                <w:szCs w:val="24"/>
                <w:highlight w:val="none"/>
                <w14:textFill>
                  <w14:solidFill>
                    <w14:schemeClr w14:val="tx1"/>
                  </w14:solidFill>
                </w14:textFill>
              </w:rPr>
            </w:pPr>
            <w:r>
              <w:rPr>
                <w:rFonts w:hint="default" w:ascii="Times New Roman" w:hAnsi="Times New Roman" w:cs="Times New Roman"/>
                <w:color w:val="000000" w:themeColor="text1"/>
                <w:spacing w:val="-8"/>
                <w:sz w:val="24"/>
                <w:szCs w:val="24"/>
                <w:highlight w:val="none"/>
                <w14:textFill>
                  <w14:solidFill>
                    <w14:schemeClr w14:val="tx1"/>
                  </w14:solidFill>
                </w14:textFill>
              </w:rPr>
              <w:t>防范措施</w:t>
            </w:r>
          </w:p>
        </w:tc>
        <w:tc>
          <w:tcPr>
            <w:tcW w:w="7381" w:type="dxa"/>
            <w:gridSpan w:val="4"/>
            <w:noWrap w:val="0"/>
            <w:vAlign w:val="center"/>
          </w:tcPr>
          <w:p w14:paraId="7A0C5071">
            <w:pPr>
              <w:pStyle w:val="56"/>
              <w:spacing w:line="360" w:lineRule="auto"/>
              <w:ind w:firstLine="0" w:firstLineChars="0"/>
              <w:jc w:val="both"/>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（1）建设单位应加强设备管理维护，定期对线路进行检查，及时处理破损线路；</w:t>
            </w:r>
          </w:p>
          <w:p w14:paraId="63631BB3">
            <w:pPr>
              <w:pStyle w:val="56"/>
              <w:spacing w:line="360" w:lineRule="auto"/>
              <w:ind w:firstLine="0" w:firstLineChars="0"/>
              <w:jc w:val="both"/>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危废贮存库</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地面进行防渗处理，并设专人管理，定期进行巡查，检查包装容器完整性，根据需求及时更换破损容器，设置消防器材；</w:t>
            </w:r>
          </w:p>
          <w:p w14:paraId="76511A9C">
            <w:pPr>
              <w:pStyle w:val="56"/>
              <w:spacing w:line="360" w:lineRule="auto"/>
              <w:ind w:firstLine="0" w:firstLineChars="0"/>
              <w:jc w:val="both"/>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（3）危废出入库必须检查验收登记，贮存期间定期养护，控制好贮存场所的温度和湿度，做好防火防爆措施；装卸、搬运时应轻装轻卸，注意自我防护；</w:t>
            </w:r>
          </w:p>
          <w:p w14:paraId="6E5ABA3A">
            <w:pPr>
              <w:pStyle w:val="56"/>
              <w:spacing w:line="360" w:lineRule="auto"/>
              <w:ind w:firstLine="0" w:firstLineChars="0"/>
              <w:jc w:val="both"/>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（4）组织专门人员进行周期性巡回检查，有跑冒滴漏或其他异常现象的应及时检修，必要时按照</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生产服从安全</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原则停车检修，严禁带病或不正常运转；</w:t>
            </w:r>
          </w:p>
          <w:p w14:paraId="703C3C6D">
            <w:pPr>
              <w:adjustRightInd w:val="0"/>
              <w:snapToGrid w:val="0"/>
              <w:spacing w:line="360" w:lineRule="auto"/>
              <w:jc w:val="both"/>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5）一旦危废出现泄漏，应有防止向四周扩散、并起到隔离作用的具体措施；预先配备有处理泄漏事故的器材，并有专人负责妥善保管在专门的地方，一旦出现事故，立即投入使用；存放容器应定期进行无损检查。</w:t>
            </w:r>
          </w:p>
        </w:tc>
      </w:tr>
      <w:tr w14:paraId="766A46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9" w:type="dxa"/>
            <w:noWrap w:val="0"/>
            <w:vAlign w:val="center"/>
          </w:tcPr>
          <w:p w14:paraId="48D7F151">
            <w:pPr>
              <w:adjustRightInd w:val="0"/>
              <w:snapToGrid w:val="0"/>
              <w:jc w:val="center"/>
              <w:rPr>
                <w:rFonts w:hint="default" w:ascii="Times New Roman" w:hAnsi="Times New Roman" w:cs="Times New Roman"/>
                <w:color w:val="000000" w:themeColor="text1"/>
                <w:spacing w:val="-8"/>
                <w:sz w:val="24"/>
                <w:szCs w:val="24"/>
                <w:highlight w:val="none"/>
                <w14:textFill>
                  <w14:solidFill>
                    <w14:schemeClr w14:val="tx1"/>
                  </w14:solidFill>
                </w14:textFill>
              </w:rPr>
            </w:pPr>
            <w:r>
              <w:rPr>
                <w:rFonts w:hint="default" w:ascii="Times New Roman" w:hAnsi="Times New Roman" w:cs="Times New Roman"/>
                <w:color w:val="000000" w:themeColor="text1"/>
                <w:spacing w:val="-8"/>
                <w:sz w:val="24"/>
                <w:szCs w:val="24"/>
                <w:highlight w:val="none"/>
                <w14:textFill>
                  <w14:solidFill>
                    <w14:schemeClr w14:val="tx1"/>
                  </w14:solidFill>
                </w14:textFill>
              </w:rPr>
              <w:t>其他环境</w:t>
            </w:r>
          </w:p>
          <w:p w14:paraId="3B608449">
            <w:pPr>
              <w:adjustRightInd w:val="0"/>
              <w:snapToGrid w:val="0"/>
              <w:jc w:val="center"/>
              <w:rPr>
                <w:rFonts w:hint="default" w:ascii="Times New Roman" w:hAnsi="Times New Roman" w:cs="Times New Roman"/>
                <w:color w:val="000000" w:themeColor="text1"/>
                <w:spacing w:val="-8"/>
                <w:sz w:val="24"/>
                <w:szCs w:val="24"/>
                <w:highlight w:val="none"/>
                <w14:textFill>
                  <w14:solidFill>
                    <w14:schemeClr w14:val="tx1"/>
                  </w14:solidFill>
                </w14:textFill>
              </w:rPr>
            </w:pPr>
            <w:r>
              <w:rPr>
                <w:rFonts w:hint="default" w:ascii="Times New Roman" w:hAnsi="Times New Roman" w:cs="Times New Roman"/>
                <w:color w:val="000000" w:themeColor="text1"/>
                <w:spacing w:val="-8"/>
                <w:sz w:val="24"/>
                <w:szCs w:val="24"/>
                <w:highlight w:val="none"/>
                <w14:textFill>
                  <w14:solidFill>
                    <w14:schemeClr w14:val="tx1"/>
                  </w14:solidFill>
                </w14:textFill>
              </w:rPr>
              <w:t>管理要求</w:t>
            </w:r>
          </w:p>
        </w:tc>
        <w:tc>
          <w:tcPr>
            <w:tcW w:w="7381" w:type="dxa"/>
            <w:gridSpan w:val="4"/>
            <w:noWrap w:val="0"/>
            <w:vAlign w:val="center"/>
          </w:tcPr>
          <w:p w14:paraId="3A0A10D4">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1、环境管理</w:t>
            </w:r>
          </w:p>
          <w:p w14:paraId="1BDE8D4D">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（1）环境保护机构的设置</w:t>
            </w:r>
          </w:p>
          <w:p w14:paraId="05E60C38">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公司设立环境管理机构，配备专/兼职环境管理人员，加强环境管理。</w:t>
            </w:r>
          </w:p>
          <w:p w14:paraId="5F2B0EE1">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（2）环境管理要点</w:t>
            </w:r>
          </w:p>
          <w:p w14:paraId="1A7D60D3">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14:textFill>
                  <w14:solidFill>
                    <w14:schemeClr w14:val="tx1"/>
                  </w14:solidFill>
                </w14:textFill>
              </w:rPr>
              <w:t>项目废气处理措施定期进行检查，以保证处理效率，确保项目废气达标排放。</w:t>
            </w:r>
          </w:p>
          <w:p w14:paraId="7466EA6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三同时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验收</w:t>
            </w:r>
          </w:p>
          <w:p w14:paraId="11F83074">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根据《建设项目环境保护管理条例》及其修改决定（国务院令第682号），建设项目竣工后，建设单位应进行竣工验收，验收后本项目方可正式投产运行。</w:t>
            </w:r>
          </w:p>
          <w:p w14:paraId="461E91F1">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制定环境管理文件及实施细则</w:t>
            </w:r>
          </w:p>
          <w:p w14:paraId="526D6EF9">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根据国家、地方政府对企业环境管理的基本要求，结合项目的具体情况，制定环境管理文件和实施细则。</w:t>
            </w:r>
          </w:p>
          <w:p w14:paraId="682DBE5C">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14:textFill>
                  <w14:solidFill>
                    <w14:schemeClr w14:val="tx1"/>
                  </w14:solidFill>
                </w14:textFill>
              </w:rPr>
              <w:t>信息公开</w:t>
            </w:r>
          </w:p>
          <w:p w14:paraId="61A6419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根据《建设项目环境保护事中事后监督管理办法（试行）》要求，建设单位应当主动向社会公开建设项目环境影响评价文件、污染防治设施建设运行情况、污染物排放情况等环境信息。</w:t>
            </w:r>
          </w:p>
          <w:p w14:paraId="692A473D">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2、排污口规范化</w:t>
            </w:r>
          </w:p>
          <w:p w14:paraId="6C2D175F">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（1）排污口管理</w:t>
            </w:r>
          </w:p>
          <w:p w14:paraId="4EA85CA9">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1）排污口的位置必须合理确定，按环监</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〔1996〕470号</w:t>
            </w:r>
            <w:r>
              <w:rPr>
                <w:rFonts w:hint="default" w:ascii="Times New Roman" w:hAnsi="Times New Roman" w:eastAsia="宋体" w:cs="Times New Roman"/>
                <w:color w:val="000000" w:themeColor="text1"/>
                <w:sz w:val="24"/>
                <w:szCs w:val="24"/>
                <w:highlight w:val="none"/>
                <w14:textFill>
                  <w14:solidFill>
                    <w14:schemeClr w14:val="tx1"/>
                  </w14:solidFill>
                </w14:textFill>
              </w:rPr>
              <w:t>要求进行规范化管理；</w:t>
            </w:r>
          </w:p>
          <w:p w14:paraId="1142A0C6">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2）排污口采样点设置应按《污染源监测技术规范》要求，设置在污染物处理设施进、出口、总排口等处；</w:t>
            </w:r>
          </w:p>
          <w:p w14:paraId="44282B80">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3）废气排放口须符合规定的高度，便于采样、监测，设置直径不小于</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80</w:t>
            </w:r>
            <w:r>
              <w:rPr>
                <w:rFonts w:hint="default" w:ascii="Times New Roman" w:hAnsi="Times New Roman" w:eastAsia="宋体" w:cs="Times New Roman"/>
                <w:color w:val="000000" w:themeColor="text1"/>
                <w:sz w:val="24"/>
                <w:szCs w:val="24"/>
                <w:highlight w:val="none"/>
                <w14:textFill>
                  <w14:solidFill>
                    <w14:schemeClr w14:val="tx1"/>
                  </w14:solidFill>
                </w14:textFill>
              </w:rPr>
              <w:t>mm的采样口。如无法满足要求的，其采样口与环境监测部门共同确认。</w:t>
            </w:r>
          </w:p>
          <w:p w14:paraId="438A0EC3">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（2）环境保护图形标志</w:t>
            </w:r>
          </w:p>
          <w:p w14:paraId="003ADAB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应按《环境保护图形标志-排放口》（GB15562.1-1995）的规定设置环境保护图形标志牌。</w:t>
            </w:r>
          </w:p>
          <w:p w14:paraId="74346435">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3、环境保护档案管理</w:t>
            </w:r>
          </w:p>
          <w:p w14:paraId="2AB613FD">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公司环保部门负责项目的环境保护档案管理工作，环保档案实行专人管理责任到人。企业的所有环保资料应</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分类</w:t>
            </w:r>
            <w:r>
              <w:rPr>
                <w:rFonts w:hint="default" w:ascii="Times New Roman" w:hAnsi="Times New Roman" w:eastAsia="宋体" w:cs="Times New Roman"/>
                <w:color w:val="000000" w:themeColor="text1"/>
                <w:sz w:val="24"/>
                <w:szCs w:val="24"/>
                <w:highlight w:val="none"/>
                <w14:textFill>
                  <w14:solidFill>
                    <w14:schemeClr w14:val="tx1"/>
                  </w14:solidFill>
                </w14:textFill>
              </w:rPr>
              <w:t>整理、分类存档、科学管理，便于统计、查阅。在环境保护档案管理中，应建立如下文件档案：与本项目有关的法规、标准、规范和区域规划等；项目建设的有关环境保护的报告、设计方案及审查、审批文件；项目环保工程设施的设计、施工、安装的基础资料及验收资料；公司内部的环境保护管理制度、人员环保培训和考核记录；生态恢复工程、污染治理设施运行管理文件；环境监测记录技术文件；建立台账，如实记录生产原</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辅</w:t>
            </w:r>
            <w:r>
              <w:rPr>
                <w:rFonts w:hint="default" w:ascii="Times New Roman" w:hAnsi="Times New Roman" w:eastAsia="宋体" w:cs="Times New Roman"/>
                <w:color w:val="000000" w:themeColor="text1"/>
                <w:sz w:val="24"/>
                <w:szCs w:val="24"/>
                <w:highlight w:val="none"/>
                <w14:textFill>
                  <w14:solidFill>
                    <w14:schemeClr w14:val="tx1"/>
                  </w14:solidFill>
                </w14:textFill>
              </w:rPr>
              <w:t>料的使用量、废弃量、去向，台账保存期限不得少于5年</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危险废物相关管理台账保存期限不得少于10年</w:t>
            </w:r>
            <w:r>
              <w:rPr>
                <w:rFonts w:hint="default" w:ascii="Times New Roman" w:hAnsi="Times New Roman" w:eastAsia="宋体" w:cs="Times New Roman"/>
                <w:color w:val="000000" w:themeColor="text1"/>
                <w:sz w:val="24"/>
                <w:szCs w:val="24"/>
                <w:highlight w:val="none"/>
                <w14:textFill>
                  <w14:solidFill>
                    <w14:schemeClr w14:val="tx1"/>
                  </w14:solidFill>
                </w14:textFill>
              </w:rPr>
              <w:t>；所有导致污染事件的分析报告和检测数据资料等。</w:t>
            </w:r>
          </w:p>
          <w:p w14:paraId="291724AC">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4、排污许可</w:t>
            </w:r>
          </w:p>
          <w:p w14:paraId="37F50BA5">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建设单位应根据《固定污染源排污许可分类管理名录》，</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办理排污许可相关手续</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1D597914">
            <w:pPr>
              <w:keepNext w:val="0"/>
              <w:keepLines w:val="0"/>
              <w:pageBreakBefore w:val="0"/>
              <w:widowControl w:val="0"/>
              <w:kinsoku/>
              <w:wordWrap w:val="0"/>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5、环境风险防范制度</w:t>
            </w:r>
          </w:p>
          <w:p w14:paraId="452044D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企业按要求编制突发环境事件应急预案并组织演练。</w:t>
            </w:r>
          </w:p>
          <w:p w14:paraId="275E1577">
            <w:pPr>
              <w:adjustRightInd w:val="0"/>
              <w:snapToGrid w:val="0"/>
              <w:spacing w:line="360" w:lineRule="auto"/>
              <w:jc w:val="both"/>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6、监测计划</w:t>
            </w:r>
          </w:p>
          <w:p w14:paraId="73953F79">
            <w:pPr>
              <w:adjustRightInd w:val="0"/>
              <w:snapToGrid w:val="0"/>
              <w:spacing w:line="240" w:lineRule="auto"/>
              <w:jc w:val="center"/>
              <w:rPr>
                <w:rFonts w:hint="eastAsia" w:ascii="Times New Roman" w:hAnsi="Times New Roman"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bCs/>
                <w:color w:val="000000" w:themeColor="text1"/>
                <w:sz w:val="21"/>
                <w:szCs w:val="21"/>
                <w:highlight w:val="none"/>
                <w:lang w:val="en-US" w:eastAsia="zh-CN"/>
                <w14:textFill>
                  <w14:solidFill>
                    <w14:schemeClr w14:val="tx1"/>
                  </w14:solidFill>
                </w14:textFill>
              </w:rPr>
              <w:t>表5-1</w:t>
            </w:r>
            <w:r>
              <w:rPr>
                <w:rFonts w:hint="eastAsia" w:cs="Times New Roman"/>
                <w:b/>
                <w:bCs/>
                <w:color w:val="000000" w:themeColor="text1"/>
                <w:sz w:val="21"/>
                <w:szCs w:val="21"/>
                <w:highlight w:val="none"/>
                <w:lang w:val="en-US" w:eastAsia="zh-CN"/>
                <w14:textFill>
                  <w14:solidFill>
                    <w14:schemeClr w14:val="tx1"/>
                  </w14:solidFill>
                </w14:textFill>
              </w:rPr>
              <w:t xml:space="preserve"> </w:t>
            </w:r>
            <w:r>
              <w:rPr>
                <w:rFonts w:hint="eastAsia" w:ascii="Times New Roman" w:hAnsi="Times New Roman" w:cs="Times New Roman"/>
                <w:b/>
                <w:bCs/>
                <w:color w:val="000000" w:themeColor="text1"/>
                <w:sz w:val="21"/>
                <w:szCs w:val="21"/>
                <w:highlight w:val="none"/>
                <w:lang w:val="en-US" w:eastAsia="zh-CN"/>
                <w14:textFill>
                  <w14:solidFill>
                    <w14:schemeClr w14:val="tx1"/>
                  </w14:solidFill>
                </w14:textFill>
              </w:rPr>
              <w:t>监测计划</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765"/>
              <w:gridCol w:w="835"/>
              <w:gridCol w:w="1660"/>
              <w:gridCol w:w="1021"/>
              <w:gridCol w:w="1011"/>
              <w:gridCol w:w="1859"/>
            </w:tblGrid>
            <w:tr w14:paraId="2CDB2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535" w:type="pct"/>
                  <w:noWrap w:val="0"/>
                  <w:vAlign w:val="center"/>
                </w:tcPr>
                <w:p w14:paraId="7AD470B2">
                  <w:pPr>
                    <w:adjustRightInd w:val="0"/>
                    <w:snapToGrid w:val="0"/>
                    <w:jc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bCs/>
                      <w:color w:val="000000" w:themeColor="text1"/>
                      <w:sz w:val="21"/>
                      <w:szCs w:val="21"/>
                      <w:highlight w:val="none"/>
                      <w:lang w:val="en-US" w:eastAsia="zh-CN"/>
                      <w14:textFill>
                        <w14:solidFill>
                          <w14:schemeClr w14:val="tx1"/>
                        </w14:solidFill>
                      </w14:textFill>
                    </w:rPr>
                    <w:t>类别</w:t>
                  </w:r>
                </w:p>
              </w:tc>
              <w:tc>
                <w:tcPr>
                  <w:tcW w:w="583" w:type="pct"/>
                  <w:noWrap w:val="0"/>
                  <w:vAlign w:val="center"/>
                </w:tcPr>
                <w:p w14:paraId="1840A8F0">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排放口编号/监测点位</w:t>
                  </w:r>
                </w:p>
              </w:tc>
              <w:tc>
                <w:tcPr>
                  <w:tcW w:w="1160" w:type="pct"/>
                  <w:noWrap w:val="0"/>
                  <w:vAlign w:val="center"/>
                </w:tcPr>
                <w:p w14:paraId="0A9354E9">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排放口名称</w:t>
                  </w:r>
                </w:p>
                <w:p w14:paraId="209E3B18">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/监测点位名称</w:t>
                  </w:r>
                </w:p>
              </w:tc>
              <w:tc>
                <w:tcPr>
                  <w:tcW w:w="713" w:type="pct"/>
                  <w:noWrap w:val="0"/>
                  <w:vAlign w:val="center"/>
                </w:tcPr>
                <w:p w14:paraId="0CFC8199">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污染物</w:t>
                  </w:r>
                </w:p>
                <w:p w14:paraId="65AD7B6C">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名称</w:t>
                  </w:r>
                </w:p>
              </w:tc>
              <w:tc>
                <w:tcPr>
                  <w:tcW w:w="706" w:type="pct"/>
                  <w:noWrap w:val="0"/>
                  <w:vAlign w:val="center"/>
                </w:tcPr>
                <w:p w14:paraId="1227114F">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监测</w:t>
                  </w:r>
                </w:p>
                <w:p w14:paraId="67BE6D1C">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频次</w:t>
                  </w:r>
                </w:p>
              </w:tc>
              <w:tc>
                <w:tcPr>
                  <w:tcW w:w="1299" w:type="pct"/>
                  <w:noWrap w:val="0"/>
                  <w:vAlign w:val="center"/>
                </w:tcPr>
                <w:p w14:paraId="5C96433F">
                  <w:pPr>
                    <w:adjustRightInd w:val="0"/>
                    <w:snapToGrid w:val="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排放</w:t>
                  </w:r>
                  <w:r>
                    <w:rPr>
                      <w:rFonts w:hint="default" w:ascii="Times New Roman" w:hAnsi="Times New Roman" w:cs="Times New Roman"/>
                      <w:b/>
                      <w:bCs/>
                      <w:color w:val="000000" w:themeColor="text1"/>
                      <w:sz w:val="21"/>
                      <w:szCs w:val="21"/>
                      <w:highlight w:val="none"/>
                      <w14:textFill>
                        <w14:solidFill>
                          <w14:schemeClr w14:val="tx1"/>
                        </w14:solidFill>
                      </w14:textFill>
                    </w:rPr>
                    <w:t>标准</w:t>
                  </w:r>
                </w:p>
              </w:tc>
            </w:tr>
            <w:tr w14:paraId="1C02B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535" w:type="pct"/>
                  <w:vMerge w:val="restart"/>
                  <w:noWrap w:val="0"/>
                  <w:vAlign w:val="center"/>
                </w:tcPr>
                <w:p w14:paraId="7935A0D7">
                  <w:pPr>
                    <w:adjustRightInd w:val="0"/>
                    <w:snapToGrid w:val="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废气</w:t>
                  </w:r>
                </w:p>
              </w:tc>
              <w:tc>
                <w:tcPr>
                  <w:tcW w:w="583" w:type="pct"/>
                  <w:noWrap w:val="0"/>
                  <w:vAlign w:val="center"/>
                </w:tcPr>
                <w:p w14:paraId="0F1234A0">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DA001</w:t>
                  </w:r>
                </w:p>
              </w:tc>
              <w:tc>
                <w:tcPr>
                  <w:tcW w:w="1160" w:type="pct"/>
                  <w:noWrap w:val="0"/>
                  <w:vAlign w:val="center"/>
                </w:tcPr>
                <w:p w14:paraId="24C34E14">
                  <w:pPr>
                    <w:adjustRightInd w:val="0"/>
                    <w:snapToGrid w:val="0"/>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上料、破碎</w:t>
                  </w:r>
                </w:p>
                <w:p w14:paraId="5C9E85B2">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和打包</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工序废气排放口</w:t>
                  </w:r>
                </w:p>
              </w:tc>
              <w:tc>
                <w:tcPr>
                  <w:tcW w:w="713" w:type="pct"/>
                  <w:noWrap w:val="0"/>
                  <w:vAlign w:val="center"/>
                </w:tcPr>
                <w:p w14:paraId="36433D85">
                  <w:pPr>
                    <w:adjustRightInd w:val="0"/>
                    <w:snapToGrid w:val="0"/>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颗粒物</w:t>
                  </w:r>
                </w:p>
              </w:tc>
              <w:tc>
                <w:tcPr>
                  <w:tcW w:w="706" w:type="pct"/>
                  <w:noWrap w:val="0"/>
                  <w:vAlign w:val="center"/>
                </w:tcPr>
                <w:p w14:paraId="5678F3C1">
                  <w:pPr>
                    <w:adjustRightInd w:val="0"/>
                    <w:snapToGrid w:val="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1次/</w:t>
                  </w:r>
                  <w:r>
                    <w:rPr>
                      <w:rFonts w:hint="eastAsia" w:cs="Times New Roman"/>
                      <w:color w:val="000000" w:themeColor="text1"/>
                      <w:sz w:val="21"/>
                      <w:szCs w:val="21"/>
                      <w:highlight w:val="none"/>
                      <w:lang w:val="en-US" w:eastAsia="zh-CN"/>
                      <w14:textFill>
                        <w14:solidFill>
                          <w14:schemeClr w14:val="tx1"/>
                        </w14:solidFill>
                      </w14:textFill>
                    </w:rPr>
                    <w:t>年</w:t>
                  </w:r>
                </w:p>
              </w:tc>
              <w:tc>
                <w:tcPr>
                  <w:tcW w:w="1299" w:type="pct"/>
                  <w:noWrap w:val="0"/>
                  <w:vAlign w:val="center"/>
                </w:tcPr>
                <w:p w14:paraId="70660B06">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《大气污染物综合排放标准》（GB16297-1996）表2中</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相关标准限值</w:t>
                  </w:r>
                </w:p>
              </w:tc>
            </w:tr>
            <w:tr w14:paraId="7703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535" w:type="pct"/>
                  <w:vMerge w:val="continue"/>
                  <w:noWrap w:val="0"/>
                  <w:vAlign w:val="center"/>
                </w:tcPr>
                <w:p w14:paraId="3739410A">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583" w:type="pct"/>
                  <w:noWrap w:val="0"/>
                  <w:vAlign w:val="center"/>
                </w:tcPr>
                <w:p w14:paraId="2BF3303E">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厂界</w:t>
                  </w:r>
                </w:p>
              </w:tc>
              <w:tc>
                <w:tcPr>
                  <w:tcW w:w="1160" w:type="pct"/>
                  <w:noWrap w:val="0"/>
                  <w:vAlign w:val="center"/>
                </w:tcPr>
                <w:p w14:paraId="532692BC">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厂界上风向1个、下风向3个</w:t>
                  </w:r>
                </w:p>
              </w:tc>
              <w:tc>
                <w:tcPr>
                  <w:tcW w:w="713" w:type="pct"/>
                  <w:noWrap w:val="0"/>
                  <w:vAlign w:val="center"/>
                </w:tcPr>
                <w:p w14:paraId="1245C34D">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w:t>
                  </w:r>
                </w:p>
              </w:tc>
              <w:tc>
                <w:tcPr>
                  <w:tcW w:w="706" w:type="pct"/>
                  <w:noWrap w:val="0"/>
                  <w:vAlign w:val="center"/>
                </w:tcPr>
                <w:p w14:paraId="583672F2">
                  <w:pPr>
                    <w:adjustRightInd w:val="0"/>
                    <w:snapToGrid w:val="0"/>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1次/</w:t>
                  </w:r>
                  <w:r>
                    <w:rPr>
                      <w:rFonts w:hint="eastAsia" w:cs="Times New Roman"/>
                      <w:color w:val="000000" w:themeColor="text1"/>
                      <w:sz w:val="21"/>
                      <w:szCs w:val="21"/>
                      <w:highlight w:val="none"/>
                      <w:lang w:val="en-US" w:eastAsia="zh-CN"/>
                      <w14:textFill>
                        <w14:solidFill>
                          <w14:schemeClr w14:val="tx1"/>
                        </w14:solidFill>
                      </w14:textFill>
                    </w:rPr>
                    <w:t>年</w:t>
                  </w:r>
                </w:p>
                <w:p w14:paraId="067F8568">
                  <w:pPr>
                    <w:adjustRightInd w:val="0"/>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1299" w:type="pct"/>
                  <w:noWrap w:val="0"/>
                  <w:vAlign w:val="center"/>
                </w:tcPr>
                <w:p w14:paraId="0BCD17DA">
                  <w:pPr>
                    <w:keepNext w:val="0"/>
                    <w:keepLines w:val="0"/>
                    <w:pageBreakBefore w:val="0"/>
                    <w:widowControl w:val="0"/>
                    <w:kinsoku/>
                    <w:wordWrap w:val="0"/>
                    <w:overflowPunct w:val="0"/>
                    <w:topLinePunct w:val="0"/>
                    <w:autoSpaceDE/>
                    <w:autoSpaceDN/>
                    <w:bidi w:val="0"/>
                    <w:adjustRightInd w:val="0"/>
                    <w:snapToGrid w:val="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《大气污染物综合排放标准》（GB16297-1996）无组织排放监控浓度限值</w:t>
                  </w:r>
                </w:p>
              </w:tc>
            </w:tr>
            <w:tr w14:paraId="0E9A3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535" w:type="pct"/>
                  <w:noWrap w:val="0"/>
                  <w:vAlign w:val="center"/>
                </w:tcPr>
                <w:p w14:paraId="23485C34">
                  <w:pPr>
                    <w:adjustRightInd w:val="0"/>
                    <w:snapToGrid w:val="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噪声</w:t>
                  </w:r>
                </w:p>
              </w:tc>
              <w:tc>
                <w:tcPr>
                  <w:tcW w:w="583" w:type="pct"/>
                  <w:noWrap w:val="0"/>
                  <w:vAlign w:val="center"/>
                </w:tcPr>
                <w:p w14:paraId="70CE1B53">
                  <w:pPr>
                    <w:spacing w:line="240" w:lineRule="auto"/>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厂界</w:t>
                  </w:r>
                </w:p>
                <w:p w14:paraId="172C7D76">
                  <w:pPr>
                    <w:spacing w:line="240" w:lineRule="auto"/>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噪声</w:t>
                  </w:r>
                </w:p>
              </w:tc>
              <w:tc>
                <w:tcPr>
                  <w:tcW w:w="1160" w:type="pct"/>
                  <w:noWrap w:val="0"/>
                  <w:vAlign w:val="center"/>
                </w:tcPr>
                <w:p w14:paraId="0F323111">
                  <w:pPr>
                    <w:spacing w:line="240" w:lineRule="auto"/>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厂界</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四周</w:t>
                  </w:r>
                </w:p>
              </w:tc>
              <w:tc>
                <w:tcPr>
                  <w:tcW w:w="713" w:type="pct"/>
                  <w:noWrap w:val="0"/>
                  <w:vAlign w:val="center"/>
                </w:tcPr>
                <w:p w14:paraId="2173744B">
                  <w:pPr>
                    <w:spacing w:line="240" w:lineRule="auto"/>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等效连续A声级</w:t>
                  </w:r>
                </w:p>
              </w:tc>
              <w:tc>
                <w:tcPr>
                  <w:tcW w:w="706" w:type="pct"/>
                  <w:noWrap w:val="0"/>
                  <w:vAlign w:val="center"/>
                </w:tcPr>
                <w:p w14:paraId="38C2EFAB">
                  <w:pPr>
                    <w:spacing w:line="240" w:lineRule="auto"/>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1次</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季</w:t>
                  </w:r>
                </w:p>
              </w:tc>
              <w:tc>
                <w:tcPr>
                  <w:tcW w:w="1299" w:type="pct"/>
                  <w:noWrap w:val="0"/>
                  <w:vAlign w:val="center"/>
                </w:tcPr>
                <w:p w14:paraId="2B6B48BD">
                  <w:pPr>
                    <w:keepNext w:val="0"/>
                    <w:keepLines w:val="0"/>
                    <w:pageBreakBefore w:val="0"/>
                    <w:widowControl w:val="0"/>
                    <w:kinsoku/>
                    <w:wordWrap w:val="0"/>
                    <w:overflowPunct w:val="0"/>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《工业企业厂界环境噪声排放标准》（GB12348-2008）</w:t>
                  </w:r>
                </w:p>
                <w:p w14:paraId="4B99956F">
                  <w:pPr>
                    <w:keepNext w:val="0"/>
                    <w:keepLines w:val="0"/>
                    <w:pageBreakBefore w:val="0"/>
                    <w:widowControl w:val="0"/>
                    <w:kinsoku/>
                    <w:wordWrap w:val="0"/>
                    <w:overflowPunct w:val="0"/>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Cs w:val="21"/>
                      <w:highlight w:val="none"/>
                      <w14:textFill>
                        <w14:solidFill>
                          <w14:schemeClr w14:val="tx1"/>
                        </w14:solidFill>
                      </w14:textFill>
                    </w:rPr>
                    <w:t>类标准</w:t>
                  </w:r>
                </w:p>
              </w:tc>
            </w:tr>
          </w:tbl>
          <w:p w14:paraId="08395E52">
            <w:pPr>
              <w:adjustRightInd w:val="0"/>
              <w:snapToGrid w:val="0"/>
              <w:spacing w:line="360" w:lineRule="auto"/>
              <w:jc w:val="both"/>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p>
          <w:p w14:paraId="4E42368B">
            <w:pPr>
              <w:adjustRightInd w:val="0"/>
              <w:snapToGrid w:val="0"/>
              <w:spacing w:line="360" w:lineRule="auto"/>
              <w:jc w:val="both"/>
              <w:rPr>
                <w:rFonts w:hint="default" w:ascii="Times New Roman" w:hAnsi="Times New Roman" w:cs="Times New Roman"/>
                <w:color w:val="000000" w:themeColor="text1"/>
                <w:sz w:val="24"/>
                <w:szCs w:val="24"/>
                <w:highlight w:val="none"/>
                <w14:textFill>
                  <w14:solidFill>
                    <w14:schemeClr w14:val="tx1"/>
                  </w14:solidFill>
                </w14:textFill>
              </w:rPr>
            </w:pPr>
          </w:p>
        </w:tc>
      </w:tr>
    </w:tbl>
    <w:p w14:paraId="5D618E4D">
      <w:pPr>
        <w:pStyle w:val="21"/>
        <w:jc w:val="center"/>
        <w:outlineLvl w:val="0"/>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pPr>
      <w:r>
        <w:rPr>
          <w:rFonts w:hint="default" w:ascii="Times New Roman" w:hAnsi="Times New Roman" w:cs="Times New Roman"/>
          <w:snapToGrid w:val="0"/>
          <w:color w:val="000000" w:themeColor="text1"/>
          <w:highlight w:val="none"/>
          <w14:textFill>
            <w14:solidFill>
              <w14:schemeClr w14:val="tx1"/>
            </w14:solidFill>
          </w14:textFill>
        </w:rPr>
        <w:br w:type="page"/>
      </w:r>
      <w:bookmarkStart w:id="35" w:name="_Toc10658"/>
      <w:r>
        <w:rPr>
          <w:rFonts w:hint="default" w:ascii="Times New Roman" w:hAnsi="Times New Roman" w:eastAsia="黑体" w:cs="Times New Roman"/>
          <w:snapToGrid w:val="0"/>
          <w:color w:val="000000" w:themeColor="text1"/>
          <w:sz w:val="30"/>
          <w:szCs w:val="30"/>
          <w:highlight w:val="none"/>
          <w14:textFill>
            <w14:solidFill>
              <w14:schemeClr w14:val="tx1"/>
            </w14:solidFill>
          </w14:textFill>
        </w:rPr>
        <w:t>六、结论</w:t>
      </w:r>
      <w:bookmarkEnd w:id="35"/>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9CCDA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14:paraId="6D448384">
            <w:pPr>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szCs w:val="21"/>
                <w:highlight w:val="none"/>
                <w14:textFill>
                  <w14:solidFill>
                    <w14:schemeClr w14:val="tx1"/>
                  </w14:solidFill>
                </w14:textFill>
              </w:rPr>
              <w:t>从环境保护角度分析，该建设项目环境影响可行。</w:t>
            </w:r>
          </w:p>
        </w:tc>
      </w:tr>
    </w:tbl>
    <w:p w14:paraId="5AD268CA">
      <w:pPr>
        <w:rPr>
          <w:rFonts w:hint="default" w:ascii="Times New Roman" w:hAnsi="Times New Roman" w:cs="Times New Roman"/>
          <w:color w:val="000000" w:themeColor="text1"/>
          <w:highlight w:val="none"/>
          <w14:textFill>
            <w14:solidFill>
              <w14:schemeClr w14:val="tx1"/>
            </w14:solidFill>
          </w14:textFill>
        </w:rPr>
        <w:sectPr>
          <w:pgSz w:w="11906" w:h="16838"/>
          <w:pgMar w:top="1701" w:right="1531" w:bottom="1701" w:left="1531" w:header="851" w:footer="851" w:gutter="0"/>
          <w:pgNumType w:fmt="decimal"/>
          <w:cols w:space="720" w:num="1"/>
          <w:docGrid w:linePitch="312" w:charSpace="0"/>
        </w:sectPr>
      </w:pPr>
    </w:p>
    <w:p w14:paraId="037581A9">
      <w:pPr>
        <w:pStyle w:val="21"/>
        <w:adjustRightInd w:val="0"/>
        <w:snapToGrid w:val="0"/>
        <w:spacing w:before="0" w:beforeAutospacing="0" w:after="0" w:afterAutospacing="0" w:line="240" w:lineRule="auto"/>
        <w:outlineLvl w:val="0"/>
        <w:rPr>
          <w:rFonts w:hint="default" w:ascii="Times New Roman" w:hAnsi="Times New Roman" w:eastAsia="黑体" w:cs="Times New Roman"/>
          <w:snapToGrid w:val="0"/>
          <w:color w:val="000000" w:themeColor="text1"/>
          <w:sz w:val="32"/>
          <w:szCs w:val="32"/>
          <w:highlight w:val="none"/>
          <w14:textFill>
            <w14:solidFill>
              <w14:schemeClr w14:val="tx1"/>
            </w14:solidFill>
          </w14:textFill>
        </w:rPr>
      </w:pPr>
      <w:bookmarkStart w:id="36" w:name="_Toc11661"/>
      <w:r>
        <w:rPr>
          <w:rFonts w:hint="default" w:ascii="Times New Roman" w:hAnsi="Times New Roman" w:eastAsia="黑体" w:cs="Times New Roman"/>
          <w:snapToGrid w:val="0"/>
          <w:color w:val="000000" w:themeColor="text1"/>
          <w:sz w:val="32"/>
          <w:szCs w:val="32"/>
          <w:highlight w:val="none"/>
          <w14:textFill>
            <w14:solidFill>
              <w14:schemeClr w14:val="tx1"/>
            </w14:solidFill>
          </w14:textFill>
        </w:rPr>
        <w:t>附表</w:t>
      </w:r>
      <w:bookmarkEnd w:id="36"/>
    </w:p>
    <w:p w14:paraId="65BA19D9">
      <w:pPr>
        <w:pStyle w:val="21"/>
        <w:adjustRightInd w:val="0"/>
        <w:snapToGrid w:val="0"/>
        <w:spacing w:before="0" w:beforeAutospacing="0" w:after="0" w:afterAutospacing="0" w:line="240" w:lineRule="auto"/>
        <w:jc w:val="center"/>
        <w:outlineLvl w:val="0"/>
        <w:rPr>
          <w:rFonts w:hint="default" w:ascii="Times New Roman" w:hAnsi="Times New Roman" w:eastAsia="方正小标宋_GBK" w:cs="Times New Roman"/>
          <w:snapToGrid w:val="0"/>
          <w:color w:val="000000" w:themeColor="text1"/>
          <w:sz w:val="28"/>
          <w:szCs w:val="28"/>
          <w:highlight w:val="none"/>
          <w14:textFill>
            <w14:solidFill>
              <w14:schemeClr w14:val="tx1"/>
            </w14:solidFill>
          </w14:textFill>
        </w:rPr>
      </w:pPr>
      <w:bookmarkStart w:id="37" w:name="_Toc26906"/>
      <w:r>
        <w:rPr>
          <w:rFonts w:hint="default" w:ascii="Times New Roman" w:hAnsi="Times New Roman" w:eastAsia="方正小标宋_GBK" w:cs="Times New Roman"/>
          <w:snapToGrid w:val="0"/>
          <w:color w:val="000000" w:themeColor="text1"/>
          <w:sz w:val="28"/>
          <w:szCs w:val="28"/>
          <w:highlight w:val="none"/>
          <w14:textFill>
            <w14:solidFill>
              <w14:schemeClr w14:val="tx1"/>
            </w14:solidFill>
          </w14:textFill>
        </w:rPr>
        <w:t>建设项目污染物排放量汇总表</w:t>
      </w:r>
      <w:bookmarkEnd w:id="37"/>
    </w:p>
    <w:tbl>
      <w:tblPr>
        <w:tblStyle w:val="25"/>
        <w:tblW w:w="136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1935"/>
        <w:gridCol w:w="1592"/>
        <w:gridCol w:w="1263"/>
        <w:gridCol w:w="1570"/>
        <w:gridCol w:w="1650"/>
        <w:gridCol w:w="1615"/>
        <w:gridCol w:w="1817"/>
        <w:gridCol w:w="1080"/>
      </w:tblGrid>
      <w:tr w14:paraId="4BA135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33" w:type="dxa"/>
            <w:tcBorders>
              <w:tl2br w:val="single" w:color="auto" w:sz="4" w:space="0"/>
            </w:tcBorders>
            <w:noWrap w:val="0"/>
            <w:tcMar>
              <w:left w:w="28" w:type="dxa"/>
              <w:right w:w="28" w:type="dxa"/>
            </w:tcMar>
            <w:vAlign w:val="center"/>
          </w:tcPr>
          <w:p w14:paraId="29CF84EA">
            <w:pPr>
              <w:pStyle w:val="46"/>
              <w:spacing w:beforeLines="0" w:afterLines="0" w:line="240" w:lineRule="auto"/>
              <w:jc w:val="right"/>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项目</w:t>
            </w:r>
          </w:p>
          <w:p w14:paraId="6C996AE7">
            <w:pPr>
              <w:pStyle w:val="46"/>
              <w:spacing w:beforeLines="0" w:afterLines="0" w:line="240" w:lineRule="auto"/>
              <w:ind w:left="0" w:leftChars="0" w:firstLine="0" w:firstLineChars="0"/>
              <w:jc w:val="left"/>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分类</w:t>
            </w:r>
          </w:p>
        </w:tc>
        <w:tc>
          <w:tcPr>
            <w:tcW w:w="1935" w:type="dxa"/>
            <w:noWrap w:val="0"/>
            <w:tcMar>
              <w:left w:w="28" w:type="dxa"/>
              <w:right w:w="28" w:type="dxa"/>
            </w:tcMar>
            <w:vAlign w:val="center"/>
          </w:tcPr>
          <w:p w14:paraId="09545AC3">
            <w:pPr>
              <w:pStyle w:val="46"/>
              <w:spacing w:beforeLines="0" w:afterLines="0" w:line="240" w:lineRule="auto"/>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污染物名称</w:t>
            </w:r>
          </w:p>
        </w:tc>
        <w:tc>
          <w:tcPr>
            <w:tcW w:w="1592" w:type="dxa"/>
            <w:noWrap w:val="0"/>
            <w:tcMar>
              <w:left w:w="28" w:type="dxa"/>
              <w:right w:w="28" w:type="dxa"/>
            </w:tcMar>
            <w:vAlign w:val="center"/>
          </w:tcPr>
          <w:p w14:paraId="4D67C44D">
            <w:pPr>
              <w:pStyle w:val="46"/>
              <w:spacing w:beforeLines="0" w:afterLines="0" w:line="240" w:lineRule="auto"/>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现有工程</w:t>
            </w:r>
          </w:p>
          <w:p w14:paraId="160C325B">
            <w:pPr>
              <w:pStyle w:val="46"/>
              <w:spacing w:beforeLines="0" w:afterLines="0" w:line="240" w:lineRule="auto"/>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排放量（固体废物产生量）</w: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instrText xml:space="preserve"> = 1 \* GB3 \* MERGEFORMAT </w:instrTex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kern w:val="2"/>
                <w:sz w:val="21"/>
                <w:szCs w:val="21"/>
                <w:highlight w:val="none"/>
                <w14:textFill>
                  <w14:solidFill>
                    <w14:schemeClr w14:val="tx1"/>
                  </w14:solidFill>
                </w14:textFill>
              </w:rPr>
              <w:t>①</w: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end"/>
            </w:r>
          </w:p>
        </w:tc>
        <w:tc>
          <w:tcPr>
            <w:tcW w:w="1263" w:type="dxa"/>
            <w:noWrap w:val="0"/>
            <w:tcMar>
              <w:left w:w="28" w:type="dxa"/>
              <w:right w:w="28" w:type="dxa"/>
            </w:tcMar>
            <w:vAlign w:val="center"/>
          </w:tcPr>
          <w:p w14:paraId="790D22EA">
            <w:pPr>
              <w:pStyle w:val="46"/>
              <w:spacing w:beforeLines="0" w:afterLines="0" w:line="240" w:lineRule="auto"/>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现有工程</w:t>
            </w:r>
          </w:p>
          <w:p w14:paraId="5BB24FE1">
            <w:pPr>
              <w:pStyle w:val="46"/>
              <w:spacing w:beforeLines="0" w:afterLines="0" w:line="240" w:lineRule="auto"/>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许可排放量</w:t>
            </w:r>
          </w:p>
          <w:p w14:paraId="4564D699">
            <w:pPr>
              <w:pStyle w:val="46"/>
              <w:spacing w:beforeLines="0" w:afterLines="0"/>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instrText xml:space="preserve"> = 2 \* GB3 \* MERGEFORMAT </w:instrTex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separate"/>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②</w: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end"/>
            </w:r>
          </w:p>
        </w:tc>
        <w:tc>
          <w:tcPr>
            <w:tcW w:w="1570" w:type="dxa"/>
            <w:noWrap w:val="0"/>
            <w:tcMar>
              <w:left w:w="28" w:type="dxa"/>
              <w:right w:w="28" w:type="dxa"/>
            </w:tcMar>
            <w:vAlign w:val="center"/>
          </w:tcPr>
          <w:p w14:paraId="47BFDD18">
            <w:pPr>
              <w:pStyle w:val="46"/>
              <w:spacing w:beforeLines="0" w:afterLines="0" w:line="240" w:lineRule="auto"/>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在建工程</w:t>
            </w:r>
          </w:p>
          <w:p w14:paraId="43E0B570">
            <w:pPr>
              <w:pStyle w:val="46"/>
              <w:spacing w:beforeLines="0" w:afterLines="0" w:line="240" w:lineRule="auto"/>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排放量（固体废物产生量）</w: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instrText xml:space="preserve"> = 3 \* GB3 \* MERGEFORMAT </w:instrTex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kern w:val="2"/>
                <w:sz w:val="21"/>
                <w:szCs w:val="21"/>
                <w:highlight w:val="none"/>
                <w14:textFill>
                  <w14:solidFill>
                    <w14:schemeClr w14:val="tx1"/>
                  </w14:solidFill>
                </w14:textFill>
              </w:rPr>
              <w:t>③</w: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end"/>
            </w:r>
          </w:p>
        </w:tc>
        <w:tc>
          <w:tcPr>
            <w:tcW w:w="1650" w:type="dxa"/>
            <w:noWrap w:val="0"/>
            <w:tcMar>
              <w:left w:w="28" w:type="dxa"/>
              <w:right w:w="28" w:type="dxa"/>
            </w:tcMar>
            <w:vAlign w:val="center"/>
          </w:tcPr>
          <w:p w14:paraId="2B06CBB1">
            <w:pPr>
              <w:pStyle w:val="46"/>
              <w:spacing w:beforeLines="0" w:afterLines="0" w:line="240" w:lineRule="auto"/>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本项目</w:t>
            </w:r>
          </w:p>
          <w:p w14:paraId="65210F71">
            <w:pPr>
              <w:pStyle w:val="46"/>
              <w:spacing w:beforeLines="0" w:afterLines="0" w:line="240" w:lineRule="auto"/>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排放量（固体废物产生量）</w: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instrText xml:space="preserve"> = 4 \* GB3 \* MERGEFORMAT </w:instrTex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kern w:val="2"/>
                <w:sz w:val="21"/>
                <w:szCs w:val="21"/>
                <w:highlight w:val="none"/>
                <w14:textFill>
                  <w14:solidFill>
                    <w14:schemeClr w14:val="tx1"/>
                  </w14:solidFill>
                </w14:textFill>
              </w:rPr>
              <w:t>④</w: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end"/>
            </w:r>
          </w:p>
        </w:tc>
        <w:tc>
          <w:tcPr>
            <w:tcW w:w="1615" w:type="dxa"/>
            <w:noWrap w:val="0"/>
            <w:tcMar>
              <w:left w:w="28" w:type="dxa"/>
              <w:right w:w="28" w:type="dxa"/>
            </w:tcMar>
            <w:vAlign w:val="center"/>
          </w:tcPr>
          <w:p w14:paraId="0621CB57">
            <w:pPr>
              <w:pStyle w:val="46"/>
              <w:spacing w:beforeLines="0" w:afterLines="0" w:line="240" w:lineRule="auto"/>
              <w:jc w:val="cente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t>以新带老削减量</w:t>
            </w:r>
          </w:p>
          <w:p w14:paraId="175A4E36">
            <w:pPr>
              <w:pStyle w:val="46"/>
              <w:spacing w:beforeLines="0" w:afterLines="0" w:line="240" w:lineRule="auto"/>
              <w:jc w:val="cente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t>（新建项目不填）</w:t>
            </w:r>
          </w:p>
          <w:p w14:paraId="7BDA476D">
            <w:pPr>
              <w:pStyle w:val="46"/>
              <w:spacing w:beforeLines="0" w:afterLines="0" w:line="240" w:lineRule="auto"/>
              <w:jc w:val="cente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instrText xml:space="preserve"> = 5 \* GB3 \* MERGEFORMAT </w:instrText>
            </w: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kern w:val="2"/>
                <w:sz w:val="21"/>
                <w:szCs w:val="21"/>
                <w:highlight w:val="none"/>
                <w14:textFill>
                  <w14:solidFill>
                    <w14:schemeClr w14:val="tx1"/>
                  </w14:solidFill>
                </w14:textFill>
              </w:rPr>
              <w:t>⑤</w:t>
            </w: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fldChar w:fldCharType="end"/>
            </w:r>
          </w:p>
        </w:tc>
        <w:tc>
          <w:tcPr>
            <w:tcW w:w="1817" w:type="dxa"/>
            <w:noWrap w:val="0"/>
            <w:tcMar>
              <w:left w:w="28" w:type="dxa"/>
              <w:right w:w="28" w:type="dxa"/>
            </w:tcMar>
            <w:vAlign w:val="center"/>
          </w:tcPr>
          <w:p w14:paraId="31ABDF36">
            <w:pPr>
              <w:pStyle w:val="46"/>
              <w:spacing w:beforeLines="0" w:afterLines="0" w:line="240" w:lineRule="auto"/>
              <w:jc w:val="cente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t>本项目建成后</w:t>
            </w:r>
          </w:p>
          <w:p w14:paraId="75F96FF1">
            <w:pPr>
              <w:pStyle w:val="46"/>
              <w:spacing w:beforeLines="0" w:afterLines="0" w:line="240" w:lineRule="auto"/>
              <w:jc w:val="cente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t>全厂排放量（固体废物产生量）</w:t>
            </w: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instrText xml:space="preserve"> = 6 \* GB3 \* MERGEFORMAT </w:instrText>
            </w: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kern w:val="2"/>
                <w:sz w:val="21"/>
                <w:szCs w:val="21"/>
                <w:highlight w:val="none"/>
                <w14:textFill>
                  <w14:solidFill>
                    <w14:schemeClr w14:val="tx1"/>
                  </w14:solidFill>
                </w14:textFill>
              </w:rPr>
              <w:t>⑥</w:t>
            </w:r>
            <w:r>
              <w:rPr>
                <w:rFonts w:hint="default" w:ascii="Times New Roman" w:hAnsi="Times New Roman" w:eastAsia="宋体" w:cs="Times New Roman"/>
                <w:b/>
                <w:bCs/>
                <w:snapToGrid w:val="0"/>
                <w:color w:val="000000" w:themeColor="text1"/>
                <w:spacing w:val="-16"/>
                <w:kern w:val="21"/>
                <w:sz w:val="21"/>
                <w:szCs w:val="21"/>
                <w:highlight w:val="none"/>
                <w14:textFill>
                  <w14:solidFill>
                    <w14:schemeClr w14:val="tx1"/>
                  </w14:solidFill>
                </w14:textFill>
              </w:rPr>
              <w:fldChar w:fldCharType="end"/>
            </w:r>
          </w:p>
        </w:tc>
        <w:tc>
          <w:tcPr>
            <w:tcW w:w="1080" w:type="dxa"/>
            <w:noWrap w:val="0"/>
            <w:tcMar>
              <w:left w:w="28" w:type="dxa"/>
              <w:right w:w="28" w:type="dxa"/>
            </w:tcMar>
            <w:vAlign w:val="center"/>
          </w:tcPr>
          <w:p w14:paraId="5C9305BD">
            <w:pPr>
              <w:pStyle w:val="46"/>
              <w:spacing w:beforeLines="0" w:afterLines="0" w:line="240" w:lineRule="auto"/>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t>变化量</w:t>
            </w:r>
          </w:p>
          <w:p w14:paraId="20CA9F6B">
            <w:pPr>
              <w:pStyle w:val="46"/>
              <w:spacing w:beforeLines="0" w:afterLines="0" w:line="240" w:lineRule="auto"/>
              <w:jc w:val="cente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instrText xml:space="preserve"> = 7 \* GB3 \* MERGEFORMAT </w:instrTex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kern w:val="2"/>
                <w:sz w:val="21"/>
                <w:szCs w:val="21"/>
                <w:highlight w:val="none"/>
                <w14:textFill>
                  <w14:solidFill>
                    <w14:schemeClr w14:val="tx1"/>
                  </w14:solidFill>
                </w14:textFill>
              </w:rPr>
              <w:t>⑦</w:t>
            </w:r>
            <w:r>
              <w:rPr>
                <w:rFonts w:hint="default" w:ascii="Times New Roman" w:hAnsi="Times New Roman" w:eastAsia="宋体" w:cs="Times New Roman"/>
                <w:b/>
                <w:bCs/>
                <w:snapToGrid w:val="0"/>
                <w:color w:val="000000" w:themeColor="text1"/>
                <w:spacing w:val="-6"/>
                <w:kern w:val="21"/>
                <w:sz w:val="21"/>
                <w:szCs w:val="21"/>
                <w:highlight w:val="none"/>
                <w14:textFill>
                  <w14:solidFill>
                    <w14:schemeClr w14:val="tx1"/>
                  </w14:solidFill>
                </w14:textFill>
              </w:rPr>
              <w:fldChar w:fldCharType="end"/>
            </w:r>
          </w:p>
        </w:tc>
      </w:tr>
      <w:tr w14:paraId="5E6835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noWrap w:val="0"/>
            <w:vAlign w:val="center"/>
          </w:tcPr>
          <w:p w14:paraId="2A2795B8">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t>废气</w:t>
            </w:r>
          </w:p>
        </w:tc>
        <w:tc>
          <w:tcPr>
            <w:tcW w:w="1935" w:type="dxa"/>
            <w:noWrap w:val="0"/>
            <w:vAlign w:val="center"/>
          </w:tcPr>
          <w:p w14:paraId="06B3F8E6">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eastAsia="zh-CN"/>
                <w14:textFill>
                  <w14:solidFill>
                    <w14:schemeClr w14:val="tx1"/>
                  </w14:solidFill>
                </w14:textFill>
              </w:rPr>
              <w:t>颗粒物</w:t>
            </w:r>
          </w:p>
        </w:tc>
        <w:tc>
          <w:tcPr>
            <w:tcW w:w="1592" w:type="dxa"/>
            <w:noWrap w:val="0"/>
            <w:vAlign w:val="center"/>
          </w:tcPr>
          <w:p w14:paraId="5A283047">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7B186F5D">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0BF825CE">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1501113F">
            <w:pPr>
              <w:keepNext w:val="0"/>
              <w:keepLines w:val="0"/>
              <w:widowControl/>
              <w:suppressLineNumbers w:val="0"/>
              <w:jc w:val="center"/>
              <w:textAlignment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1.495</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t/a</w:t>
            </w:r>
          </w:p>
        </w:tc>
        <w:tc>
          <w:tcPr>
            <w:tcW w:w="1615" w:type="dxa"/>
            <w:noWrap w:val="0"/>
            <w:vAlign w:val="center"/>
          </w:tcPr>
          <w:p w14:paraId="59800EB2">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34B6E721">
            <w:pPr>
              <w:keepNext w:val="0"/>
              <w:keepLines w:val="0"/>
              <w:widowControl/>
              <w:suppressLineNumbers w:val="0"/>
              <w:jc w:val="center"/>
              <w:textAlignment w:val="cente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1.495</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t/a</w:t>
            </w:r>
          </w:p>
        </w:tc>
        <w:tc>
          <w:tcPr>
            <w:tcW w:w="1080" w:type="dxa"/>
            <w:noWrap w:val="0"/>
            <w:vAlign w:val="center"/>
          </w:tcPr>
          <w:p w14:paraId="1B2CF437">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663AF2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restart"/>
            <w:noWrap w:val="0"/>
            <w:vAlign w:val="center"/>
          </w:tcPr>
          <w:p w14:paraId="6D62E954">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t>废水</w:t>
            </w:r>
          </w:p>
        </w:tc>
        <w:tc>
          <w:tcPr>
            <w:tcW w:w="1935" w:type="dxa"/>
            <w:noWrap w:val="0"/>
            <w:vAlign w:val="center"/>
          </w:tcPr>
          <w:p w14:paraId="585DEC56">
            <w:pPr>
              <w:pStyle w:val="2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COD</w:t>
            </w:r>
          </w:p>
        </w:tc>
        <w:tc>
          <w:tcPr>
            <w:tcW w:w="1592" w:type="dxa"/>
            <w:noWrap w:val="0"/>
            <w:vAlign w:val="center"/>
          </w:tcPr>
          <w:p w14:paraId="09E4F28E">
            <w:pPr>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0C6CB0D2">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5F98B149">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63A4801A">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lang w:val="en-US" w:eastAsia="zh-CN" w:bidi="ar-SA"/>
                <w14:textFill>
                  <w14:solidFill>
                    <w14:schemeClr w14:val="tx1"/>
                  </w14:solidFill>
                </w14:textFill>
              </w:rPr>
              <w:t>0.14</w:t>
            </w:r>
            <w:r>
              <w:rPr>
                <w:rFonts w:hint="default" w:ascii="Times New Roman" w:hAnsi="Times New Roman" w:eastAsia="宋体" w:cs="Times New Roman"/>
                <w:b w:val="0"/>
                <w:bCs w:val="0"/>
                <w:color w:val="000000" w:themeColor="text1"/>
                <w:kern w:val="0"/>
                <w:sz w:val="21"/>
                <w:szCs w:val="21"/>
                <w:highlight w:val="none"/>
                <w14:textFill>
                  <w14:solidFill>
                    <w14:schemeClr w14:val="tx1"/>
                  </w14:solidFill>
                </w14:textFill>
              </w:rPr>
              <w:t>t/a</w:t>
            </w:r>
          </w:p>
        </w:tc>
        <w:tc>
          <w:tcPr>
            <w:tcW w:w="1615" w:type="dxa"/>
            <w:noWrap w:val="0"/>
            <w:vAlign w:val="center"/>
          </w:tcPr>
          <w:p w14:paraId="61B7E532">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473269B2">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lang w:val="en-US" w:eastAsia="zh-CN" w:bidi="ar-SA"/>
                <w14:textFill>
                  <w14:solidFill>
                    <w14:schemeClr w14:val="tx1"/>
                  </w14:solidFill>
                </w14:textFill>
              </w:rPr>
              <w:t>0.14</w:t>
            </w:r>
            <w:r>
              <w:rPr>
                <w:rFonts w:hint="default" w:ascii="Times New Roman" w:hAnsi="Times New Roman" w:eastAsia="宋体" w:cs="Times New Roman"/>
                <w:b w:val="0"/>
                <w:bCs w:val="0"/>
                <w:color w:val="000000" w:themeColor="text1"/>
                <w:kern w:val="0"/>
                <w:sz w:val="21"/>
                <w:szCs w:val="21"/>
                <w:highlight w:val="none"/>
                <w14:textFill>
                  <w14:solidFill>
                    <w14:schemeClr w14:val="tx1"/>
                  </w14:solidFill>
                </w14:textFill>
              </w:rPr>
              <w:t>t/a</w:t>
            </w:r>
          </w:p>
        </w:tc>
        <w:tc>
          <w:tcPr>
            <w:tcW w:w="1080" w:type="dxa"/>
            <w:noWrap w:val="0"/>
            <w:vAlign w:val="center"/>
          </w:tcPr>
          <w:p w14:paraId="7A255761">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7FE4DC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47F1563C">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935" w:type="dxa"/>
            <w:noWrap w:val="0"/>
            <w:vAlign w:val="center"/>
          </w:tcPr>
          <w:p w14:paraId="5427BA39">
            <w:pPr>
              <w:spacing w:beforeLines="0" w:afterLines="0" w:line="240" w:lineRule="auto"/>
              <w:jc w:val="center"/>
              <w:rPr>
                <w:rFonts w:hint="default" w:ascii="Times New Roman" w:hAnsi="Times New Roman" w:eastAsia="宋体" w:cs="Times New Roman"/>
                <w:b w:val="0"/>
                <w:bCs w:val="0"/>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BOD</w:t>
            </w:r>
            <w:r>
              <w:rPr>
                <w:rFonts w:hint="default" w:ascii="Times New Roman" w:hAnsi="Times New Roman" w:cs="Times New Roman"/>
                <w:b w:val="0"/>
                <w:bCs w:val="0"/>
                <w:color w:val="000000" w:themeColor="text1"/>
                <w:sz w:val="21"/>
                <w:szCs w:val="21"/>
                <w:highlight w:val="none"/>
                <w:vertAlign w:val="subscript"/>
                <w:lang w:val="en-US" w:eastAsia="zh-CN"/>
                <w14:textFill>
                  <w14:solidFill>
                    <w14:schemeClr w14:val="tx1"/>
                  </w14:solidFill>
                </w14:textFill>
              </w:rPr>
              <w:t>5</w:t>
            </w:r>
          </w:p>
        </w:tc>
        <w:tc>
          <w:tcPr>
            <w:tcW w:w="1592" w:type="dxa"/>
            <w:noWrap w:val="0"/>
            <w:vAlign w:val="center"/>
          </w:tcPr>
          <w:p w14:paraId="7A13CB35">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37DB3450">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2E416BEA">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4BF95D4F">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eastAsia" w:cs="Times New Roman"/>
                <w:snapToGrid w:val="0"/>
                <w:color w:val="000000" w:themeColor="text1"/>
                <w:kern w:val="21"/>
                <w:sz w:val="21"/>
                <w:szCs w:val="21"/>
                <w:highlight w:val="none"/>
                <w:lang w:val="en-US" w:eastAsia="zh-CN" w:bidi="ar-SA"/>
                <w14:textFill>
                  <w14:solidFill>
                    <w14:schemeClr w14:val="tx1"/>
                  </w14:solidFill>
                </w14:textFill>
              </w:rPr>
              <w:t>0.112</w:t>
            </w:r>
            <w:r>
              <w:rPr>
                <w:rFonts w:hint="default" w:ascii="Times New Roman" w:hAnsi="Times New Roman" w:eastAsia="宋体" w:cs="Times New Roman"/>
                <w:b w:val="0"/>
                <w:bCs w:val="0"/>
                <w:color w:val="000000" w:themeColor="text1"/>
                <w:kern w:val="0"/>
                <w:sz w:val="21"/>
                <w:szCs w:val="21"/>
                <w:highlight w:val="none"/>
                <w14:textFill>
                  <w14:solidFill>
                    <w14:schemeClr w14:val="tx1"/>
                  </w14:solidFill>
                </w14:textFill>
              </w:rPr>
              <w:t>t/a</w:t>
            </w:r>
          </w:p>
        </w:tc>
        <w:tc>
          <w:tcPr>
            <w:tcW w:w="1615" w:type="dxa"/>
            <w:noWrap w:val="0"/>
            <w:vAlign w:val="center"/>
          </w:tcPr>
          <w:p w14:paraId="3784232E">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51766D8A">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eastAsia" w:cs="Times New Roman"/>
                <w:snapToGrid w:val="0"/>
                <w:color w:val="000000" w:themeColor="text1"/>
                <w:kern w:val="21"/>
                <w:sz w:val="21"/>
                <w:szCs w:val="21"/>
                <w:highlight w:val="none"/>
                <w:lang w:val="en-US" w:eastAsia="zh-CN" w:bidi="ar-SA"/>
                <w14:textFill>
                  <w14:solidFill>
                    <w14:schemeClr w14:val="tx1"/>
                  </w14:solidFill>
                </w14:textFill>
              </w:rPr>
              <w:t>0.112</w:t>
            </w:r>
            <w:r>
              <w:rPr>
                <w:rFonts w:hint="default" w:ascii="Times New Roman" w:hAnsi="Times New Roman" w:eastAsia="宋体" w:cs="Times New Roman"/>
                <w:b w:val="0"/>
                <w:bCs w:val="0"/>
                <w:color w:val="000000" w:themeColor="text1"/>
                <w:kern w:val="0"/>
                <w:sz w:val="21"/>
                <w:szCs w:val="21"/>
                <w:highlight w:val="none"/>
                <w14:textFill>
                  <w14:solidFill>
                    <w14:schemeClr w14:val="tx1"/>
                  </w14:solidFill>
                </w14:textFill>
              </w:rPr>
              <w:t>t/a</w:t>
            </w:r>
          </w:p>
        </w:tc>
        <w:tc>
          <w:tcPr>
            <w:tcW w:w="1080" w:type="dxa"/>
            <w:noWrap w:val="0"/>
            <w:vAlign w:val="center"/>
          </w:tcPr>
          <w:p w14:paraId="45F3FC03">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484C98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66B62FF3">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935" w:type="dxa"/>
            <w:noWrap w:val="0"/>
            <w:vAlign w:val="center"/>
          </w:tcPr>
          <w:p w14:paraId="0CFA3121">
            <w:pPr>
              <w:spacing w:beforeLines="0" w:afterLines="0" w:line="240" w:lineRule="auto"/>
              <w:jc w:val="center"/>
              <w:rPr>
                <w:rFonts w:hint="default" w:ascii="Times New Roman" w:hAnsi="Times New Roman" w:eastAsia="宋体" w:cs="Times New Roman"/>
                <w:b w:val="0"/>
                <w:bCs w:val="0"/>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SS</w:t>
            </w:r>
          </w:p>
        </w:tc>
        <w:tc>
          <w:tcPr>
            <w:tcW w:w="1592" w:type="dxa"/>
            <w:noWrap w:val="0"/>
            <w:vAlign w:val="center"/>
          </w:tcPr>
          <w:p w14:paraId="3EE8C0DE">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4C839869">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0B63AFD0">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0F5A4B4F">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eastAsia" w:cs="Times New Roman"/>
                <w:snapToGrid w:val="0"/>
                <w:color w:val="000000" w:themeColor="text1"/>
                <w:kern w:val="21"/>
                <w:sz w:val="21"/>
                <w:szCs w:val="21"/>
                <w:highlight w:val="none"/>
                <w:lang w:val="en-US" w:eastAsia="zh-CN" w:bidi="ar-SA"/>
                <w14:textFill>
                  <w14:solidFill>
                    <w14:schemeClr w14:val="tx1"/>
                  </w14:solidFill>
                </w14:textFill>
              </w:rPr>
              <w:t>0.12</w:t>
            </w:r>
            <w:r>
              <w:rPr>
                <w:rFonts w:hint="default" w:ascii="Times New Roman" w:hAnsi="Times New Roman" w:eastAsia="宋体" w:cs="Times New Roman"/>
                <w:b w:val="0"/>
                <w:bCs w:val="0"/>
                <w:color w:val="000000" w:themeColor="text1"/>
                <w:kern w:val="0"/>
                <w:sz w:val="21"/>
                <w:szCs w:val="21"/>
                <w:highlight w:val="none"/>
                <w14:textFill>
                  <w14:solidFill>
                    <w14:schemeClr w14:val="tx1"/>
                  </w14:solidFill>
                </w14:textFill>
              </w:rPr>
              <w:t>t/a</w:t>
            </w:r>
          </w:p>
        </w:tc>
        <w:tc>
          <w:tcPr>
            <w:tcW w:w="1615" w:type="dxa"/>
            <w:noWrap w:val="0"/>
            <w:vAlign w:val="center"/>
          </w:tcPr>
          <w:p w14:paraId="0F93BB8E">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7D127B08">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eastAsia" w:cs="Times New Roman"/>
                <w:snapToGrid w:val="0"/>
                <w:color w:val="000000" w:themeColor="text1"/>
                <w:kern w:val="21"/>
                <w:sz w:val="21"/>
                <w:szCs w:val="21"/>
                <w:highlight w:val="none"/>
                <w:lang w:val="en-US" w:eastAsia="zh-CN" w:bidi="ar-SA"/>
                <w14:textFill>
                  <w14:solidFill>
                    <w14:schemeClr w14:val="tx1"/>
                  </w14:solidFill>
                </w14:textFill>
              </w:rPr>
              <w:t>0.12</w:t>
            </w:r>
            <w:r>
              <w:rPr>
                <w:rFonts w:hint="default" w:ascii="Times New Roman" w:hAnsi="Times New Roman" w:eastAsia="宋体" w:cs="Times New Roman"/>
                <w:b w:val="0"/>
                <w:bCs w:val="0"/>
                <w:color w:val="000000" w:themeColor="text1"/>
                <w:kern w:val="0"/>
                <w:sz w:val="21"/>
                <w:szCs w:val="21"/>
                <w:highlight w:val="none"/>
                <w14:textFill>
                  <w14:solidFill>
                    <w14:schemeClr w14:val="tx1"/>
                  </w14:solidFill>
                </w14:textFill>
              </w:rPr>
              <w:t>t/a</w:t>
            </w:r>
          </w:p>
        </w:tc>
        <w:tc>
          <w:tcPr>
            <w:tcW w:w="1080" w:type="dxa"/>
            <w:noWrap w:val="0"/>
            <w:vAlign w:val="center"/>
          </w:tcPr>
          <w:p w14:paraId="46DB0E9A">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31AE01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6AA35B61">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935" w:type="dxa"/>
            <w:noWrap w:val="0"/>
            <w:vAlign w:val="center"/>
          </w:tcPr>
          <w:p w14:paraId="1F5F7538">
            <w:pPr>
              <w:spacing w:beforeLines="0" w:afterLines="0" w:line="240" w:lineRule="auto"/>
              <w:jc w:val="center"/>
              <w:rPr>
                <w:rFonts w:hint="default" w:ascii="Times New Roman" w:hAnsi="Times New Roman" w:eastAsia="宋体" w:cs="Times New Roman"/>
                <w:b w:val="0"/>
                <w:bCs w:val="0"/>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cs="Times New Roman"/>
                <w:b w:val="0"/>
                <w:bCs w:val="0"/>
                <w:color w:val="000000" w:themeColor="text1"/>
                <w:sz w:val="21"/>
                <w:szCs w:val="21"/>
                <w:highlight w:val="none"/>
                <w14:textFill>
                  <w14:solidFill>
                    <w14:schemeClr w14:val="tx1"/>
                  </w14:solidFill>
                </w14:textFill>
              </w:rPr>
              <w:t>氨氮</w:t>
            </w:r>
          </w:p>
        </w:tc>
        <w:tc>
          <w:tcPr>
            <w:tcW w:w="1592" w:type="dxa"/>
            <w:noWrap w:val="0"/>
            <w:vAlign w:val="center"/>
          </w:tcPr>
          <w:p w14:paraId="75B6C86C">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07EF7ACD">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0111800F">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68EC8901">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eastAsia" w:cs="Times New Roman"/>
                <w:snapToGrid w:val="0"/>
                <w:color w:val="000000" w:themeColor="text1"/>
                <w:kern w:val="21"/>
                <w:sz w:val="21"/>
                <w:szCs w:val="21"/>
                <w:highlight w:val="none"/>
                <w:lang w:val="en-US" w:eastAsia="zh-CN" w:bidi="ar-SA"/>
                <w14:textFill>
                  <w14:solidFill>
                    <w14:schemeClr w14:val="tx1"/>
                  </w14:solidFill>
                </w14:textFill>
              </w:rPr>
              <w:t>0.016</w:t>
            </w:r>
            <w:r>
              <w:rPr>
                <w:rFonts w:hint="default" w:ascii="Times New Roman" w:hAnsi="Times New Roman" w:eastAsia="宋体" w:cs="Times New Roman"/>
                <w:b w:val="0"/>
                <w:bCs w:val="0"/>
                <w:color w:val="000000" w:themeColor="text1"/>
                <w:kern w:val="0"/>
                <w:sz w:val="21"/>
                <w:szCs w:val="21"/>
                <w:highlight w:val="none"/>
                <w14:textFill>
                  <w14:solidFill>
                    <w14:schemeClr w14:val="tx1"/>
                  </w14:solidFill>
                </w14:textFill>
              </w:rPr>
              <w:t>t/a</w:t>
            </w:r>
          </w:p>
        </w:tc>
        <w:tc>
          <w:tcPr>
            <w:tcW w:w="1615" w:type="dxa"/>
            <w:noWrap w:val="0"/>
            <w:vAlign w:val="center"/>
          </w:tcPr>
          <w:p w14:paraId="4AAAC6C7">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406C344E">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eastAsia" w:cs="Times New Roman"/>
                <w:snapToGrid w:val="0"/>
                <w:color w:val="000000" w:themeColor="text1"/>
                <w:kern w:val="21"/>
                <w:sz w:val="21"/>
                <w:szCs w:val="21"/>
                <w:highlight w:val="none"/>
                <w:lang w:val="en-US" w:eastAsia="zh-CN" w:bidi="ar-SA"/>
                <w14:textFill>
                  <w14:solidFill>
                    <w14:schemeClr w14:val="tx1"/>
                  </w14:solidFill>
                </w14:textFill>
              </w:rPr>
              <w:t>0.016</w:t>
            </w:r>
            <w:r>
              <w:rPr>
                <w:rFonts w:hint="default" w:ascii="Times New Roman" w:hAnsi="Times New Roman" w:eastAsia="宋体" w:cs="Times New Roman"/>
                <w:b w:val="0"/>
                <w:bCs w:val="0"/>
                <w:color w:val="000000" w:themeColor="text1"/>
                <w:kern w:val="0"/>
                <w:sz w:val="21"/>
                <w:szCs w:val="21"/>
                <w:highlight w:val="none"/>
                <w14:textFill>
                  <w14:solidFill>
                    <w14:schemeClr w14:val="tx1"/>
                  </w14:solidFill>
                </w14:textFill>
              </w:rPr>
              <w:t>t/a</w:t>
            </w:r>
          </w:p>
        </w:tc>
        <w:tc>
          <w:tcPr>
            <w:tcW w:w="1080" w:type="dxa"/>
            <w:noWrap w:val="0"/>
            <w:vAlign w:val="center"/>
          </w:tcPr>
          <w:p w14:paraId="38DC113B">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4D9A54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noWrap w:val="0"/>
            <w:vAlign w:val="center"/>
          </w:tcPr>
          <w:p w14:paraId="7799FBE9">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生活垃圾</w:t>
            </w:r>
          </w:p>
        </w:tc>
        <w:tc>
          <w:tcPr>
            <w:tcW w:w="1935" w:type="dxa"/>
            <w:noWrap w:val="0"/>
            <w:vAlign w:val="center"/>
          </w:tcPr>
          <w:p w14:paraId="015C2716">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生活垃圾</w:t>
            </w:r>
          </w:p>
        </w:tc>
        <w:tc>
          <w:tcPr>
            <w:tcW w:w="1592" w:type="dxa"/>
            <w:noWrap w:val="0"/>
            <w:vAlign w:val="center"/>
          </w:tcPr>
          <w:p w14:paraId="716FF083">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2C5658B1">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0909C325">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4BD37D19">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t>3.3</w:t>
            </w:r>
            <w:r>
              <w:rPr>
                <w:rFonts w:hint="default" w:ascii="Times New Roman" w:hAnsi="Times New Roman" w:eastAsia="宋体" w:cs="Times New Roman"/>
                <w:b w:val="0"/>
                <w:bCs w:val="0"/>
                <w:color w:val="000000" w:themeColor="text1"/>
                <w:kern w:val="0"/>
                <w:sz w:val="21"/>
                <w:szCs w:val="21"/>
                <w:highlight w:val="none"/>
                <w14:textFill>
                  <w14:solidFill>
                    <w14:schemeClr w14:val="tx1"/>
                  </w14:solidFill>
                </w14:textFill>
              </w:rPr>
              <w:t>t/a</w:t>
            </w:r>
          </w:p>
        </w:tc>
        <w:tc>
          <w:tcPr>
            <w:tcW w:w="1615" w:type="dxa"/>
            <w:noWrap w:val="0"/>
            <w:vAlign w:val="center"/>
          </w:tcPr>
          <w:p w14:paraId="431F7AE5">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6D9D9612">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t>3.3</w:t>
            </w:r>
            <w:r>
              <w:rPr>
                <w:rFonts w:hint="default" w:ascii="Times New Roman" w:hAnsi="Times New Roman" w:eastAsia="宋体" w:cs="Times New Roman"/>
                <w:b w:val="0"/>
                <w:bCs w:val="0"/>
                <w:color w:val="000000" w:themeColor="text1"/>
                <w:kern w:val="0"/>
                <w:sz w:val="21"/>
                <w:szCs w:val="21"/>
                <w:highlight w:val="none"/>
                <w14:textFill>
                  <w14:solidFill>
                    <w14:schemeClr w14:val="tx1"/>
                  </w14:solidFill>
                </w14:textFill>
              </w:rPr>
              <w:t>t/a</w:t>
            </w:r>
          </w:p>
        </w:tc>
        <w:tc>
          <w:tcPr>
            <w:tcW w:w="1080" w:type="dxa"/>
            <w:noWrap w:val="0"/>
            <w:vAlign w:val="center"/>
          </w:tcPr>
          <w:p w14:paraId="6F1720DC">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65B6D4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restart"/>
            <w:noWrap w:val="0"/>
            <w:vAlign w:val="center"/>
          </w:tcPr>
          <w:p w14:paraId="1C6848B3">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eastAsia="zh-CN"/>
                <w14:textFill>
                  <w14:solidFill>
                    <w14:schemeClr w14:val="tx1"/>
                  </w14:solidFill>
                </w14:textFill>
              </w:rPr>
              <w:t>一般固废</w:t>
            </w:r>
          </w:p>
        </w:tc>
        <w:tc>
          <w:tcPr>
            <w:tcW w:w="1935" w:type="dxa"/>
            <w:noWrap w:val="0"/>
            <w:vAlign w:val="center"/>
          </w:tcPr>
          <w:p w14:paraId="0E61F72D">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废铁金属</w:t>
            </w:r>
          </w:p>
        </w:tc>
        <w:tc>
          <w:tcPr>
            <w:tcW w:w="1592" w:type="dxa"/>
            <w:noWrap w:val="0"/>
            <w:vAlign w:val="center"/>
          </w:tcPr>
          <w:p w14:paraId="1AF3268B">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194DB171">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739CA219">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31ABE5D7">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25.785t/a</w:t>
            </w:r>
          </w:p>
        </w:tc>
        <w:tc>
          <w:tcPr>
            <w:tcW w:w="1615" w:type="dxa"/>
            <w:noWrap w:val="0"/>
            <w:vAlign w:val="center"/>
          </w:tcPr>
          <w:p w14:paraId="45B1D44F">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547688BF">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25.785t/a</w:t>
            </w:r>
          </w:p>
        </w:tc>
        <w:tc>
          <w:tcPr>
            <w:tcW w:w="1080" w:type="dxa"/>
            <w:noWrap w:val="0"/>
            <w:vAlign w:val="center"/>
          </w:tcPr>
          <w:p w14:paraId="2DF8993F">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0DCC25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40B0B085">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eastAsia="zh-CN"/>
                <w14:textFill>
                  <w14:solidFill>
                    <w14:schemeClr w14:val="tx1"/>
                  </w14:solidFill>
                </w14:textFill>
              </w:rPr>
            </w:pPr>
          </w:p>
        </w:tc>
        <w:tc>
          <w:tcPr>
            <w:tcW w:w="1935" w:type="dxa"/>
            <w:noWrap w:val="0"/>
            <w:vAlign w:val="center"/>
          </w:tcPr>
          <w:p w14:paraId="64151356">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不可燃物</w:t>
            </w:r>
          </w:p>
        </w:tc>
        <w:tc>
          <w:tcPr>
            <w:tcW w:w="1592" w:type="dxa"/>
            <w:noWrap w:val="0"/>
            <w:vAlign w:val="center"/>
          </w:tcPr>
          <w:p w14:paraId="7ED42671">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7CF6B0FF">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6E225849">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6DCABF28">
            <w:pPr>
              <w:jc w:val="center"/>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1.27t/a</w:t>
            </w:r>
          </w:p>
        </w:tc>
        <w:tc>
          <w:tcPr>
            <w:tcW w:w="1615" w:type="dxa"/>
            <w:noWrap w:val="0"/>
            <w:vAlign w:val="center"/>
          </w:tcPr>
          <w:p w14:paraId="2DFACAB1">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65172840">
            <w:pPr>
              <w:jc w:val="center"/>
              <w:rPr>
                <w:rFonts w:hint="eastAsia"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1.27t/a</w:t>
            </w:r>
          </w:p>
        </w:tc>
        <w:tc>
          <w:tcPr>
            <w:tcW w:w="1080" w:type="dxa"/>
            <w:noWrap w:val="0"/>
            <w:vAlign w:val="center"/>
          </w:tcPr>
          <w:p w14:paraId="591CE480">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cs="Times New Roman"/>
                <w:snapToGrid w:val="0"/>
                <w:color w:val="000000" w:themeColor="text1"/>
                <w:kern w:val="21"/>
                <w:sz w:val="21"/>
                <w:szCs w:val="21"/>
                <w:highlight w:val="none"/>
                <w:lang w:val="en-US" w:eastAsia="zh-CN"/>
                <w14:textFill>
                  <w14:solidFill>
                    <w14:schemeClr w14:val="tx1"/>
                  </w14:solidFill>
                </w14:textFill>
              </w:rPr>
              <w:t>/</w:t>
            </w:r>
          </w:p>
        </w:tc>
      </w:tr>
      <w:tr w14:paraId="38F8B0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784BE31B">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935" w:type="dxa"/>
            <w:noWrap w:val="0"/>
            <w:vAlign w:val="center"/>
          </w:tcPr>
          <w:p w14:paraId="34E7ED0A">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除尘灰</w:t>
            </w:r>
          </w:p>
        </w:tc>
        <w:tc>
          <w:tcPr>
            <w:tcW w:w="1592" w:type="dxa"/>
            <w:noWrap w:val="0"/>
            <w:vAlign w:val="center"/>
          </w:tcPr>
          <w:p w14:paraId="34F15627">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18F38207">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775E988A">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3ADDAB6C">
            <w:pPr>
              <w:adjustRightInd w:val="0"/>
              <w:snapToGri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28.412</w:t>
            </w:r>
            <w:r>
              <w:rPr>
                <w:rFonts w:hint="eastAsia" w:cs="Times New Roman"/>
                <w:color w:val="000000" w:themeColor="text1"/>
                <w:kern w:val="0"/>
                <w:sz w:val="21"/>
                <w:szCs w:val="21"/>
                <w:highlight w:val="none"/>
                <w:lang w:val="en-US" w:eastAsia="zh-CN"/>
                <w14:textFill>
                  <w14:solidFill>
                    <w14:schemeClr w14:val="tx1"/>
                  </w14:solidFill>
                </w14:textFill>
              </w:rPr>
              <w:t>t/a</w:t>
            </w:r>
          </w:p>
        </w:tc>
        <w:tc>
          <w:tcPr>
            <w:tcW w:w="1615" w:type="dxa"/>
            <w:noWrap w:val="0"/>
            <w:vAlign w:val="center"/>
          </w:tcPr>
          <w:p w14:paraId="216FCD86">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68AFD4C1">
            <w:pPr>
              <w:adjustRightInd w:val="0"/>
              <w:snapToGri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28.412</w:t>
            </w:r>
            <w:r>
              <w:rPr>
                <w:rFonts w:hint="eastAsia" w:cs="Times New Roman"/>
                <w:color w:val="000000" w:themeColor="text1"/>
                <w:kern w:val="0"/>
                <w:sz w:val="21"/>
                <w:szCs w:val="21"/>
                <w:highlight w:val="none"/>
                <w:lang w:val="en-US" w:eastAsia="zh-CN"/>
                <w14:textFill>
                  <w14:solidFill>
                    <w14:schemeClr w14:val="tx1"/>
                  </w14:solidFill>
                </w14:textFill>
              </w:rPr>
              <w:t>t/a</w:t>
            </w:r>
          </w:p>
        </w:tc>
        <w:tc>
          <w:tcPr>
            <w:tcW w:w="1080" w:type="dxa"/>
            <w:noWrap w:val="0"/>
            <w:vAlign w:val="center"/>
          </w:tcPr>
          <w:p w14:paraId="55EF711F">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2C3A87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3BF67716">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935" w:type="dxa"/>
            <w:noWrap w:val="0"/>
            <w:vAlign w:val="center"/>
          </w:tcPr>
          <w:p w14:paraId="0CABF064">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车间沉降粉尘</w:t>
            </w:r>
          </w:p>
        </w:tc>
        <w:tc>
          <w:tcPr>
            <w:tcW w:w="1592" w:type="dxa"/>
            <w:noWrap w:val="0"/>
            <w:vAlign w:val="center"/>
          </w:tcPr>
          <w:p w14:paraId="1F58AD6A">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5ABD8019">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5A219D63">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07A804E9">
            <w:pPr>
              <w:adjustRightInd w:val="0"/>
              <w:snapToGri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25.823</w:t>
            </w:r>
            <w:r>
              <w:rPr>
                <w:rFonts w:hint="eastAsia" w:cs="Times New Roman"/>
                <w:color w:val="000000" w:themeColor="text1"/>
                <w:kern w:val="0"/>
                <w:sz w:val="21"/>
                <w:szCs w:val="21"/>
                <w:highlight w:val="none"/>
                <w:lang w:val="en-US" w:eastAsia="zh-CN"/>
                <w14:textFill>
                  <w14:solidFill>
                    <w14:schemeClr w14:val="tx1"/>
                  </w14:solidFill>
                </w14:textFill>
              </w:rPr>
              <w:t>t/a</w:t>
            </w:r>
          </w:p>
        </w:tc>
        <w:tc>
          <w:tcPr>
            <w:tcW w:w="1615" w:type="dxa"/>
            <w:noWrap w:val="0"/>
            <w:vAlign w:val="center"/>
          </w:tcPr>
          <w:p w14:paraId="71E149CF">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64647EB1">
            <w:pPr>
              <w:adjustRightInd w:val="0"/>
              <w:snapToGri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b w:val="0"/>
                <w:bCs w:val="0"/>
                <w:color w:val="000000" w:themeColor="text1"/>
                <w:szCs w:val="21"/>
                <w:highlight w:val="none"/>
                <w:lang w:val="en-US" w:eastAsia="zh-CN"/>
                <w14:textFill>
                  <w14:solidFill>
                    <w14:schemeClr w14:val="tx1"/>
                  </w14:solidFill>
                </w14:textFill>
              </w:rPr>
              <w:t>25.823</w:t>
            </w:r>
            <w:r>
              <w:rPr>
                <w:rFonts w:hint="eastAsia" w:cs="Times New Roman"/>
                <w:color w:val="000000" w:themeColor="text1"/>
                <w:kern w:val="0"/>
                <w:sz w:val="21"/>
                <w:szCs w:val="21"/>
                <w:highlight w:val="none"/>
                <w:lang w:val="en-US" w:eastAsia="zh-CN"/>
                <w14:textFill>
                  <w14:solidFill>
                    <w14:schemeClr w14:val="tx1"/>
                  </w14:solidFill>
                </w14:textFill>
              </w:rPr>
              <w:t>t/a</w:t>
            </w:r>
          </w:p>
        </w:tc>
        <w:tc>
          <w:tcPr>
            <w:tcW w:w="1080" w:type="dxa"/>
            <w:noWrap w:val="0"/>
            <w:vAlign w:val="center"/>
          </w:tcPr>
          <w:p w14:paraId="23FFB800">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29FB85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122733C6">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935" w:type="dxa"/>
            <w:noWrap w:val="0"/>
            <w:vAlign w:val="center"/>
          </w:tcPr>
          <w:p w14:paraId="1A48527A">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废旧布袋</w:t>
            </w:r>
          </w:p>
        </w:tc>
        <w:tc>
          <w:tcPr>
            <w:tcW w:w="1592" w:type="dxa"/>
            <w:noWrap w:val="0"/>
            <w:vAlign w:val="center"/>
          </w:tcPr>
          <w:p w14:paraId="76B5854F">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0248C8B0">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060A1C5A">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5FB0BB33">
            <w:pPr>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0.065t/a</w:t>
            </w:r>
          </w:p>
        </w:tc>
        <w:tc>
          <w:tcPr>
            <w:tcW w:w="1615" w:type="dxa"/>
            <w:noWrap w:val="0"/>
            <w:vAlign w:val="center"/>
          </w:tcPr>
          <w:p w14:paraId="332B30C8">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553F43FB">
            <w:pPr>
              <w:jc w:val="cente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0.065t/a</w:t>
            </w:r>
          </w:p>
        </w:tc>
        <w:tc>
          <w:tcPr>
            <w:tcW w:w="1080" w:type="dxa"/>
            <w:noWrap w:val="0"/>
            <w:vAlign w:val="center"/>
          </w:tcPr>
          <w:p w14:paraId="408B4C37">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66A7AA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restart"/>
            <w:noWrap w:val="0"/>
            <w:vAlign w:val="center"/>
          </w:tcPr>
          <w:p w14:paraId="3CCB5642">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危险废物</w:t>
            </w:r>
          </w:p>
        </w:tc>
        <w:tc>
          <w:tcPr>
            <w:tcW w:w="1935" w:type="dxa"/>
            <w:noWrap w:val="0"/>
            <w:vAlign w:val="center"/>
          </w:tcPr>
          <w:p w14:paraId="42E0A7A8">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废</w:t>
            </w:r>
            <w:r>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t>润滑油</w:t>
            </w:r>
          </w:p>
        </w:tc>
        <w:tc>
          <w:tcPr>
            <w:tcW w:w="1592" w:type="dxa"/>
            <w:noWrap w:val="0"/>
            <w:vAlign w:val="center"/>
          </w:tcPr>
          <w:p w14:paraId="50A30AEF">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64F99344">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378E89F5">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7BB3AF1F">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0.</w:t>
            </w:r>
            <w:r>
              <w:rPr>
                <w:rFonts w:hint="eastAsia" w:cs="Times New Roman"/>
                <w:color w:val="000000" w:themeColor="text1"/>
                <w:kern w:val="0"/>
                <w:sz w:val="21"/>
                <w:szCs w:val="21"/>
                <w:highlight w:val="none"/>
                <w:lang w:val="en-US" w:eastAsia="zh-CN"/>
                <w14:textFill>
                  <w14:solidFill>
                    <w14:schemeClr w14:val="tx1"/>
                  </w14:solidFill>
                </w14:textFill>
              </w:rPr>
              <w:t>408</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t/a</w:t>
            </w:r>
          </w:p>
        </w:tc>
        <w:tc>
          <w:tcPr>
            <w:tcW w:w="1615" w:type="dxa"/>
            <w:noWrap w:val="0"/>
            <w:vAlign w:val="center"/>
          </w:tcPr>
          <w:p w14:paraId="7F40EECF">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710B9666">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0.</w:t>
            </w:r>
            <w:r>
              <w:rPr>
                <w:rFonts w:hint="eastAsia" w:cs="Times New Roman"/>
                <w:color w:val="000000" w:themeColor="text1"/>
                <w:kern w:val="0"/>
                <w:sz w:val="21"/>
                <w:szCs w:val="21"/>
                <w:highlight w:val="none"/>
                <w:lang w:val="en-US" w:eastAsia="zh-CN"/>
                <w14:textFill>
                  <w14:solidFill>
                    <w14:schemeClr w14:val="tx1"/>
                  </w14:solidFill>
                </w14:textFill>
              </w:rPr>
              <w:t>408</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t/a</w:t>
            </w:r>
          </w:p>
        </w:tc>
        <w:tc>
          <w:tcPr>
            <w:tcW w:w="1080" w:type="dxa"/>
            <w:noWrap w:val="0"/>
            <w:vAlign w:val="center"/>
          </w:tcPr>
          <w:p w14:paraId="5528F0AF">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57E732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68B6AC8B">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935" w:type="dxa"/>
            <w:noWrap w:val="0"/>
            <w:vAlign w:val="center"/>
          </w:tcPr>
          <w:p w14:paraId="4E539C1E">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废油桶</w:t>
            </w:r>
          </w:p>
        </w:tc>
        <w:tc>
          <w:tcPr>
            <w:tcW w:w="1592" w:type="dxa"/>
            <w:noWrap w:val="0"/>
            <w:vAlign w:val="center"/>
          </w:tcPr>
          <w:p w14:paraId="04E2EA3C">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016D2B8E">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1214DE92">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0A4ACB6A">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0.02</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t/a</w:t>
            </w:r>
          </w:p>
        </w:tc>
        <w:tc>
          <w:tcPr>
            <w:tcW w:w="1615" w:type="dxa"/>
            <w:noWrap w:val="0"/>
            <w:vAlign w:val="center"/>
          </w:tcPr>
          <w:p w14:paraId="53408C16">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3930A221">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0.02</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t/a</w:t>
            </w:r>
          </w:p>
        </w:tc>
        <w:tc>
          <w:tcPr>
            <w:tcW w:w="1080" w:type="dxa"/>
            <w:noWrap w:val="0"/>
            <w:vAlign w:val="center"/>
          </w:tcPr>
          <w:p w14:paraId="1248D39C">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r w14:paraId="10B9E5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 w:type="dxa"/>
            <w:vMerge w:val="continue"/>
            <w:noWrap w:val="0"/>
            <w:vAlign w:val="center"/>
          </w:tcPr>
          <w:p w14:paraId="238E4552">
            <w:pPr>
              <w:pStyle w:val="46"/>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14:textFill>
                  <w14:solidFill>
                    <w14:schemeClr w14:val="tx1"/>
                  </w14:solidFill>
                </w14:textFill>
              </w:rPr>
            </w:pPr>
          </w:p>
        </w:tc>
        <w:tc>
          <w:tcPr>
            <w:tcW w:w="1935" w:type="dxa"/>
            <w:noWrap w:val="0"/>
            <w:vAlign w:val="center"/>
          </w:tcPr>
          <w:p w14:paraId="1DBA3BAC">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含油抹布及手套</w:t>
            </w:r>
          </w:p>
        </w:tc>
        <w:tc>
          <w:tcPr>
            <w:tcW w:w="1592" w:type="dxa"/>
            <w:noWrap w:val="0"/>
            <w:vAlign w:val="center"/>
          </w:tcPr>
          <w:p w14:paraId="7E70EE92">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263" w:type="dxa"/>
            <w:noWrap w:val="0"/>
            <w:vAlign w:val="center"/>
          </w:tcPr>
          <w:p w14:paraId="3F4110C6">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570" w:type="dxa"/>
            <w:noWrap w:val="0"/>
            <w:vAlign w:val="center"/>
          </w:tcPr>
          <w:p w14:paraId="4CEB6EAC">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650" w:type="dxa"/>
            <w:noWrap w:val="0"/>
            <w:vAlign w:val="center"/>
          </w:tcPr>
          <w:p w14:paraId="3BA01BA9">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0.01</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t/a</w:t>
            </w:r>
          </w:p>
        </w:tc>
        <w:tc>
          <w:tcPr>
            <w:tcW w:w="1615" w:type="dxa"/>
            <w:noWrap w:val="0"/>
            <w:vAlign w:val="center"/>
          </w:tcPr>
          <w:p w14:paraId="496E5644">
            <w:pPr>
              <w:spacing w:beforeLines="0" w:afterLines="0" w:line="240" w:lineRule="auto"/>
              <w:jc w:val="cente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c>
          <w:tcPr>
            <w:tcW w:w="1817" w:type="dxa"/>
            <w:noWrap w:val="0"/>
            <w:vAlign w:val="center"/>
          </w:tcPr>
          <w:p w14:paraId="24660EA8">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0.01</w:t>
            </w:r>
            <w: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t>t/a</w:t>
            </w:r>
          </w:p>
        </w:tc>
        <w:tc>
          <w:tcPr>
            <w:tcW w:w="1080" w:type="dxa"/>
            <w:noWrap w:val="0"/>
            <w:vAlign w:val="center"/>
          </w:tcPr>
          <w:p w14:paraId="49548BD7">
            <w:pPr>
              <w:keepNext w:val="0"/>
              <w:keepLines w:val="0"/>
              <w:pageBreakBefore w:val="0"/>
              <w:widowControl w:val="0"/>
              <w:kinsoku w:val="0"/>
              <w:wordWrap/>
              <w:overflowPunct w:val="0"/>
              <w:topLinePunct w:val="0"/>
              <w:autoSpaceDE w:val="0"/>
              <w:autoSpaceDN w:val="0"/>
              <w:bidi w:val="0"/>
              <w:adjustRightInd/>
              <w:snapToGrid/>
              <w:jc w:val="center"/>
              <w:textAlignment w:val="auto"/>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14:textFill>
                  <w14:solidFill>
                    <w14:schemeClr w14:val="tx1"/>
                  </w14:solidFill>
                </w14:textFill>
              </w:rPr>
              <w:t>/</w:t>
            </w:r>
          </w:p>
        </w:tc>
      </w:tr>
    </w:tbl>
    <w:p w14:paraId="15D5CB2B">
      <w:pPr>
        <w:pStyle w:val="46"/>
        <w:spacing w:before="192" w:beforeLines="80" w:after="24" w:line="240" w:lineRule="auto"/>
        <w:jc w:val="left"/>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pPr>
      <w:r>
        <w:rPr>
          <w:rFonts w:hint="default" w:ascii="Times New Roman" w:hAnsi="Times New Roman" w:cs="Times New Roman"/>
          <w:snapToGrid w:val="0"/>
          <w:color w:val="000000" w:themeColor="text1"/>
          <w:kern w:val="21"/>
          <w:szCs w:val="21"/>
          <w:highlight w:val="none"/>
          <w14:textFill>
            <w14:solidFill>
              <w14:schemeClr w14:val="tx1"/>
            </w14:solidFill>
          </w14:textFill>
        </w:rPr>
        <w:t>注：</w:t>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instrText xml:space="preserve"> = 6 \* GB3 \* MERGEFORMAT </w:instrText>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fldChar w:fldCharType="separate"/>
      </w:r>
      <w:r>
        <w:rPr>
          <w:rFonts w:hint="default" w:ascii="Times New Roman" w:hAnsi="Times New Roman" w:cs="Times New Roman"/>
          <w:color w:val="000000" w:themeColor="text1"/>
          <w:szCs w:val="21"/>
          <w:highlight w:val="none"/>
          <w14:textFill>
            <w14:solidFill>
              <w14:schemeClr w14:val="tx1"/>
            </w14:solidFill>
          </w14:textFill>
        </w:rPr>
        <w:t>⑥</w:t>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fldChar w:fldCharType="end"/>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t>=</w: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instrText xml:space="preserve"> = 1 \* GB3 \* MERGEFORMAT </w:instrTex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cs="Times New Roman"/>
          <w:color w:val="000000" w:themeColor="text1"/>
          <w:szCs w:val="21"/>
          <w:highlight w:val="none"/>
          <w14:textFill>
            <w14:solidFill>
              <w14:schemeClr w14:val="tx1"/>
            </w14:solidFill>
          </w14:textFill>
        </w:rPr>
        <w:t>①</w: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t>+</w: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instrText xml:space="preserve"> = 3 \* GB3 \* MERGEFORMAT </w:instrTex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cs="Times New Roman"/>
          <w:color w:val="000000" w:themeColor="text1"/>
          <w:szCs w:val="21"/>
          <w:highlight w:val="none"/>
          <w14:textFill>
            <w14:solidFill>
              <w14:schemeClr w14:val="tx1"/>
            </w14:solidFill>
          </w14:textFill>
        </w:rPr>
        <w:t>③</w: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t>+</w: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instrText xml:space="preserve"> = 4 \* GB3 \* MERGEFORMAT </w:instrTex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cs="Times New Roman"/>
          <w:color w:val="000000" w:themeColor="text1"/>
          <w:szCs w:val="21"/>
          <w:highlight w:val="none"/>
          <w14:textFill>
            <w14:solidFill>
              <w14:schemeClr w14:val="tx1"/>
            </w14:solidFill>
          </w14:textFill>
        </w:rPr>
        <w:t>④</w: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t>-</w:t>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instrText xml:space="preserve"> = 5 \* GB3 \* MERGEFORMAT </w:instrText>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fldChar w:fldCharType="separate"/>
      </w:r>
      <w:r>
        <w:rPr>
          <w:rFonts w:hint="default" w:ascii="Times New Roman" w:hAnsi="Times New Roman" w:cs="Times New Roman"/>
          <w:color w:val="000000" w:themeColor="text1"/>
          <w:szCs w:val="21"/>
          <w:highlight w:val="none"/>
          <w14:textFill>
            <w14:solidFill>
              <w14:schemeClr w14:val="tx1"/>
            </w14:solidFill>
          </w14:textFill>
        </w:rPr>
        <w:t>⑤</w:t>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fldChar w:fldCharType="end"/>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t>；</w: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instrText xml:space="preserve"> = 7 \* GB3 \* MERGEFORMAT </w:instrTex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cs="Times New Roman"/>
          <w:color w:val="000000" w:themeColor="text1"/>
          <w:szCs w:val="21"/>
          <w:highlight w:val="none"/>
          <w14:textFill>
            <w14:solidFill>
              <w14:schemeClr w14:val="tx1"/>
            </w14:solidFill>
          </w14:textFill>
        </w:rPr>
        <w:t>⑦</w: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t>=</w:t>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instrText xml:space="preserve"> = 6 \* GB3 \* MERGEFORMAT </w:instrText>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fldChar w:fldCharType="separate"/>
      </w:r>
      <w:r>
        <w:rPr>
          <w:rFonts w:hint="default" w:ascii="Times New Roman" w:hAnsi="Times New Roman" w:cs="Times New Roman"/>
          <w:color w:val="000000" w:themeColor="text1"/>
          <w:szCs w:val="21"/>
          <w:highlight w:val="none"/>
          <w14:textFill>
            <w14:solidFill>
              <w14:schemeClr w14:val="tx1"/>
            </w14:solidFill>
          </w14:textFill>
        </w:rPr>
        <w:t>⑥</w:t>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fldChar w:fldCharType="end"/>
      </w:r>
      <w:r>
        <w:rPr>
          <w:rFonts w:hint="default" w:ascii="Times New Roman" w:hAnsi="Times New Roman" w:cs="Times New Roman"/>
          <w:snapToGrid w:val="0"/>
          <w:color w:val="000000" w:themeColor="text1"/>
          <w:spacing w:val="-16"/>
          <w:kern w:val="21"/>
          <w:szCs w:val="21"/>
          <w:highlight w:val="none"/>
          <w14:textFill>
            <w14:solidFill>
              <w14:schemeClr w14:val="tx1"/>
            </w14:solidFill>
          </w14:textFill>
        </w:rPr>
        <w:t>-</w: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instrText xml:space="preserve"> = 1 \* GB3 \* MERGEFORMAT </w:instrTex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cs="Times New Roman"/>
          <w:color w:val="000000" w:themeColor="text1"/>
          <w:szCs w:val="21"/>
          <w:highlight w:val="none"/>
          <w14:textFill>
            <w14:solidFill>
              <w14:schemeClr w14:val="tx1"/>
            </w14:solidFill>
          </w14:textFill>
        </w:rPr>
        <w:t>①</w:t>
      </w:r>
      <w:r>
        <w:rPr>
          <w:rFonts w:hint="default" w:ascii="Times New Roman" w:hAnsi="Times New Roman" w:cs="Times New Roman"/>
          <w:snapToGrid w:val="0"/>
          <w:color w:val="000000" w:themeColor="text1"/>
          <w:spacing w:val="-6"/>
          <w:kern w:val="21"/>
          <w:szCs w:val="21"/>
          <w:highlight w:val="none"/>
          <w14:textFill>
            <w14:solidFill>
              <w14:schemeClr w14:val="tx1"/>
            </w14:solidFill>
          </w14:textFill>
        </w:rPr>
        <w:fldChar w:fldCharType="end"/>
      </w:r>
    </w:p>
    <w:sectPr>
      <w:footerReference r:id="rId8" w:type="default"/>
      <w:pgSz w:w="16838" w:h="11906" w:orient="landscape"/>
      <w:pgMar w:top="1531" w:right="1701" w:bottom="1531" w:left="1701" w:header="851" w:footer="851"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auto"/>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TimesNewRomanPSMT">
    <w:altName w:val="Times New Roman"/>
    <w:panose1 w:val="00000000000000000000"/>
    <w:charset w:val="00"/>
    <w:family w:val="auto"/>
    <w:pitch w:val="default"/>
    <w:sig w:usb0="00000000" w:usb1="00000000" w:usb2="00000000"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Kingsoft UE">
    <w:altName w:val="XcGJSymbol"/>
    <w:panose1 w:val="00000000000000000000"/>
    <w:charset w:val="00"/>
    <w:family w:val="auto"/>
    <w:pitch w:val="default"/>
    <w:sig w:usb0="00000000" w:usb1="00000000" w:usb2="00000000" w:usb3="00000000" w:csb0="00000000" w:csb1="00000000"/>
  </w:font>
  <w:font w:name="XcGJSymbol">
    <w:panose1 w:val="020005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DED2B7">
    <w:pPr>
      <w:pStyle w:val="15"/>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02DB9">
    <w:pPr>
      <w:pStyle w:val="15"/>
      <w:framePr w:wrap="around" w:vAnchor="text" w:hAnchor="margin" w:xAlign="center" w:y="1"/>
      <w:rPr>
        <w:rStyle w:val="29"/>
      </w:rPr>
    </w:pPr>
    <w:r>
      <w:fldChar w:fldCharType="begin"/>
    </w:r>
    <w:r>
      <w:rPr>
        <w:rStyle w:val="29"/>
      </w:rPr>
      <w:instrText xml:space="preserve">PAGE  </w:instrText>
    </w:r>
    <w:r>
      <w:fldChar w:fldCharType="end"/>
    </w:r>
  </w:p>
  <w:p w14:paraId="4ED6863B">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2F8C0">
    <w:pPr>
      <w:pStyle w:val="15"/>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20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1AFABD">
                          <w:pPr>
                            <w:pStyle w:val="15"/>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205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jMTzyuIBAADCAwAADgAA&#10;AAAAAAABACAAAAAeAQAAZHJzL2Uyb0RvYy54bWxQSwUGAAAAAAYABgBZAQAAcgUAAAAA&#10;">
              <v:fill on="f" focussize="0,0"/>
              <v:stroke on="f"/>
              <v:imagedata o:title=""/>
              <o:lock v:ext="edit" aspectratio="f"/>
              <v:textbox inset="0mm,0mm,0mm,0mm" style="mso-fit-shape-to-text:t;">
                <w:txbxContent>
                  <w:p w14:paraId="5D1AFABD">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1F214">
    <w:pPr>
      <w:pStyle w:val="15"/>
      <w:ind w:right="360"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20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B1BCC09">
                          <w:pPr>
                            <w:pStyle w:val="15"/>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205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J5w9kuIBAADCAwAADgAA&#10;AAAAAAABACAAAAAeAQAAZHJzL2Uyb0RvYy54bWxQSwUGAAAAAAYABgBZAQAAcgUAAAAA&#10;">
              <v:fill on="f" focussize="0,0"/>
              <v:stroke on="f"/>
              <v:imagedata o:title=""/>
              <o:lock v:ext="edit" aspectratio="f"/>
              <v:textbox inset="0mm,0mm,0mm,0mm" style="mso-fit-shape-to-text:t;">
                <w:txbxContent>
                  <w:p w14:paraId="0B1BCC09">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8CA66">
    <w:pPr>
      <w:pStyle w:val="15"/>
      <w:ind w:right="360"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20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461A89">
                          <w:pPr>
                            <w:pStyle w:val="15"/>
                          </w:pPr>
                          <w:r>
                            <w:fldChar w:fldCharType="begin"/>
                          </w:r>
                          <w:r>
                            <w:instrText xml:space="preserve"> PAGE  \* MERGEFORMAT </w:instrText>
                          </w:r>
                          <w:r>
                            <w:fldChar w:fldCharType="separate"/>
                          </w:r>
                          <w:r>
                            <w:t>8</w:t>
                          </w:r>
                          <w:r>
                            <w:fldChar w:fldCharType="end"/>
                          </w:r>
                        </w:p>
                      </w:txbxContent>
                    </wps:txbx>
                    <wps:bodyPr vert="horz" wrap="none" lIns="0" tIns="0" rIns="0" bIns="0" anchor="t" anchorCtr="0" upright="0">
                      <a:spAutoFit/>
                    </wps:bodyPr>
                  </wps:wsp>
                </a:graphicData>
              </a:graphic>
            </wp:anchor>
          </w:drawing>
        </mc:Choice>
        <mc:Fallback>
          <w:pict>
            <v:shape id="文本框 205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3YJ2fOIBAADCAwAADgAA&#10;AAAAAAABACAAAAAeAQAAZHJzL2Uyb0RvYy54bWxQSwUGAAAAAAYABgBZAQAAcgUAAAAA&#10;">
              <v:fill on="f" focussize="0,0"/>
              <v:stroke on="f"/>
              <v:imagedata o:title=""/>
              <o:lock v:ext="edit" aspectratio="f"/>
              <v:textbox inset="0mm,0mm,0mm,0mm" style="mso-fit-shape-to-text:t;">
                <w:txbxContent>
                  <w:p w14:paraId="21461A89">
                    <w:pPr>
                      <w:pStyle w:val="15"/>
                    </w:pPr>
                    <w:r>
                      <w:fldChar w:fldCharType="begin"/>
                    </w:r>
                    <w:r>
                      <w:instrText xml:space="preserve"> PAGE  \* MERGEFORMAT </w:instrText>
                    </w:r>
                    <w:r>
                      <w:fldChar w:fldCharType="separate"/>
                    </w:r>
                    <w: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AB0EE">
    <w:pPr>
      <w:pStyle w:val="16"/>
      <w:pBdr>
        <w:bottom w:val="none" w:color="auto" w:sz="0" w:space="1"/>
      </w:pBdr>
      <w:tabs>
        <w:tab w:val="left" w:pos="3549"/>
      </w:tabs>
      <w:jc w:val="left"/>
      <w:rPr>
        <w:rFonts w:hint="eastAsia" w:eastAsia="宋体"/>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F3D79F"/>
    <w:multiLevelType w:val="singleLevel"/>
    <w:tmpl w:val="85F3D79F"/>
    <w:lvl w:ilvl="0" w:tentative="0">
      <w:start w:val="1"/>
      <w:numFmt w:val="decimal"/>
      <w:suff w:val="nothing"/>
      <w:lvlText w:val="%1、"/>
      <w:lvlJc w:val="left"/>
      <w:rPr>
        <w:rFonts w:hint="default"/>
        <w:b/>
        <w:bCs/>
        <w:sz w:val="24"/>
        <w:szCs w:val="24"/>
      </w:rPr>
    </w:lvl>
  </w:abstractNum>
  <w:abstractNum w:abstractNumId="1">
    <w:nsid w:val="8F781073"/>
    <w:multiLevelType w:val="singleLevel"/>
    <w:tmpl w:val="8F781073"/>
    <w:lvl w:ilvl="0" w:tentative="0">
      <w:start w:val="1"/>
      <w:numFmt w:val="decimal"/>
      <w:suff w:val="nothing"/>
      <w:lvlText w:val="%1、"/>
      <w:lvlJc w:val="left"/>
    </w:lvl>
  </w:abstractNum>
  <w:abstractNum w:abstractNumId="2">
    <w:nsid w:val="E856A5CA"/>
    <w:multiLevelType w:val="singleLevel"/>
    <w:tmpl w:val="E856A5CA"/>
    <w:lvl w:ilvl="0" w:tentative="0">
      <w:start w:val="1"/>
      <w:numFmt w:val="decimal"/>
      <w:suff w:val="nothing"/>
      <w:lvlText w:val="%1、"/>
      <w:lvlJc w:val="left"/>
    </w:lvl>
  </w:abstractNum>
  <w:abstractNum w:abstractNumId="3">
    <w:nsid w:val="ED6DC219"/>
    <w:multiLevelType w:val="singleLevel"/>
    <w:tmpl w:val="ED6DC219"/>
    <w:lvl w:ilvl="0" w:tentative="0">
      <w:start w:val="2"/>
      <w:numFmt w:val="decimal"/>
      <w:suff w:val="nothing"/>
      <w:lvlText w:val="（%1）"/>
      <w:lvlJc w:val="left"/>
    </w:lvl>
  </w:abstractNum>
  <w:abstractNum w:abstractNumId="4">
    <w:nsid w:val="079C2FEF"/>
    <w:multiLevelType w:val="singleLevel"/>
    <w:tmpl w:val="079C2FEF"/>
    <w:lvl w:ilvl="0" w:tentative="0">
      <w:start w:val="1"/>
      <w:numFmt w:val="decimal"/>
      <w:suff w:val="nothing"/>
      <w:lvlText w:val="%1、"/>
      <w:lvlJc w:val="left"/>
      <w:rPr>
        <w:rFonts w:hint="default"/>
        <w:b/>
        <w:bCs/>
      </w:rPr>
    </w:lvl>
  </w:abstractNum>
  <w:abstractNum w:abstractNumId="5">
    <w:nsid w:val="1BFCABBA"/>
    <w:multiLevelType w:val="singleLevel"/>
    <w:tmpl w:val="1BFCABBA"/>
    <w:lvl w:ilvl="0" w:tentative="0">
      <w:start w:val="8"/>
      <w:numFmt w:val="decimal"/>
      <w:suff w:val="nothing"/>
      <w:lvlText w:val="%1、"/>
      <w:lvlJc w:val="left"/>
    </w:lvl>
  </w:abstractNum>
  <w:abstractNum w:abstractNumId="6">
    <w:nsid w:val="23DD8F79"/>
    <w:multiLevelType w:val="multilevel"/>
    <w:tmpl w:val="23DD8F79"/>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7">
    <w:nsid w:val="4D8EBE30"/>
    <w:multiLevelType w:val="singleLevel"/>
    <w:tmpl w:val="4D8EBE30"/>
    <w:lvl w:ilvl="0" w:tentative="0">
      <w:start w:val="1"/>
      <w:numFmt w:val="bullet"/>
      <w:pStyle w:val="10"/>
      <w:lvlText w:val=""/>
      <w:lvlJc w:val="left"/>
      <w:pPr>
        <w:tabs>
          <w:tab w:val="left" w:pos="2040"/>
        </w:tabs>
        <w:ind w:left="2040" w:hanging="360"/>
      </w:pPr>
      <w:rPr>
        <w:rFonts w:hint="default" w:ascii="Wingdings" w:hAnsi="Wingdings"/>
      </w:rPr>
    </w:lvl>
  </w:abstractNum>
  <w:abstractNum w:abstractNumId="8">
    <w:nsid w:val="5F7F262A"/>
    <w:multiLevelType w:val="singleLevel"/>
    <w:tmpl w:val="5F7F262A"/>
    <w:lvl w:ilvl="0" w:tentative="0">
      <w:start w:val="1"/>
      <w:numFmt w:val="decimal"/>
      <w:suff w:val="nothing"/>
      <w:lvlText w:val="%1、"/>
      <w:lvlJc w:val="left"/>
      <w:rPr>
        <w:rFonts w:hint="default"/>
        <w:b/>
        <w:bCs/>
      </w:rPr>
    </w:lvl>
  </w:abstractNum>
  <w:abstractNum w:abstractNumId="9">
    <w:nsid w:val="699CE215"/>
    <w:multiLevelType w:val="singleLevel"/>
    <w:tmpl w:val="699CE215"/>
    <w:lvl w:ilvl="0" w:tentative="0">
      <w:start w:val="2"/>
      <w:numFmt w:val="chineseCounting"/>
      <w:suff w:val="nothing"/>
      <w:lvlText w:val="%1、"/>
      <w:lvlJc w:val="left"/>
      <w:rPr>
        <w:rFonts w:hint="eastAsia"/>
      </w:rPr>
    </w:lvl>
  </w:abstractNum>
  <w:num w:numId="1">
    <w:abstractNumId w:val="7"/>
  </w:num>
  <w:num w:numId="2">
    <w:abstractNumId w:val="3"/>
  </w:num>
  <w:num w:numId="3">
    <w:abstractNumId w:val="9"/>
  </w:num>
  <w:num w:numId="4">
    <w:abstractNumId w:val="0"/>
  </w:num>
  <w:num w:numId="5">
    <w:abstractNumId w:val="1"/>
  </w:num>
  <w:num w:numId="6">
    <w:abstractNumId w:val="2"/>
  </w:num>
  <w:num w:numId="7">
    <w:abstractNumId w:val="8"/>
  </w:num>
  <w:num w:numId="8">
    <w:abstractNumId w:val="4"/>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60B3"/>
    <w:rsid w:val="0004364B"/>
    <w:rsid w:val="00060C6A"/>
    <w:rsid w:val="00061B1F"/>
    <w:rsid w:val="000733C4"/>
    <w:rsid w:val="00074783"/>
    <w:rsid w:val="0008070B"/>
    <w:rsid w:val="000810AC"/>
    <w:rsid w:val="00081A02"/>
    <w:rsid w:val="00082231"/>
    <w:rsid w:val="00092D38"/>
    <w:rsid w:val="0009377B"/>
    <w:rsid w:val="000A20C9"/>
    <w:rsid w:val="000B058F"/>
    <w:rsid w:val="000B4467"/>
    <w:rsid w:val="000B44D3"/>
    <w:rsid w:val="000B4DB9"/>
    <w:rsid w:val="000C09AC"/>
    <w:rsid w:val="000C767F"/>
    <w:rsid w:val="000D5A44"/>
    <w:rsid w:val="000E3ED2"/>
    <w:rsid w:val="001315D9"/>
    <w:rsid w:val="00131F42"/>
    <w:rsid w:val="001357F1"/>
    <w:rsid w:val="00140FA8"/>
    <w:rsid w:val="00142FEB"/>
    <w:rsid w:val="00143A2D"/>
    <w:rsid w:val="00145A41"/>
    <w:rsid w:val="00150EAD"/>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6923"/>
    <w:rsid w:val="002B7B00"/>
    <w:rsid w:val="002B7C44"/>
    <w:rsid w:val="002C2B17"/>
    <w:rsid w:val="002C61F7"/>
    <w:rsid w:val="002D3DD0"/>
    <w:rsid w:val="002E1F3A"/>
    <w:rsid w:val="002E298A"/>
    <w:rsid w:val="002F5030"/>
    <w:rsid w:val="00301978"/>
    <w:rsid w:val="0030332C"/>
    <w:rsid w:val="003051C2"/>
    <w:rsid w:val="00312296"/>
    <w:rsid w:val="00314F0E"/>
    <w:rsid w:val="00321D8E"/>
    <w:rsid w:val="00325928"/>
    <w:rsid w:val="00332863"/>
    <w:rsid w:val="0033684D"/>
    <w:rsid w:val="00337B42"/>
    <w:rsid w:val="00341B42"/>
    <w:rsid w:val="0034348F"/>
    <w:rsid w:val="00351550"/>
    <w:rsid w:val="00356653"/>
    <w:rsid w:val="0035743F"/>
    <w:rsid w:val="00357BE2"/>
    <w:rsid w:val="0036170C"/>
    <w:rsid w:val="00366E0F"/>
    <w:rsid w:val="00381A72"/>
    <w:rsid w:val="00384676"/>
    <w:rsid w:val="00390857"/>
    <w:rsid w:val="003A4BF3"/>
    <w:rsid w:val="003A4DB8"/>
    <w:rsid w:val="003B420D"/>
    <w:rsid w:val="003C6C16"/>
    <w:rsid w:val="003D794D"/>
    <w:rsid w:val="003E3058"/>
    <w:rsid w:val="003E76A9"/>
    <w:rsid w:val="003F0809"/>
    <w:rsid w:val="003F6A8C"/>
    <w:rsid w:val="003F755C"/>
    <w:rsid w:val="00406F01"/>
    <w:rsid w:val="00416D50"/>
    <w:rsid w:val="00416FD5"/>
    <w:rsid w:val="00417772"/>
    <w:rsid w:val="00420E6A"/>
    <w:rsid w:val="00425A1B"/>
    <w:rsid w:val="00425A9E"/>
    <w:rsid w:val="00426D6B"/>
    <w:rsid w:val="00431E6C"/>
    <w:rsid w:val="00433CE7"/>
    <w:rsid w:val="004479E5"/>
    <w:rsid w:val="00452738"/>
    <w:rsid w:val="00456091"/>
    <w:rsid w:val="00466321"/>
    <w:rsid w:val="00484B9B"/>
    <w:rsid w:val="004855F6"/>
    <w:rsid w:val="0048661E"/>
    <w:rsid w:val="00494670"/>
    <w:rsid w:val="00494FFB"/>
    <w:rsid w:val="004A3823"/>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C4D2E"/>
    <w:rsid w:val="005C6ADC"/>
    <w:rsid w:val="005D36AB"/>
    <w:rsid w:val="006140F3"/>
    <w:rsid w:val="00617CC3"/>
    <w:rsid w:val="006377A6"/>
    <w:rsid w:val="00637A3D"/>
    <w:rsid w:val="006411EF"/>
    <w:rsid w:val="00645991"/>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7F10F9"/>
    <w:rsid w:val="00801393"/>
    <w:rsid w:val="00802F88"/>
    <w:rsid w:val="0081293E"/>
    <w:rsid w:val="00815465"/>
    <w:rsid w:val="00817E9A"/>
    <w:rsid w:val="008306BD"/>
    <w:rsid w:val="00831A80"/>
    <w:rsid w:val="00833743"/>
    <w:rsid w:val="008340A4"/>
    <w:rsid w:val="008647D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36276"/>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337D"/>
    <w:rsid w:val="009C7DD5"/>
    <w:rsid w:val="009E227D"/>
    <w:rsid w:val="009E5019"/>
    <w:rsid w:val="009E70F5"/>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C757B"/>
    <w:rsid w:val="00BD1B51"/>
    <w:rsid w:val="00BD4596"/>
    <w:rsid w:val="00BE1405"/>
    <w:rsid w:val="00BE312D"/>
    <w:rsid w:val="00BF1C20"/>
    <w:rsid w:val="00BF706B"/>
    <w:rsid w:val="00C10578"/>
    <w:rsid w:val="00C135BC"/>
    <w:rsid w:val="00C15C95"/>
    <w:rsid w:val="00C2596A"/>
    <w:rsid w:val="00C27537"/>
    <w:rsid w:val="00C328FE"/>
    <w:rsid w:val="00C33507"/>
    <w:rsid w:val="00C34DAD"/>
    <w:rsid w:val="00C36B5B"/>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0D69"/>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0770D"/>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5BA2"/>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044493"/>
    <w:rsid w:val="01141165"/>
    <w:rsid w:val="01217B24"/>
    <w:rsid w:val="01227D26"/>
    <w:rsid w:val="012313A8"/>
    <w:rsid w:val="012375FA"/>
    <w:rsid w:val="01290F7E"/>
    <w:rsid w:val="015D1E09"/>
    <w:rsid w:val="016F283F"/>
    <w:rsid w:val="018F4C90"/>
    <w:rsid w:val="01AF5332"/>
    <w:rsid w:val="01B3097E"/>
    <w:rsid w:val="01CC5EE4"/>
    <w:rsid w:val="01DC07BC"/>
    <w:rsid w:val="01E61D55"/>
    <w:rsid w:val="01E74ACC"/>
    <w:rsid w:val="01FA3D45"/>
    <w:rsid w:val="01FA76F4"/>
    <w:rsid w:val="01FD42EF"/>
    <w:rsid w:val="020236B3"/>
    <w:rsid w:val="0213766F"/>
    <w:rsid w:val="02201D8C"/>
    <w:rsid w:val="02217FDE"/>
    <w:rsid w:val="02290C40"/>
    <w:rsid w:val="022E44A8"/>
    <w:rsid w:val="023575E5"/>
    <w:rsid w:val="023C4E17"/>
    <w:rsid w:val="02405F8A"/>
    <w:rsid w:val="024E4B4B"/>
    <w:rsid w:val="02535CBD"/>
    <w:rsid w:val="02557C87"/>
    <w:rsid w:val="025A529E"/>
    <w:rsid w:val="025B2DC4"/>
    <w:rsid w:val="0261487E"/>
    <w:rsid w:val="026779BA"/>
    <w:rsid w:val="02697903"/>
    <w:rsid w:val="026E6F9B"/>
    <w:rsid w:val="02702D13"/>
    <w:rsid w:val="028916DF"/>
    <w:rsid w:val="028E3199"/>
    <w:rsid w:val="02987B74"/>
    <w:rsid w:val="02B726F0"/>
    <w:rsid w:val="02C60B85"/>
    <w:rsid w:val="02C941D1"/>
    <w:rsid w:val="02CB2AA3"/>
    <w:rsid w:val="02D212D8"/>
    <w:rsid w:val="02D768EE"/>
    <w:rsid w:val="02D84414"/>
    <w:rsid w:val="02D908B8"/>
    <w:rsid w:val="02E903CF"/>
    <w:rsid w:val="02F254D6"/>
    <w:rsid w:val="02F4124E"/>
    <w:rsid w:val="02F87B22"/>
    <w:rsid w:val="02F96569"/>
    <w:rsid w:val="02FC45A7"/>
    <w:rsid w:val="03084CFA"/>
    <w:rsid w:val="031B2C7F"/>
    <w:rsid w:val="03265180"/>
    <w:rsid w:val="032D29B2"/>
    <w:rsid w:val="03394EB3"/>
    <w:rsid w:val="034C72DC"/>
    <w:rsid w:val="03555A65"/>
    <w:rsid w:val="035E2B6B"/>
    <w:rsid w:val="0365214C"/>
    <w:rsid w:val="036A59B4"/>
    <w:rsid w:val="037E6D6A"/>
    <w:rsid w:val="038A1BB2"/>
    <w:rsid w:val="03AA5DB1"/>
    <w:rsid w:val="03C03826"/>
    <w:rsid w:val="03D251BA"/>
    <w:rsid w:val="03D96696"/>
    <w:rsid w:val="03E72B61"/>
    <w:rsid w:val="03E94B2B"/>
    <w:rsid w:val="03EA7B21"/>
    <w:rsid w:val="03EE5161"/>
    <w:rsid w:val="03EF5EB9"/>
    <w:rsid w:val="03F961EA"/>
    <w:rsid w:val="040C25C7"/>
    <w:rsid w:val="04247911"/>
    <w:rsid w:val="0437249E"/>
    <w:rsid w:val="043B4C5B"/>
    <w:rsid w:val="044A30F0"/>
    <w:rsid w:val="04531FA4"/>
    <w:rsid w:val="045521C0"/>
    <w:rsid w:val="047658A2"/>
    <w:rsid w:val="047D5273"/>
    <w:rsid w:val="04854128"/>
    <w:rsid w:val="048B3E34"/>
    <w:rsid w:val="048B7990"/>
    <w:rsid w:val="048C3708"/>
    <w:rsid w:val="0495080F"/>
    <w:rsid w:val="04A10F62"/>
    <w:rsid w:val="04BC223F"/>
    <w:rsid w:val="04BE5FB8"/>
    <w:rsid w:val="04C335CE"/>
    <w:rsid w:val="04C44C50"/>
    <w:rsid w:val="04D51156"/>
    <w:rsid w:val="04DF7CDC"/>
    <w:rsid w:val="04F27A0F"/>
    <w:rsid w:val="04F512AE"/>
    <w:rsid w:val="05177476"/>
    <w:rsid w:val="051C4A8C"/>
    <w:rsid w:val="0526590B"/>
    <w:rsid w:val="0530678A"/>
    <w:rsid w:val="053242B0"/>
    <w:rsid w:val="053C512E"/>
    <w:rsid w:val="053C6EDC"/>
    <w:rsid w:val="05485881"/>
    <w:rsid w:val="054D10EA"/>
    <w:rsid w:val="05597A8E"/>
    <w:rsid w:val="056401E1"/>
    <w:rsid w:val="058A5E9A"/>
    <w:rsid w:val="058D7738"/>
    <w:rsid w:val="05900FD6"/>
    <w:rsid w:val="05922FA0"/>
    <w:rsid w:val="05A01219"/>
    <w:rsid w:val="05A84572"/>
    <w:rsid w:val="05C70E9C"/>
    <w:rsid w:val="05E530D0"/>
    <w:rsid w:val="05F17CC7"/>
    <w:rsid w:val="05F23A3F"/>
    <w:rsid w:val="05F83EAE"/>
    <w:rsid w:val="05FE78D8"/>
    <w:rsid w:val="060F6EFE"/>
    <w:rsid w:val="06193AB2"/>
    <w:rsid w:val="061D0ABC"/>
    <w:rsid w:val="062067FE"/>
    <w:rsid w:val="06255BC2"/>
    <w:rsid w:val="06293905"/>
    <w:rsid w:val="062956B3"/>
    <w:rsid w:val="062A4F87"/>
    <w:rsid w:val="063B3638"/>
    <w:rsid w:val="063B7194"/>
    <w:rsid w:val="063E7D85"/>
    <w:rsid w:val="065A3ABE"/>
    <w:rsid w:val="065D35AE"/>
    <w:rsid w:val="06624721"/>
    <w:rsid w:val="06654211"/>
    <w:rsid w:val="069114AA"/>
    <w:rsid w:val="06936FD0"/>
    <w:rsid w:val="06A44D39"/>
    <w:rsid w:val="06AE5BB8"/>
    <w:rsid w:val="06B807E5"/>
    <w:rsid w:val="06BA455D"/>
    <w:rsid w:val="06DC7A0A"/>
    <w:rsid w:val="06E67100"/>
    <w:rsid w:val="06E8731C"/>
    <w:rsid w:val="071719AF"/>
    <w:rsid w:val="07267E44"/>
    <w:rsid w:val="07293586"/>
    <w:rsid w:val="07295285"/>
    <w:rsid w:val="073F2CB4"/>
    <w:rsid w:val="07416A2C"/>
    <w:rsid w:val="07423ABE"/>
    <w:rsid w:val="07442078"/>
    <w:rsid w:val="074A3B33"/>
    <w:rsid w:val="07636392"/>
    <w:rsid w:val="076369A2"/>
    <w:rsid w:val="076E3F95"/>
    <w:rsid w:val="07770C56"/>
    <w:rsid w:val="078132CC"/>
    <w:rsid w:val="07832BA1"/>
    <w:rsid w:val="078D7EC3"/>
    <w:rsid w:val="07911761"/>
    <w:rsid w:val="079A613C"/>
    <w:rsid w:val="079F3753"/>
    <w:rsid w:val="07B611C8"/>
    <w:rsid w:val="07C05BA3"/>
    <w:rsid w:val="07C84A57"/>
    <w:rsid w:val="07D7113E"/>
    <w:rsid w:val="07DE071F"/>
    <w:rsid w:val="07E16772"/>
    <w:rsid w:val="07E51AAD"/>
    <w:rsid w:val="07E55609"/>
    <w:rsid w:val="07ED0962"/>
    <w:rsid w:val="07FB4E2D"/>
    <w:rsid w:val="080A1514"/>
    <w:rsid w:val="081952B3"/>
    <w:rsid w:val="082C4FE6"/>
    <w:rsid w:val="082D5D77"/>
    <w:rsid w:val="083420ED"/>
    <w:rsid w:val="08365E65"/>
    <w:rsid w:val="083B347B"/>
    <w:rsid w:val="08510EF1"/>
    <w:rsid w:val="08512C9F"/>
    <w:rsid w:val="08534C69"/>
    <w:rsid w:val="085D5AE7"/>
    <w:rsid w:val="086724C2"/>
    <w:rsid w:val="087150EF"/>
    <w:rsid w:val="08730E67"/>
    <w:rsid w:val="08793FA4"/>
    <w:rsid w:val="089A4646"/>
    <w:rsid w:val="08B33959"/>
    <w:rsid w:val="08BA0844"/>
    <w:rsid w:val="08C47915"/>
    <w:rsid w:val="08DA0EE6"/>
    <w:rsid w:val="08DF474E"/>
    <w:rsid w:val="08E9737B"/>
    <w:rsid w:val="08F0070A"/>
    <w:rsid w:val="08F024B8"/>
    <w:rsid w:val="08FC70AE"/>
    <w:rsid w:val="091A5848"/>
    <w:rsid w:val="092217DD"/>
    <w:rsid w:val="093305F6"/>
    <w:rsid w:val="093A7294"/>
    <w:rsid w:val="093B4BC3"/>
    <w:rsid w:val="09412D13"/>
    <w:rsid w:val="094620D8"/>
    <w:rsid w:val="0969226A"/>
    <w:rsid w:val="09AA4D5C"/>
    <w:rsid w:val="09BA2AC6"/>
    <w:rsid w:val="09BE314E"/>
    <w:rsid w:val="09C63218"/>
    <w:rsid w:val="09CC2353"/>
    <w:rsid w:val="09D43B87"/>
    <w:rsid w:val="09DC0C8E"/>
    <w:rsid w:val="09E55D95"/>
    <w:rsid w:val="09F2400E"/>
    <w:rsid w:val="09F63AFE"/>
    <w:rsid w:val="09F806E3"/>
    <w:rsid w:val="0A1263F7"/>
    <w:rsid w:val="0A14667A"/>
    <w:rsid w:val="0A171CC6"/>
    <w:rsid w:val="0A263993"/>
    <w:rsid w:val="0A2D14EA"/>
    <w:rsid w:val="0A2D3AC2"/>
    <w:rsid w:val="0A314B36"/>
    <w:rsid w:val="0A5627EE"/>
    <w:rsid w:val="0A634F0B"/>
    <w:rsid w:val="0A786C09"/>
    <w:rsid w:val="0A7D2B61"/>
    <w:rsid w:val="0A9D666F"/>
    <w:rsid w:val="0AA277E2"/>
    <w:rsid w:val="0AA572D2"/>
    <w:rsid w:val="0AA755DF"/>
    <w:rsid w:val="0AA96DC2"/>
    <w:rsid w:val="0AC51722"/>
    <w:rsid w:val="0AC736EC"/>
    <w:rsid w:val="0AD32091"/>
    <w:rsid w:val="0AFD0EBC"/>
    <w:rsid w:val="0B120D44"/>
    <w:rsid w:val="0B316DB7"/>
    <w:rsid w:val="0B372620"/>
    <w:rsid w:val="0B3B0F69"/>
    <w:rsid w:val="0B3C3CE4"/>
    <w:rsid w:val="0B4B60CB"/>
    <w:rsid w:val="0B5C5BE2"/>
    <w:rsid w:val="0B6C7DF0"/>
    <w:rsid w:val="0B6E5916"/>
    <w:rsid w:val="0B7849E6"/>
    <w:rsid w:val="0B792C38"/>
    <w:rsid w:val="0B7C44D7"/>
    <w:rsid w:val="0B907F82"/>
    <w:rsid w:val="0B917DCB"/>
    <w:rsid w:val="0B925AA8"/>
    <w:rsid w:val="0B9E269F"/>
    <w:rsid w:val="0BAA1044"/>
    <w:rsid w:val="0BC52A31"/>
    <w:rsid w:val="0BCB0FBA"/>
    <w:rsid w:val="0BD27BF6"/>
    <w:rsid w:val="0BDC31C7"/>
    <w:rsid w:val="0BE91440"/>
    <w:rsid w:val="0BF202F5"/>
    <w:rsid w:val="0C1464BD"/>
    <w:rsid w:val="0C394176"/>
    <w:rsid w:val="0C3B3C7D"/>
    <w:rsid w:val="0C3C77C2"/>
    <w:rsid w:val="0C4843B9"/>
    <w:rsid w:val="0C517711"/>
    <w:rsid w:val="0C5C1C12"/>
    <w:rsid w:val="0C662A91"/>
    <w:rsid w:val="0C663B56"/>
    <w:rsid w:val="0C7358DA"/>
    <w:rsid w:val="0C741652"/>
    <w:rsid w:val="0C8353F1"/>
    <w:rsid w:val="0C8E44C1"/>
    <w:rsid w:val="0CAB2EAE"/>
    <w:rsid w:val="0CC06645"/>
    <w:rsid w:val="0CCC323C"/>
    <w:rsid w:val="0CE560AB"/>
    <w:rsid w:val="0CEA36C2"/>
    <w:rsid w:val="0D091D9A"/>
    <w:rsid w:val="0D1424ED"/>
    <w:rsid w:val="0D1F15BD"/>
    <w:rsid w:val="0D2A1D10"/>
    <w:rsid w:val="0D2E1801"/>
    <w:rsid w:val="0D330BC5"/>
    <w:rsid w:val="0D350DE1"/>
    <w:rsid w:val="0D4E1EA3"/>
    <w:rsid w:val="0D562B05"/>
    <w:rsid w:val="0D621C7D"/>
    <w:rsid w:val="0D865199"/>
    <w:rsid w:val="0D935B07"/>
    <w:rsid w:val="0D95362E"/>
    <w:rsid w:val="0DA675E9"/>
    <w:rsid w:val="0DB461AA"/>
    <w:rsid w:val="0DBC505E"/>
    <w:rsid w:val="0DBE0DD6"/>
    <w:rsid w:val="0DC563BD"/>
    <w:rsid w:val="0DD73C46"/>
    <w:rsid w:val="0DD759F4"/>
    <w:rsid w:val="0DDF2AFB"/>
    <w:rsid w:val="0DE17E62"/>
    <w:rsid w:val="0DEE0F90"/>
    <w:rsid w:val="0DF90060"/>
    <w:rsid w:val="0E010CC3"/>
    <w:rsid w:val="0E0B38F0"/>
    <w:rsid w:val="0E1A3B33"/>
    <w:rsid w:val="0E2844A2"/>
    <w:rsid w:val="0E2A646C"/>
    <w:rsid w:val="0E2C21E4"/>
    <w:rsid w:val="0E3177FA"/>
    <w:rsid w:val="0E3A5F83"/>
    <w:rsid w:val="0E3F3599"/>
    <w:rsid w:val="0E435707"/>
    <w:rsid w:val="0E486BB3"/>
    <w:rsid w:val="0E4B0190"/>
    <w:rsid w:val="0E653000"/>
    <w:rsid w:val="0E6D0107"/>
    <w:rsid w:val="0E73034D"/>
    <w:rsid w:val="0E741495"/>
    <w:rsid w:val="0E7476E7"/>
    <w:rsid w:val="0E794CFD"/>
    <w:rsid w:val="0E9D6C3E"/>
    <w:rsid w:val="0EA7186A"/>
    <w:rsid w:val="0EC04547"/>
    <w:rsid w:val="0ED65CAC"/>
    <w:rsid w:val="0EEC3721"/>
    <w:rsid w:val="0EEF6D6E"/>
    <w:rsid w:val="0EF3685E"/>
    <w:rsid w:val="0EFA4090"/>
    <w:rsid w:val="0F0C791F"/>
    <w:rsid w:val="0F13775A"/>
    <w:rsid w:val="0F44530B"/>
    <w:rsid w:val="0F455B68"/>
    <w:rsid w:val="0F4946D0"/>
    <w:rsid w:val="0F5F45FE"/>
    <w:rsid w:val="0F692FC4"/>
    <w:rsid w:val="0F7D6A6F"/>
    <w:rsid w:val="0F8C6CB2"/>
    <w:rsid w:val="0F9067A2"/>
    <w:rsid w:val="0F931DEF"/>
    <w:rsid w:val="0F953DB9"/>
    <w:rsid w:val="0F9A112B"/>
    <w:rsid w:val="0FA1275E"/>
    <w:rsid w:val="0FA97864"/>
    <w:rsid w:val="0FAE6C29"/>
    <w:rsid w:val="0FB00BF3"/>
    <w:rsid w:val="0FD91EF8"/>
    <w:rsid w:val="0FE12B5A"/>
    <w:rsid w:val="0FE16FFE"/>
    <w:rsid w:val="0FEE5277"/>
    <w:rsid w:val="0FFC6EDD"/>
    <w:rsid w:val="10093E5F"/>
    <w:rsid w:val="100A1803"/>
    <w:rsid w:val="100D394F"/>
    <w:rsid w:val="103435D2"/>
    <w:rsid w:val="10385E92"/>
    <w:rsid w:val="10390BE8"/>
    <w:rsid w:val="10437371"/>
    <w:rsid w:val="104F3F68"/>
    <w:rsid w:val="10501A8E"/>
    <w:rsid w:val="10507CBD"/>
    <w:rsid w:val="1057106E"/>
    <w:rsid w:val="10645539"/>
    <w:rsid w:val="106519DD"/>
    <w:rsid w:val="106612B1"/>
    <w:rsid w:val="106A1358"/>
    <w:rsid w:val="106D2F64"/>
    <w:rsid w:val="106D43EE"/>
    <w:rsid w:val="106F460A"/>
    <w:rsid w:val="1074577C"/>
    <w:rsid w:val="10757746"/>
    <w:rsid w:val="10771710"/>
    <w:rsid w:val="10873049"/>
    <w:rsid w:val="1088747A"/>
    <w:rsid w:val="108B0D18"/>
    <w:rsid w:val="108C7B8F"/>
    <w:rsid w:val="1090632E"/>
    <w:rsid w:val="109202F8"/>
    <w:rsid w:val="10B1077E"/>
    <w:rsid w:val="10B14C22"/>
    <w:rsid w:val="10B464C1"/>
    <w:rsid w:val="10B63710"/>
    <w:rsid w:val="10C5422A"/>
    <w:rsid w:val="10C761F4"/>
    <w:rsid w:val="10C77FA2"/>
    <w:rsid w:val="10C85AC8"/>
    <w:rsid w:val="10CC55B8"/>
    <w:rsid w:val="10DE52EC"/>
    <w:rsid w:val="10E36DA6"/>
    <w:rsid w:val="10F10820"/>
    <w:rsid w:val="11036B00"/>
    <w:rsid w:val="111C2F7A"/>
    <w:rsid w:val="11230F50"/>
    <w:rsid w:val="11254CC9"/>
    <w:rsid w:val="11292A0B"/>
    <w:rsid w:val="11382C4E"/>
    <w:rsid w:val="1145536B"/>
    <w:rsid w:val="11515ABE"/>
    <w:rsid w:val="11665CA1"/>
    <w:rsid w:val="116E6670"/>
    <w:rsid w:val="117143B2"/>
    <w:rsid w:val="11731929"/>
    <w:rsid w:val="11785740"/>
    <w:rsid w:val="117B2B3A"/>
    <w:rsid w:val="11934328"/>
    <w:rsid w:val="11A16A45"/>
    <w:rsid w:val="11C40985"/>
    <w:rsid w:val="11C72224"/>
    <w:rsid w:val="11C772C7"/>
    <w:rsid w:val="11D34725"/>
    <w:rsid w:val="11D72467"/>
    <w:rsid w:val="11DA3D05"/>
    <w:rsid w:val="11DF756D"/>
    <w:rsid w:val="11E701D0"/>
    <w:rsid w:val="12086AC4"/>
    <w:rsid w:val="120B3EBE"/>
    <w:rsid w:val="12170AB5"/>
    <w:rsid w:val="12192A7F"/>
    <w:rsid w:val="121A5B32"/>
    <w:rsid w:val="122338FE"/>
    <w:rsid w:val="12382C34"/>
    <w:rsid w:val="12502219"/>
    <w:rsid w:val="12541D09"/>
    <w:rsid w:val="125A3098"/>
    <w:rsid w:val="125F420A"/>
    <w:rsid w:val="12655CC4"/>
    <w:rsid w:val="12687383"/>
    <w:rsid w:val="12747CB6"/>
    <w:rsid w:val="12865C3B"/>
    <w:rsid w:val="1292638E"/>
    <w:rsid w:val="12A367ED"/>
    <w:rsid w:val="12C56763"/>
    <w:rsid w:val="12CF313E"/>
    <w:rsid w:val="12D76496"/>
    <w:rsid w:val="12DA1AE3"/>
    <w:rsid w:val="12E666D9"/>
    <w:rsid w:val="12EF558E"/>
    <w:rsid w:val="12F42BA4"/>
    <w:rsid w:val="12F9640D"/>
    <w:rsid w:val="13001549"/>
    <w:rsid w:val="13113756"/>
    <w:rsid w:val="13143247"/>
    <w:rsid w:val="13174AE5"/>
    <w:rsid w:val="13213D1E"/>
    <w:rsid w:val="13255454"/>
    <w:rsid w:val="13280AA0"/>
    <w:rsid w:val="13345697"/>
    <w:rsid w:val="13426006"/>
    <w:rsid w:val="13497394"/>
    <w:rsid w:val="13515E55"/>
    <w:rsid w:val="13516249"/>
    <w:rsid w:val="13620456"/>
    <w:rsid w:val="13645F7C"/>
    <w:rsid w:val="13806B2E"/>
    <w:rsid w:val="138F28CD"/>
    <w:rsid w:val="13951726"/>
    <w:rsid w:val="13A20852"/>
    <w:rsid w:val="13A445CA"/>
    <w:rsid w:val="13A520F1"/>
    <w:rsid w:val="13A97E33"/>
    <w:rsid w:val="13AA7707"/>
    <w:rsid w:val="13AC16D1"/>
    <w:rsid w:val="13B26DB4"/>
    <w:rsid w:val="13C609E5"/>
    <w:rsid w:val="13D749A0"/>
    <w:rsid w:val="13FD1F2D"/>
    <w:rsid w:val="140C2170"/>
    <w:rsid w:val="142B4CEC"/>
    <w:rsid w:val="143040B0"/>
    <w:rsid w:val="1433594E"/>
    <w:rsid w:val="143771ED"/>
    <w:rsid w:val="14396509"/>
    <w:rsid w:val="144205B9"/>
    <w:rsid w:val="14425B91"/>
    <w:rsid w:val="14444CC4"/>
    <w:rsid w:val="144C07BE"/>
    <w:rsid w:val="14643D5A"/>
    <w:rsid w:val="14661880"/>
    <w:rsid w:val="1475249B"/>
    <w:rsid w:val="147C5547"/>
    <w:rsid w:val="148443FC"/>
    <w:rsid w:val="14AB1989"/>
    <w:rsid w:val="14B7032D"/>
    <w:rsid w:val="14BC5944"/>
    <w:rsid w:val="14BE790E"/>
    <w:rsid w:val="14C12F5A"/>
    <w:rsid w:val="14C30A80"/>
    <w:rsid w:val="14D62EA9"/>
    <w:rsid w:val="14DA401C"/>
    <w:rsid w:val="14DA42AD"/>
    <w:rsid w:val="14DD2C3C"/>
    <w:rsid w:val="14E6675C"/>
    <w:rsid w:val="14F21366"/>
    <w:rsid w:val="151237B6"/>
    <w:rsid w:val="153876C0"/>
    <w:rsid w:val="154871D8"/>
    <w:rsid w:val="15565D98"/>
    <w:rsid w:val="15602773"/>
    <w:rsid w:val="1562473D"/>
    <w:rsid w:val="156C736A"/>
    <w:rsid w:val="158741A4"/>
    <w:rsid w:val="15962639"/>
    <w:rsid w:val="15997A33"/>
    <w:rsid w:val="159E329B"/>
    <w:rsid w:val="15A563D8"/>
    <w:rsid w:val="15A801B2"/>
    <w:rsid w:val="15A9411A"/>
    <w:rsid w:val="15B900D5"/>
    <w:rsid w:val="15C947BC"/>
    <w:rsid w:val="15CE592F"/>
    <w:rsid w:val="15D46CBD"/>
    <w:rsid w:val="15DB629E"/>
    <w:rsid w:val="15E74C42"/>
    <w:rsid w:val="15F555B1"/>
    <w:rsid w:val="15FF1F8C"/>
    <w:rsid w:val="160457F4"/>
    <w:rsid w:val="16087E1D"/>
    <w:rsid w:val="16094BB9"/>
    <w:rsid w:val="160C28FB"/>
    <w:rsid w:val="160E21CF"/>
    <w:rsid w:val="161D68B6"/>
    <w:rsid w:val="16231FBA"/>
    <w:rsid w:val="16315EBE"/>
    <w:rsid w:val="163B0AEA"/>
    <w:rsid w:val="16414353"/>
    <w:rsid w:val="1642631D"/>
    <w:rsid w:val="16442095"/>
    <w:rsid w:val="16551BAC"/>
    <w:rsid w:val="165878EE"/>
    <w:rsid w:val="16694582"/>
    <w:rsid w:val="166B13D0"/>
    <w:rsid w:val="168B1A72"/>
    <w:rsid w:val="168C1346"/>
    <w:rsid w:val="169C5A2D"/>
    <w:rsid w:val="16A500C4"/>
    <w:rsid w:val="16A50D85"/>
    <w:rsid w:val="16B647C5"/>
    <w:rsid w:val="16C44F84"/>
    <w:rsid w:val="16C86822"/>
    <w:rsid w:val="16CB6312"/>
    <w:rsid w:val="16D80E4D"/>
    <w:rsid w:val="16DC051F"/>
    <w:rsid w:val="16E41182"/>
    <w:rsid w:val="16F06093"/>
    <w:rsid w:val="170830C2"/>
    <w:rsid w:val="1719707D"/>
    <w:rsid w:val="17255A22"/>
    <w:rsid w:val="172A128B"/>
    <w:rsid w:val="17321EED"/>
    <w:rsid w:val="17332EE7"/>
    <w:rsid w:val="1739327C"/>
    <w:rsid w:val="17410382"/>
    <w:rsid w:val="174D6D27"/>
    <w:rsid w:val="175D340E"/>
    <w:rsid w:val="17681DB3"/>
    <w:rsid w:val="176C53FF"/>
    <w:rsid w:val="176F4EEF"/>
    <w:rsid w:val="17701D14"/>
    <w:rsid w:val="1771313C"/>
    <w:rsid w:val="17735226"/>
    <w:rsid w:val="177B1AE6"/>
    <w:rsid w:val="1780534F"/>
    <w:rsid w:val="178564C1"/>
    <w:rsid w:val="17872239"/>
    <w:rsid w:val="178D35C8"/>
    <w:rsid w:val="17A70B2D"/>
    <w:rsid w:val="17AC6144"/>
    <w:rsid w:val="17BA0860"/>
    <w:rsid w:val="17CB2BF7"/>
    <w:rsid w:val="17CF1E32"/>
    <w:rsid w:val="17D15BAA"/>
    <w:rsid w:val="17D17958"/>
    <w:rsid w:val="17D47448"/>
    <w:rsid w:val="17EA0A1A"/>
    <w:rsid w:val="17EF7DDE"/>
    <w:rsid w:val="18137F71"/>
    <w:rsid w:val="181B0BD3"/>
    <w:rsid w:val="1824217E"/>
    <w:rsid w:val="18371EB1"/>
    <w:rsid w:val="185B5474"/>
    <w:rsid w:val="18622CA6"/>
    <w:rsid w:val="186662F2"/>
    <w:rsid w:val="18685804"/>
    <w:rsid w:val="18784278"/>
    <w:rsid w:val="187A7FF0"/>
    <w:rsid w:val="188449CB"/>
    <w:rsid w:val="18925339"/>
    <w:rsid w:val="189F624C"/>
    <w:rsid w:val="18AC5CCF"/>
    <w:rsid w:val="18AE37F5"/>
    <w:rsid w:val="18B21538"/>
    <w:rsid w:val="18B2778A"/>
    <w:rsid w:val="18BC5F12"/>
    <w:rsid w:val="18C77A69"/>
    <w:rsid w:val="18CE3E98"/>
    <w:rsid w:val="18D314AE"/>
    <w:rsid w:val="18EF453A"/>
    <w:rsid w:val="18F25DD8"/>
    <w:rsid w:val="18F27B86"/>
    <w:rsid w:val="18FE477D"/>
    <w:rsid w:val="1901426D"/>
    <w:rsid w:val="190855FC"/>
    <w:rsid w:val="19094ED0"/>
    <w:rsid w:val="192F4936"/>
    <w:rsid w:val="19355CC5"/>
    <w:rsid w:val="193E101D"/>
    <w:rsid w:val="194F4FD8"/>
    <w:rsid w:val="19632832"/>
    <w:rsid w:val="196B7938"/>
    <w:rsid w:val="196D1903"/>
    <w:rsid w:val="19856C4C"/>
    <w:rsid w:val="198C1D89"/>
    <w:rsid w:val="19B1359D"/>
    <w:rsid w:val="19B60738"/>
    <w:rsid w:val="19C84D8B"/>
    <w:rsid w:val="19CE23A1"/>
    <w:rsid w:val="19DE635C"/>
    <w:rsid w:val="19F3005A"/>
    <w:rsid w:val="1A196FD4"/>
    <w:rsid w:val="1A1C66C0"/>
    <w:rsid w:val="1A2E6245"/>
    <w:rsid w:val="1A312930"/>
    <w:rsid w:val="1A3441CE"/>
    <w:rsid w:val="1A3B555D"/>
    <w:rsid w:val="1A420699"/>
    <w:rsid w:val="1A42393B"/>
    <w:rsid w:val="1A7C004F"/>
    <w:rsid w:val="1A8707A2"/>
    <w:rsid w:val="1A9B5FFB"/>
    <w:rsid w:val="1AAB623F"/>
    <w:rsid w:val="1AAD45DE"/>
    <w:rsid w:val="1ABC48F0"/>
    <w:rsid w:val="1AE14356"/>
    <w:rsid w:val="1AE479A2"/>
    <w:rsid w:val="1AE6371B"/>
    <w:rsid w:val="1AFA0F74"/>
    <w:rsid w:val="1B046F80"/>
    <w:rsid w:val="1B083691"/>
    <w:rsid w:val="1B0A573B"/>
    <w:rsid w:val="1B0B4F2F"/>
    <w:rsid w:val="1B0E2C71"/>
    <w:rsid w:val="1B252495"/>
    <w:rsid w:val="1B261D69"/>
    <w:rsid w:val="1B3267B5"/>
    <w:rsid w:val="1B3A75C2"/>
    <w:rsid w:val="1B40161D"/>
    <w:rsid w:val="1B441859"/>
    <w:rsid w:val="1B5C1C2F"/>
    <w:rsid w:val="1B6606B1"/>
    <w:rsid w:val="1B66485B"/>
    <w:rsid w:val="1B803B6F"/>
    <w:rsid w:val="1B813443"/>
    <w:rsid w:val="1BA01B1B"/>
    <w:rsid w:val="1BDC68CC"/>
    <w:rsid w:val="1BE71472"/>
    <w:rsid w:val="1BE85270"/>
    <w:rsid w:val="1BEA2D97"/>
    <w:rsid w:val="1BFD51C0"/>
    <w:rsid w:val="1C010E3C"/>
    <w:rsid w:val="1C0D4CD7"/>
    <w:rsid w:val="1C204A0A"/>
    <w:rsid w:val="1C2269D4"/>
    <w:rsid w:val="1C33298F"/>
    <w:rsid w:val="1C346708"/>
    <w:rsid w:val="1C393D1E"/>
    <w:rsid w:val="1C3E1334"/>
    <w:rsid w:val="1C444B9D"/>
    <w:rsid w:val="1C511068"/>
    <w:rsid w:val="1C597F1C"/>
    <w:rsid w:val="1C5E7925"/>
    <w:rsid w:val="1C7865F4"/>
    <w:rsid w:val="1C80194D"/>
    <w:rsid w:val="1C821221"/>
    <w:rsid w:val="1CA4388D"/>
    <w:rsid w:val="1CA70C88"/>
    <w:rsid w:val="1CAC44F0"/>
    <w:rsid w:val="1CB3587E"/>
    <w:rsid w:val="1CCE26B8"/>
    <w:rsid w:val="1CD13F56"/>
    <w:rsid w:val="1CDD28FB"/>
    <w:rsid w:val="1CFD070F"/>
    <w:rsid w:val="1CFD4D4B"/>
    <w:rsid w:val="1D087B12"/>
    <w:rsid w:val="1D214EDE"/>
    <w:rsid w:val="1D216C8C"/>
    <w:rsid w:val="1D2247B2"/>
    <w:rsid w:val="1D293D92"/>
    <w:rsid w:val="1D321938"/>
    <w:rsid w:val="1D3544E5"/>
    <w:rsid w:val="1D392227"/>
    <w:rsid w:val="1D3A5FA0"/>
    <w:rsid w:val="1D3C5B0B"/>
    <w:rsid w:val="1D4209B0"/>
    <w:rsid w:val="1D5232E9"/>
    <w:rsid w:val="1D526637"/>
    <w:rsid w:val="1D5C1A72"/>
    <w:rsid w:val="1D5F6196"/>
    <w:rsid w:val="1D6132A5"/>
    <w:rsid w:val="1D752B34"/>
    <w:rsid w:val="1D7C3EC2"/>
    <w:rsid w:val="1D7F1C04"/>
    <w:rsid w:val="1D84721B"/>
    <w:rsid w:val="1D8E56D5"/>
    <w:rsid w:val="1D9236E6"/>
    <w:rsid w:val="1D927B8A"/>
    <w:rsid w:val="1D9E652E"/>
    <w:rsid w:val="1DB55626"/>
    <w:rsid w:val="1DB96EC4"/>
    <w:rsid w:val="1DBA2C3C"/>
    <w:rsid w:val="1DBB0E8E"/>
    <w:rsid w:val="1DBB32B2"/>
    <w:rsid w:val="1DD43CFE"/>
    <w:rsid w:val="1DD65CC8"/>
    <w:rsid w:val="1DDC0E05"/>
    <w:rsid w:val="1E193E07"/>
    <w:rsid w:val="1E1D46AD"/>
    <w:rsid w:val="1E236DDE"/>
    <w:rsid w:val="1E2C3B3A"/>
    <w:rsid w:val="1E2F7187"/>
    <w:rsid w:val="1E37603B"/>
    <w:rsid w:val="1E3B5B2B"/>
    <w:rsid w:val="1E3E386E"/>
    <w:rsid w:val="1E450758"/>
    <w:rsid w:val="1E543091"/>
    <w:rsid w:val="1E682698"/>
    <w:rsid w:val="1E763007"/>
    <w:rsid w:val="1E780B2E"/>
    <w:rsid w:val="1E7A43DA"/>
    <w:rsid w:val="1E957931"/>
    <w:rsid w:val="1EB458DE"/>
    <w:rsid w:val="1EC024D4"/>
    <w:rsid w:val="1EDC124B"/>
    <w:rsid w:val="1EEB57A3"/>
    <w:rsid w:val="1EEC5078"/>
    <w:rsid w:val="1EF1268E"/>
    <w:rsid w:val="1EF503D0"/>
    <w:rsid w:val="1EFF124F"/>
    <w:rsid w:val="1F0C74C8"/>
    <w:rsid w:val="1F1620F4"/>
    <w:rsid w:val="1F170346"/>
    <w:rsid w:val="1F1A1BE5"/>
    <w:rsid w:val="1F332CA6"/>
    <w:rsid w:val="1F356A1F"/>
    <w:rsid w:val="1F394761"/>
    <w:rsid w:val="1F424ECC"/>
    <w:rsid w:val="1F4E188E"/>
    <w:rsid w:val="1F5A6485"/>
    <w:rsid w:val="1F5C044F"/>
    <w:rsid w:val="1F5C13A0"/>
    <w:rsid w:val="1F6D61B8"/>
    <w:rsid w:val="1F751511"/>
    <w:rsid w:val="1F817EB6"/>
    <w:rsid w:val="1F9F033C"/>
    <w:rsid w:val="1FB42039"/>
    <w:rsid w:val="1FB65DB1"/>
    <w:rsid w:val="1FB913FE"/>
    <w:rsid w:val="1FBE3649"/>
    <w:rsid w:val="1FC41B50"/>
    <w:rsid w:val="1FCD6C57"/>
    <w:rsid w:val="1FD04999"/>
    <w:rsid w:val="1FDE2C12"/>
    <w:rsid w:val="1FE02E2E"/>
    <w:rsid w:val="1FE43FA1"/>
    <w:rsid w:val="1FE673E4"/>
    <w:rsid w:val="1FE7539E"/>
    <w:rsid w:val="1FEA15B7"/>
    <w:rsid w:val="1FED10A7"/>
    <w:rsid w:val="1FF561AE"/>
    <w:rsid w:val="20000DDB"/>
    <w:rsid w:val="20054643"/>
    <w:rsid w:val="201725C8"/>
    <w:rsid w:val="201B5C14"/>
    <w:rsid w:val="20457135"/>
    <w:rsid w:val="205E01F7"/>
    <w:rsid w:val="20671BE0"/>
    <w:rsid w:val="206A26F8"/>
    <w:rsid w:val="206C2914"/>
    <w:rsid w:val="207074E5"/>
    <w:rsid w:val="20717F2A"/>
    <w:rsid w:val="20937EA1"/>
    <w:rsid w:val="209634ED"/>
    <w:rsid w:val="20963CB8"/>
    <w:rsid w:val="209D2ACD"/>
    <w:rsid w:val="20A43B9A"/>
    <w:rsid w:val="20A53730"/>
    <w:rsid w:val="20A81A1B"/>
    <w:rsid w:val="20AF45AF"/>
    <w:rsid w:val="20B07FB6"/>
    <w:rsid w:val="20B3409F"/>
    <w:rsid w:val="20B41BC5"/>
    <w:rsid w:val="20B646FB"/>
    <w:rsid w:val="20BB73F7"/>
    <w:rsid w:val="20C242E2"/>
    <w:rsid w:val="20C53DD2"/>
    <w:rsid w:val="20CE0ED9"/>
    <w:rsid w:val="20D109C9"/>
    <w:rsid w:val="20DD55C0"/>
    <w:rsid w:val="20E406FC"/>
    <w:rsid w:val="20E71F9A"/>
    <w:rsid w:val="20E73D48"/>
    <w:rsid w:val="20E92118"/>
    <w:rsid w:val="21004E0A"/>
    <w:rsid w:val="21025026"/>
    <w:rsid w:val="21091F11"/>
    <w:rsid w:val="212C3E51"/>
    <w:rsid w:val="2136082C"/>
    <w:rsid w:val="213B74B1"/>
    <w:rsid w:val="21464F13"/>
    <w:rsid w:val="214B4D76"/>
    <w:rsid w:val="214D6DCB"/>
    <w:rsid w:val="21505D92"/>
    <w:rsid w:val="21515666"/>
    <w:rsid w:val="215A2310"/>
    <w:rsid w:val="21780E44"/>
    <w:rsid w:val="21811C8C"/>
    <w:rsid w:val="2190618E"/>
    <w:rsid w:val="219739C1"/>
    <w:rsid w:val="219C4B33"/>
    <w:rsid w:val="21AF0D0A"/>
    <w:rsid w:val="21B226FC"/>
    <w:rsid w:val="21C347B6"/>
    <w:rsid w:val="21CB5418"/>
    <w:rsid w:val="21CC3CDF"/>
    <w:rsid w:val="21DE318A"/>
    <w:rsid w:val="21EB5ABA"/>
    <w:rsid w:val="21EF55AB"/>
    <w:rsid w:val="21EF5B80"/>
    <w:rsid w:val="22034BB2"/>
    <w:rsid w:val="22124DF5"/>
    <w:rsid w:val="221943D6"/>
    <w:rsid w:val="221B014E"/>
    <w:rsid w:val="22372AAE"/>
    <w:rsid w:val="223C6B10"/>
    <w:rsid w:val="2241392C"/>
    <w:rsid w:val="224D22D1"/>
    <w:rsid w:val="22576990"/>
    <w:rsid w:val="22665141"/>
    <w:rsid w:val="226D64CF"/>
    <w:rsid w:val="22721D38"/>
    <w:rsid w:val="227F50C3"/>
    <w:rsid w:val="228C2DF9"/>
    <w:rsid w:val="229323DA"/>
    <w:rsid w:val="22934188"/>
    <w:rsid w:val="229977E2"/>
    <w:rsid w:val="22A04AF7"/>
    <w:rsid w:val="22A5210D"/>
    <w:rsid w:val="22AC6FF8"/>
    <w:rsid w:val="22BD1205"/>
    <w:rsid w:val="22C00CF5"/>
    <w:rsid w:val="22C500B9"/>
    <w:rsid w:val="22DD18A7"/>
    <w:rsid w:val="22DF561F"/>
    <w:rsid w:val="22E42C35"/>
    <w:rsid w:val="22EC5646"/>
    <w:rsid w:val="22F47480"/>
    <w:rsid w:val="22F62969"/>
    <w:rsid w:val="22FD7853"/>
    <w:rsid w:val="230E380E"/>
    <w:rsid w:val="231E77CA"/>
    <w:rsid w:val="231F5A1C"/>
    <w:rsid w:val="23241284"/>
    <w:rsid w:val="23243032"/>
    <w:rsid w:val="23386ADD"/>
    <w:rsid w:val="23403BE4"/>
    <w:rsid w:val="234E6301"/>
    <w:rsid w:val="2355143D"/>
    <w:rsid w:val="2378337E"/>
    <w:rsid w:val="237D6BE6"/>
    <w:rsid w:val="238166D6"/>
    <w:rsid w:val="2392443F"/>
    <w:rsid w:val="239301B8"/>
    <w:rsid w:val="2398757C"/>
    <w:rsid w:val="23A44173"/>
    <w:rsid w:val="23A6613D"/>
    <w:rsid w:val="23C95987"/>
    <w:rsid w:val="23D26F32"/>
    <w:rsid w:val="23D700A4"/>
    <w:rsid w:val="23D83E1C"/>
    <w:rsid w:val="23DA1943"/>
    <w:rsid w:val="23DE1C48"/>
    <w:rsid w:val="240210CD"/>
    <w:rsid w:val="24286B52"/>
    <w:rsid w:val="24292B31"/>
    <w:rsid w:val="24390D5F"/>
    <w:rsid w:val="244020ED"/>
    <w:rsid w:val="2443573A"/>
    <w:rsid w:val="2446022B"/>
    <w:rsid w:val="244B2840"/>
    <w:rsid w:val="24521E21"/>
    <w:rsid w:val="245C0A75"/>
    <w:rsid w:val="24613E12"/>
    <w:rsid w:val="24655054"/>
    <w:rsid w:val="2472601F"/>
    <w:rsid w:val="24883A94"/>
    <w:rsid w:val="249C309C"/>
    <w:rsid w:val="24AB32DF"/>
    <w:rsid w:val="24AF4B7D"/>
    <w:rsid w:val="24B71C84"/>
    <w:rsid w:val="24B86128"/>
    <w:rsid w:val="24B91EA0"/>
    <w:rsid w:val="24BF09F7"/>
    <w:rsid w:val="24C0322E"/>
    <w:rsid w:val="24C90335"/>
    <w:rsid w:val="24CA5E5B"/>
    <w:rsid w:val="24D740D4"/>
    <w:rsid w:val="24F55E66"/>
    <w:rsid w:val="250824DF"/>
    <w:rsid w:val="250A44A9"/>
    <w:rsid w:val="25113A8A"/>
    <w:rsid w:val="25227A45"/>
    <w:rsid w:val="25270BB7"/>
    <w:rsid w:val="252D53FE"/>
    <w:rsid w:val="252F3F10"/>
    <w:rsid w:val="25387269"/>
    <w:rsid w:val="253A4D8F"/>
    <w:rsid w:val="253F05F7"/>
    <w:rsid w:val="25423C43"/>
    <w:rsid w:val="254A2AF8"/>
    <w:rsid w:val="255A0F8D"/>
    <w:rsid w:val="255F65A3"/>
    <w:rsid w:val="25697422"/>
    <w:rsid w:val="25714529"/>
    <w:rsid w:val="25755DC7"/>
    <w:rsid w:val="25887F31"/>
    <w:rsid w:val="25897AC4"/>
    <w:rsid w:val="25965D3D"/>
    <w:rsid w:val="259F1096"/>
    <w:rsid w:val="25A4045A"/>
    <w:rsid w:val="25A95A70"/>
    <w:rsid w:val="25D54AB7"/>
    <w:rsid w:val="25E92311"/>
    <w:rsid w:val="25EC2D81"/>
    <w:rsid w:val="25FA451E"/>
    <w:rsid w:val="25FD5DBC"/>
    <w:rsid w:val="25FF7D86"/>
    <w:rsid w:val="260333D3"/>
    <w:rsid w:val="2604539D"/>
    <w:rsid w:val="260E3B25"/>
    <w:rsid w:val="26221957"/>
    <w:rsid w:val="26357304"/>
    <w:rsid w:val="264B2FCC"/>
    <w:rsid w:val="264D6C20"/>
    <w:rsid w:val="264F6618"/>
    <w:rsid w:val="265522F3"/>
    <w:rsid w:val="26591245"/>
    <w:rsid w:val="26804A23"/>
    <w:rsid w:val="269E30FB"/>
    <w:rsid w:val="26A76454"/>
    <w:rsid w:val="26A83F7A"/>
    <w:rsid w:val="26A85D28"/>
    <w:rsid w:val="26BD1A51"/>
    <w:rsid w:val="26BE379D"/>
    <w:rsid w:val="26BE554B"/>
    <w:rsid w:val="26C54B2C"/>
    <w:rsid w:val="26D20FF7"/>
    <w:rsid w:val="26DB434F"/>
    <w:rsid w:val="26DE799C"/>
    <w:rsid w:val="26E256DE"/>
    <w:rsid w:val="26F96584"/>
    <w:rsid w:val="26FB257F"/>
    <w:rsid w:val="26FD42C6"/>
    <w:rsid w:val="270D35CE"/>
    <w:rsid w:val="271D4CE2"/>
    <w:rsid w:val="274719E5"/>
    <w:rsid w:val="274F43F6"/>
    <w:rsid w:val="275163C0"/>
    <w:rsid w:val="27533EE6"/>
    <w:rsid w:val="275E288B"/>
    <w:rsid w:val="27651E6B"/>
    <w:rsid w:val="27675BE3"/>
    <w:rsid w:val="276854B7"/>
    <w:rsid w:val="277057A2"/>
    <w:rsid w:val="27767BD4"/>
    <w:rsid w:val="27781B9E"/>
    <w:rsid w:val="27873B8F"/>
    <w:rsid w:val="278F0C96"/>
    <w:rsid w:val="27A02EA3"/>
    <w:rsid w:val="27A91D58"/>
    <w:rsid w:val="27A97C35"/>
    <w:rsid w:val="27A97FAA"/>
    <w:rsid w:val="27B16E5E"/>
    <w:rsid w:val="27B801ED"/>
    <w:rsid w:val="27BA3F65"/>
    <w:rsid w:val="27DA4607"/>
    <w:rsid w:val="27DF39CB"/>
    <w:rsid w:val="27EC0313"/>
    <w:rsid w:val="27F356C9"/>
    <w:rsid w:val="280671AA"/>
    <w:rsid w:val="280F0C21"/>
    <w:rsid w:val="28173165"/>
    <w:rsid w:val="2818512F"/>
    <w:rsid w:val="28247630"/>
    <w:rsid w:val="282F4953"/>
    <w:rsid w:val="285A12A4"/>
    <w:rsid w:val="285E08FB"/>
    <w:rsid w:val="28667C49"/>
    <w:rsid w:val="287A36F4"/>
    <w:rsid w:val="288F1208"/>
    <w:rsid w:val="28902F18"/>
    <w:rsid w:val="289A4CFE"/>
    <w:rsid w:val="289B3D96"/>
    <w:rsid w:val="28A16ED3"/>
    <w:rsid w:val="28A17F82"/>
    <w:rsid w:val="28A54C15"/>
    <w:rsid w:val="28AB7D51"/>
    <w:rsid w:val="28AF7842"/>
    <w:rsid w:val="28B07116"/>
    <w:rsid w:val="28C50E13"/>
    <w:rsid w:val="28C57065"/>
    <w:rsid w:val="28E026ED"/>
    <w:rsid w:val="28E55011"/>
    <w:rsid w:val="28F25980"/>
    <w:rsid w:val="28F901F0"/>
    <w:rsid w:val="29206EB8"/>
    <w:rsid w:val="2927562A"/>
    <w:rsid w:val="292A336C"/>
    <w:rsid w:val="292A511A"/>
    <w:rsid w:val="29363ABF"/>
    <w:rsid w:val="2939535D"/>
    <w:rsid w:val="293D6BFB"/>
    <w:rsid w:val="29477A7A"/>
    <w:rsid w:val="29595666"/>
    <w:rsid w:val="29763EBB"/>
    <w:rsid w:val="29787C34"/>
    <w:rsid w:val="29874881"/>
    <w:rsid w:val="298C7B83"/>
    <w:rsid w:val="29930F11"/>
    <w:rsid w:val="29A749BD"/>
    <w:rsid w:val="29C56BF1"/>
    <w:rsid w:val="29CA2F90"/>
    <w:rsid w:val="29CC4423"/>
    <w:rsid w:val="29D11A3A"/>
    <w:rsid w:val="29D67050"/>
    <w:rsid w:val="29DB01C2"/>
    <w:rsid w:val="29E325E0"/>
    <w:rsid w:val="2A005E7B"/>
    <w:rsid w:val="2A063491"/>
    <w:rsid w:val="2A0B6CFA"/>
    <w:rsid w:val="2A326C65"/>
    <w:rsid w:val="2A375D41"/>
    <w:rsid w:val="2A383867"/>
    <w:rsid w:val="2A3D0E7D"/>
    <w:rsid w:val="2A452503"/>
    <w:rsid w:val="2A467D32"/>
    <w:rsid w:val="2A497591"/>
    <w:rsid w:val="2A5341FD"/>
    <w:rsid w:val="2A5C7555"/>
    <w:rsid w:val="2A866380"/>
    <w:rsid w:val="2A946CEF"/>
    <w:rsid w:val="2AA36F32"/>
    <w:rsid w:val="2AA66A22"/>
    <w:rsid w:val="2AAD7DB1"/>
    <w:rsid w:val="2AB56C65"/>
    <w:rsid w:val="2ABB0720"/>
    <w:rsid w:val="2ACD0453"/>
    <w:rsid w:val="2ACF5F79"/>
    <w:rsid w:val="2ADC2444"/>
    <w:rsid w:val="2AE80DE9"/>
    <w:rsid w:val="2AED28A3"/>
    <w:rsid w:val="2AEF2177"/>
    <w:rsid w:val="2B0A0D5F"/>
    <w:rsid w:val="2B204A27"/>
    <w:rsid w:val="2B255B99"/>
    <w:rsid w:val="2B3202B6"/>
    <w:rsid w:val="2B361B54"/>
    <w:rsid w:val="2B395AE8"/>
    <w:rsid w:val="2B473D61"/>
    <w:rsid w:val="2B4C1378"/>
    <w:rsid w:val="2B593A95"/>
    <w:rsid w:val="2B603075"/>
    <w:rsid w:val="2B6366C1"/>
    <w:rsid w:val="2B726905"/>
    <w:rsid w:val="2B734671"/>
    <w:rsid w:val="2B8925CC"/>
    <w:rsid w:val="2B9D1BD3"/>
    <w:rsid w:val="2BA262E3"/>
    <w:rsid w:val="2BA431F1"/>
    <w:rsid w:val="2BA936A8"/>
    <w:rsid w:val="2BB92785"/>
    <w:rsid w:val="2BBE1B4A"/>
    <w:rsid w:val="2BCF3D57"/>
    <w:rsid w:val="2BD355F5"/>
    <w:rsid w:val="2BD96984"/>
    <w:rsid w:val="2BE75544"/>
    <w:rsid w:val="2BE94E19"/>
    <w:rsid w:val="2BF57C61"/>
    <w:rsid w:val="2BFA7026"/>
    <w:rsid w:val="2C0559CB"/>
    <w:rsid w:val="2C0A1963"/>
    <w:rsid w:val="2C273B93"/>
    <w:rsid w:val="2C2E4F21"/>
    <w:rsid w:val="2C302A48"/>
    <w:rsid w:val="2C315A5A"/>
    <w:rsid w:val="2C3562B0"/>
    <w:rsid w:val="2C4141EA"/>
    <w:rsid w:val="2C4B1C25"/>
    <w:rsid w:val="2C583D4C"/>
    <w:rsid w:val="2C6170A5"/>
    <w:rsid w:val="2C6B7F24"/>
    <w:rsid w:val="2C746837"/>
    <w:rsid w:val="2C974875"/>
    <w:rsid w:val="2C9E20A7"/>
    <w:rsid w:val="2CAE1BBE"/>
    <w:rsid w:val="2CCB6C14"/>
    <w:rsid w:val="2CD94E8D"/>
    <w:rsid w:val="2CDC2BCF"/>
    <w:rsid w:val="2CF577ED"/>
    <w:rsid w:val="2CF9108B"/>
    <w:rsid w:val="2D052E51"/>
    <w:rsid w:val="2D157E8F"/>
    <w:rsid w:val="2D1934DC"/>
    <w:rsid w:val="2D1B54A6"/>
    <w:rsid w:val="2D3622E0"/>
    <w:rsid w:val="2D377E06"/>
    <w:rsid w:val="2D4367AA"/>
    <w:rsid w:val="2D4C1B03"/>
    <w:rsid w:val="2D510EC7"/>
    <w:rsid w:val="2D5B4C0F"/>
    <w:rsid w:val="2D654973"/>
    <w:rsid w:val="2D662499"/>
    <w:rsid w:val="2D713318"/>
    <w:rsid w:val="2D776454"/>
    <w:rsid w:val="2D8D5C78"/>
    <w:rsid w:val="2D9E56F5"/>
    <w:rsid w:val="2DAA682A"/>
    <w:rsid w:val="2DBD47AF"/>
    <w:rsid w:val="2DC07DFB"/>
    <w:rsid w:val="2DE41D3C"/>
    <w:rsid w:val="2DE55AB4"/>
    <w:rsid w:val="2DF06932"/>
    <w:rsid w:val="2DF61A6F"/>
    <w:rsid w:val="2DF6381D"/>
    <w:rsid w:val="2E0028ED"/>
    <w:rsid w:val="2E00644A"/>
    <w:rsid w:val="2E1B3283"/>
    <w:rsid w:val="2E3D31FA"/>
    <w:rsid w:val="2E644C2A"/>
    <w:rsid w:val="2E667F96"/>
    <w:rsid w:val="2E7035CF"/>
    <w:rsid w:val="2E8226AB"/>
    <w:rsid w:val="2E8452CD"/>
    <w:rsid w:val="2E89643F"/>
    <w:rsid w:val="2E964D4F"/>
    <w:rsid w:val="2EA80FBB"/>
    <w:rsid w:val="2EA9088F"/>
    <w:rsid w:val="2EAD783E"/>
    <w:rsid w:val="2EDA313F"/>
    <w:rsid w:val="2EDC6EB7"/>
    <w:rsid w:val="2EE87609"/>
    <w:rsid w:val="2EEB534C"/>
    <w:rsid w:val="2EEB70FA"/>
    <w:rsid w:val="2F0349B9"/>
    <w:rsid w:val="2F05640D"/>
    <w:rsid w:val="2F1228D8"/>
    <w:rsid w:val="2F1C04D2"/>
    <w:rsid w:val="2F1E302B"/>
    <w:rsid w:val="2F260132"/>
    <w:rsid w:val="2F2B74F6"/>
    <w:rsid w:val="2F364819"/>
    <w:rsid w:val="2F3B1E2F"/>
    <w:rsid w:val="2F5E78CC"/>
    <w:rsid w:val="2F6F1AD9"/>
    <w:rsid w:val="2F6F3887"/>
    <w:rsid w:val="2F77098D"/>
    <w:rsid w:val="2F7B3E20"/>
    <w:rsid w:val="2F9E23BE"/>
    <w:rsid w:val="2FA21EAE"/>
    <w:rsid w:val="2FA84FEB"/>
    <w:rsid w:val="2FB13E9F"/>
    <w:rsid w:val="2FB27C17"/>
    <w:rsid w:val="2FC260AC"/>
    <w:rsid w:val="2FC736C3"/>
    <w:rsid w:val="2FC8743B"/>
    <w:rsid w:val="2FD065E6"/>
    <w:rsid w:val="2FD1009E"/>
    <w:rsid w:val="2FD96870"/>
    <w:rsid w:val="2FF3270A"/>
    <w:rsid w:val="2FFF10AF"/>
    <w:rsid w:val="300466C5"/>
    <w:rsid w:val="301306B6"/>
    <w:rsid w:val="301F34FF"/>
    <w:rsid w:val="302B784A"/>
    <w:rsid w:val="302C1778"/>
    <w:rsid w:val="30316D8E"/>
    <w:rsid w:val="3034687E"/>
    <w:rsid w:val="3038011D"/>
    <w:rsid w:val="3049232A"/>
    <w:rsid w:val="30580BC9"/>
    <w:rsid w:val="305B3E0B"/>
    <w:rsid w:val="30696528"/>
    <w:rsid w:val="306C6018"/>
    <w:rsid w:val="309D61D2"/>
    <w:rsid w:val="30A25EDE"/>
    <w:rsid w:val="30AB6B41"/>
    <w:rsid w:val="30B33C47"/>
    <w:rsid w:val="30C61BCC"/>
    <w:rsid w:val="30CC4D09"/>
    <w:rsid w:val="30F06C49"/>
    <w:rsid w:val="30FC114A"/>
    <w:rsid w:val="310444A3"/>
    <w:rsid w:val="310A6749"/>
    <w:rsid w:val="311566B0"/>
    <w:rsid w:val="31172428"/>
    <w:rsid w:val="311E2ED7"/>
    <w:rsid w:val="31321010"/>
    <w:rsid w:val="313905F0"/>
    <w:rsid w:val="3139239E"/>
    <w:rsid w:val="31462D0D"/>
    <w:rsid w:val="31490108"/>
    <w:rsid w:val="31556AAC"/>
    <w:rsid w:val="315619EE"/>
    <w:rsid w:val="315C449C"/>
    <w:rsid w:val="31615451"/>
    <w:rsid w:val="31662A68"/>
    <w:rsid w:val="317C04DD"/>
    <w:rsid w:val="318B6972"/>
    <w:rsid w:val="318D6246"/>
    <w:rsid w:val="31A31F0E"/>
    <w:rsid w:val="31A517E2"/>
    <w:rsid w:val="31AD4B3A"/>
    <w:rsid w:val="31B82709"/>
    <w:rsid w:val="31C37EBA"/>
    <w:rsid w:val="31CE14C9"/>
    <w:rsid w:val="31D05482"/>
    <w:rsid w:val="31DD5420"/>
    <w:rsid w:val="32024E86"/>
    <w:rsid w:val="32026C34"/>
    <w:rsid w:val="320D55D9"/>
    <w:rsid w:val="321626E0"/>
    <w:rsid w:val="32400B34"/>
    <w:rsid w:val="3255145A"/>
    <w:rsid w:val="32562ADC"/>
    <w:rsid w:val="32621481"/>
    <w:rsid w:val="326A6587"/>
    <w:rsid w:val="326F3B9E"/>
    <w:rsid w:val="32737B32"/>
    <w:rsid w:val="328E2276"/>
    <w:rsid w:val="32904240"/>
    <w:rsid w:val="329B61B8"/>
    <w:rsid w:val="329E6876"/>
    <w:rsid w:val="32A970B0"/>
    <w:rsid w:val="32BD2B5B"/>
    <w:rsid w:val="32CC0FF0"/>
    <w:rsid w:val="32D63C1D"/>
    <w:rsid w:val="32D700C1"/>
    <w:rsid w:val="32E20814"/>
    <w:rsid w:val="32E4458C"/>
    <w:rsid w:val="32EB1476"/>
    <w:rsid w:val="32EE71B8"/>
    <w:rsid w:val="32F75F53"/>
    <w:rsid w:val="330662B0"/>
    <w:rsid w:val="331210F9"/>
    <w:rsid w:val="332E1CAB"/>
    <w:rsid w:val="333015F2"/>
    <w:rsid w:val="3330332D"/>
    <w:rsid w:val="33323549"/>
    <w:rsid w:val="333A0650"/>
    <w:rsid w:val="33437504"/>
    <w:rsid w:val="334868C9"/>
    <w:rsid w:val="334B6320"/>
    <w:rsid w:val="33501C21"/>
    <w:rsid w:val="33541711"/>
    <w:rsid w:val="33582884"/>
    <w:rsid w:val="335C4122"/>
    <w:rsid w:val="335F1E64"/>
    <w:rsid w:val="336851BD"/>
    <w:rsid w:val="336B25B7"/>
    <w:rsid w:val="337376BE"/>
    <w:rsid w:val="33753436"/>
    <w:rsid w:val="337E7E8A"/>
    <w:rsid w:val="33833DA5"/>
    <w:rsid w:val="33843679"/>
    <w:rsid w:val="338F274A"/>
    <w:rsid w:val="33925D96"/>
    <w:rsid w:val="33A61841"/>
    <w:rsid w:val="33B10912"/>
    <w:rsid w:val="33C341A1"/>
    <w:rsid w:val="33CA3782"/>
    <w:rsid w:val="33D934D4"/>
    <w:rsid w:val="33EC194A"/>
    <w:rsid w:val="33FE167D"/>
    <w:rsid w:val="33FE2F6A"/>
    <w:rsid w:val="34060532"/>
    <w:rsid w:val="340A0022"/>
    <w:rsid w:val="340E07E5"/>
    <w:rsid w:val="34120C85"/>
    <w:rsid w:val="3417273F"/>
    <w:rsid w:val="34235BF7"/>
    <w:rsid w:val="34254E5C"/>
    <w:rsid w:val="342F7A89"/>
    <w:rsid w:val="343155AF"/>
    <w:rsid w:val="343926B5"/>
    <w:rsid w:val="343C3F54"/>
    <w:rsid w:val="343E7CCC"/>
    <w:rsid w:val="34453658"/>
    <w:rsid w:val="344E43B3"/>
    <w:rsid w:val="344F3C87"/>
    <w:rsid w:val="34533777"/>
    <w:rsid w:val="345B6AD0"/>
    <w:rsid w:val="34627E5E"/>
    <w:rsid w:val="347100A1"/>
    <w:rsid w:val="34732160"/>
    <w:rsid w:val="34761214"/>
    <w:rsid w:val="3491429F"/>
    <w:rsid w:val="349647EC"/>
    <w:rsid w:val="34967B08"/>
    <w:rsid w:val="34A83397"/>
    <w:rsid w:val="34A915E9"/>
    <w:rsid w:val="34BB131C"/>
    <w:rsid w:val="34DD1293"/>
    <w:rsid w:val="34EB1C02"/>
    <w:rsid w:val="34F12F90"/>
    <w:rsid w:val="34F8431E"/>
    <w:rsid w:val="34FC3E0F"/>
    <w:rsid w:val="3502519D"/>
    <w:rsid w:val="350B4052"/>
    <w:rsid w:val="351E2CD3"/>
    <w:rsid w:val="35215623"/>
    <w:rsid w:val="35223149"/>
    <w:rsid w:val="35284C04"/>
    <w:rsid w:val="35303AB8"/>
    <w:rsid w:val="35571045"/>
    <w:rsid w:val="355D23D3"/>
    <w:rsid w:val="355E0625"/>
    <w:rsid w:val="35814314"/>
    <w:rsid w:val="35843E04"/>
    <w:rsid w:val="35847960"/>
    <w:rsid w:val="358C5FA8"/>
    <w:rsid w:val="35A01AAF"/>
    <w:rsid w:val="35A65B28"/>
    <w:rsid w:val="35AD335B"/>
    <w:rsid w:val="35C15DF1"/>
    <w:rsid w:val="35C16E06"/>
    <w:rsid w:val="35C540FB"/>
    <w:rsid w:val="35D46B3A"/>
    <w:rsid w:val="35E30B2B"/>
    <w:rsid w:val="35E6686D"/>
    <w:rsid w:val="35E87EEF"/>
    <w:rsid w:val="35EF74CF"/>
    <w:rsid w:val="35F44AE6"/>
    <w:rsid w:val="35FA5E74"/>
    <w:rsid w:val="36017203"/>
    <w:rsid w:val="36074A7F"/>
    <w:rsid w:val="360C62D3"/>
    <w:rsid w:val="36201FC2"/>
    <w:rsid w:val="36341386"/>
    <w:rsid w:val="363B2715"/>
    <w:rsid w:val="363C023B"/>
    <w:rsid w:val="364C4922"/>
    <w:rsid w:val="364D2448"/>
    <w:rsid w:val="36511F38"/>
    <w:rsid w:val="36513CE6"/>
    <w:rsid w:val="366003CD"/>
    <w:rsid w:val="36687E67"/>
    <w:rsid w:val="368C37AC"/>
    <w:rsid w:val="36923549"/>
    <w:rsid w:val="36A06A1C"/>
    <w:rsid w:val="36A4475E"/>
    <w:rsid w:val="36A4650C"/>
    <w:rsid w:val="36B64491"/>
    <w:rsid w:val="36B75FBF"/>
    <w:rsid w:val="36BD0C45"/>
    <w:rsid w:val="36DB7A54"/>
    <w:rsid w:val="36EE3C2B"/>
    <w:rsid w:val="36EF34FF"/>
    <w:rsid w:val="36F82FBB"/>
    <w:rsid w:val="37081C58"/>
    <w:rsid w:val="370E607B"/>
    <w:rsid w:val="370F76FD"/>
    <w:rsid w:val="37113475"/>
    <w:rsid w:val="37166CDE"/>
    <w:rsid w:val="37215DAE"/>
    <w:rsid w:val="37272C99"/>
    <w:rsid w:val="372B09DB"/>
    <w:rsid w:val="373C4996"/>
    <w:rsid w:val="37503F9E"/>
    <w:rsid w:val="3757272A"/>
    <w:rsid w:val="37584478"/>
    <w:rsid w:val="375A06BB"/>
    <w:rsid w:val="376E08C8"/>
    <w:rsid w:val="378A3F83"/>
    <w:rsid w:val="37A147F9"/>
    <w:rsid w:val="37BA1D5F"/>
    <w:rsid w:val="37C30C14"/>
    <w:rsid w:val="37C36E66"/>
    <w:rsid w:val="37C404E8"/>
    <w:rsid w:val="37D20E57"/>
    <w:rsid w:val="37E00298"/>
    <w:rsid w:val="37F232A7"/>
    <w:rsid w:val="381F1BC2"/>
    <w:rsid w:val="3825367C"/>
    <w:rsid w:val="38270896"/>
    <w:rsid w:val="3834566E"/>
    <w:rsid w:val="383E029A"/>
    <w:rsid w:val="384E6C21"/>
    <w:rsid w:val="38602906"/>
    <w:rsid w:val="38763ED8"/>
    <w:rsid w:val="38883C0B"/>
    <w:rsid w:val="38A81BB8"/>
    <w:rsid w:val="38AF2F46"/>
    <w:rsid w:val="38B302F9"/>
    <w:rsid w:val="38B44A00"/>
    <w:rsid w:val="38B642D4"/>
    <w:rsid w:val="38B8629F"/>
    <w:rsid w:val="38B93DC5"/>
    <w:rsid w:val="38BD5663"/>
    <w:rsid w:val="38DE1A7D"/>
    <w:rsid w:val="38E7318A"/>
    <w:rsid w:val="38E86458"/>
    <w:rsid w:val="38E946AA"/>
    <w:rsid w:val="38F12CD3"/>
    <w:rsid w:val="38F17A02"/>
    <w:rsid w:val="38F60B75"/>
    <w:rsid w:val="38F94775"/>
    <w:rsid w:val="38FE5C7B"/>
    <w:rsid w:val="39050DB8"/>
    <w:rsid w:val="390E5EBF"/>
    <w:rsid w:val="39162FC5"/>
    <w:rsid w:val="39203E44"/>
    <w:rsid w:val="392971ED"/>
    <w:rsid w:val="392C4597"/>
    <w:rsid w:val="39325651"/>
    <w:rsid w:val="39455658"/>
    <w:rsid w:val="394A2C6F"/>
    <w:rsid w:val="394D72B7"/>
    <w:rsid w:val="39504729"/>
    <w:rsid w:val="3958538C"/>
    <w:rsid w:val="395C3887"/>
    <w:rsid w:val="395F671A"/>
    <w:rsid w:val="39677CC5"/>
    <w:rsid w:val="397A17A6"/>
    <w:rsid w:val="398D772B"/>
    <w:rsid w:val="399860D0"/>
    <w:rsid w:val="39A44A75"/>
    <w:rsid w:val="39B06F76"/>
    <w:rsid w:val="39E0016F"/>
    <w:rsid w:val="39FE23D7"/>
    <w:rsid w:val="39FE4185"/>
    <w:rsid w:val="3A0B0650"/>
    <w:rsid w:val="3A1C460B"/>
    <w:rsid w:val="3A1E4827"/>
    <w:rsid w:val="3A233BEC"/>
    <w:rsid w:val="3A23599A"/>
    <w:rsid w:val="3A26548A"/>
    <w:rsid w:val="3A282FB0"/>
    <w:rsid w:val="3A2A1071"/>
    <w:rsid w:val="3A361B71"/>
    <w:rsid w:val="3A60099C"/>
    <w:rsid w:val="3A6D4E67"/>
    <w:rsid w:val="3A6F350D"/>
    <w:rsid w:val="3A774841"/>
    <w:rsid w:val="3A810912"/>
    <w:rsid w:val="3A8328DC"/>
    <w:rsid w:val="3A872856"/>
    <w:rsid w:val="3A914FF9"/>
    <w:rsid w:val="3A940645"/>
    <w:rsid w:val="3AA15FB4"/>
    <w:rsid w:val="3AA60379"/>
    <w:rsid w:val="3AB111F7"/>
    <w:rsid w:val="3AB331C1"/>
    <w:rsid w:val="3AC058DE"/>
    <w:rsid w:val="3AC56A51"/>
    <w:rsid w:val="3ACC2540"/>
    <w:rsid w:val="3AD35612"/>
    <w:rsid w:val="3AD66EB0"/>
    <w:rsid w:val="3AE50EA1"/>
    <w:rsid w:val="3AEF7F72"/>
    <w:rsid w:val="3B131EB2"/>
    <w:rsid w:val="3B304812"/>
    <w:rsid w:val="3B3763D1"/>
    <w:rsid w:val="3B381919"/>
    <w:rsid w:val="3B40257B"/>
    <w:rsid w:val="3B4200A1"/>
    <w:rsid w:val="3B4E4C98"/>
    <w:rsid w:val="3B626996"/>
    <w:rsid w:val="3B6E0E96"/>
    <w:rsid w:val="3B750477"/>
    <w:rsid w:val="3B7A5B26"/>
    <w:rsid w:val="3B7B35B3"/>
    <w:rsid w:val="3B8701AA"/>
    <w:rsid w:val="3B8C3A12"/>
    <w:rsid w:val="3B9A612F"/>
    <w:rsid w:val="3B9E3900"/>
    <w:rsid w:val="3BBF5B96"/>
    <w:rsid w:val="3BC44F5A"/>
    <w:rsid w:val="3BC907C3"/>
    <w:rsid w:val="3BD80A06"/>
    <w:rsid w:val="3BDC04F6"/>
    <w:rsid w:val="3C025A83"/>
    <w:rsid w:val="3C265C15"/>
    <w:rsid w:val="3C277297"/>
    <w:rsid w:val="3C2B6D87"/>
    <w:rsid w:val="3C2D2B00"/>
    <w:rsid w:val="3C2F6E1E"/>
    <w:rsid w:val="3C335C3C"/>
    <w:rsid w:val="3C3A521C"/>
    <w:rsid w:val="3C461E13"/>
    <w:rsid w:val="3C4F64BA"/>
    <w:rsid w:val="3C4F6F1A"/>
    <w:rsid w:val="3C642299"/>
    <w:rsid w:val="3C6F3118"/>
    <w:rsid w:val="3C8B5A78"/>
    <w:rsid w:val="3C8C2A7B"/>
    <w:rsid w:val="3C9506A5"/>
    <w:rsid w:val="3CA134EE"/>
    <w:rsid w:val="3CAD1E92"/>
    <w:rsid w:val="3CB74ABF"/>
    <w:rsid w:val="3CB94393"/>
    <w:rsid w:val="3CBF5755"/>
    <w:rsid w:val="3CC571DC"/>
    <w:rsid w:val="3CCB2319"/>
    <w:rsid w:val="3CD236A7"/>
    <w:rsid w:val="3CD613E9"/>
    <w:rsid w:val="3CDA245A"/>
    <w:rsid w:val="3CDC0F86"/>
    <w:rsid w:val="3CE82ECA"/>
    <w:rsid w:val="3CED6733"/>
    <w:rsid w:val="3CF03B2D"/>
    <w:rsid w:val="3D0F0457"/>
    <w:rsid w:val="3D1912D6"/>
    <w:rsid w:val="3D1E06B7"/>
    <w:rsid w:val="3D22018A"/>
    <w:rsid w:val="3D2C725B"/>
    <w:rsid w:val="3D2F28A7"/>
    <w:rsid w:val="3D3B56F0"/>
    <w:rsid w:val="3D3E2AEA"/>
    <w:rsid w:val="3D4C5207"/>
    <w:rsid w:val="3D54230E"/>
    <w:rsid w:val="3D5642D8"/>
    <w:rsid w:val="3D583BAC"/>
    <w:rsid w:val="3D5B369C"/>
    <w:rsid w:val="3D622C7D"/>
    <w:rsid w:val="3D6F7148"/>
    <w:rsid w:val="3D711112"/>
    <w:rsid w:val="3D785FFC"/>
    <w:rsid w:val="3D8A3F82"/>
    <w:rsid w:val="3D8C7CFA"/>
    <w:rsid w:val="3DA54918"/>
    <w:rsid w:val="3DA908AC"/>
    <w:rsid w:val="3DAF5796"/>
    <w:rsid w:val="3DCB0822"/>
    <w:rsid w:val="3DD75419"/>
    <w:rsid w:val="3DDC2A2F"/>
    <w:rsid w:val="3DE2354A"/>
    <w:rsid w:val="3DE2791A"/>
    <w:rsid w:val="3DE43692"/>
    <w:rsid w:val="3DE73182"/>
    <w:rsid w:val="3DE9514C"/>
    <w:rsid w:val="3DF15DAF"/>
    <w:rsid w:val="3DF31B27"/>
    <w:rsid w:val="3DF8713D"/>
    <w:rsid w:val="3E015FF2"/>
    <w:rsid w:val="3E1F291C"/>
    <w:rsid w:val="3E2241BA"/>
    <w:rsid w:val="3E2F1C78"/>
    <w:rsid w:val="3E3A1504"/>
    <w:rsid w:val="3E4405D4"/>
    <w:rsid w:val="3E491747"/>
    <w:rsid w:val="3E4D7143"/>
    <w:rsid w:val="3E5325C6"/>
    <w:rsid w:val="3E66679D"/>
    <w:rsid w:val="3E703177"/>
    <w:rsid w:val="3E8B1D5F"/>
    <w:rsid w:val="3E8B74CC"/>
    <w:rsid w:val="3E921340"/>
    <w:rsid w:val="3EA177D5"/>
    <w:rsid w:val="3EA6303D"/>
    <w:rsid w:val="3EA66B99"/>
    <w:rsid w:val="3EA82911"/>
    <w:rsid w:val="3EC139D3"/>
    <w:rsid w:val="3EC86B10"/>
    <w:rsid w:val="3ECD4126"/>
    <w:rsid w:val="3EDA0523"/>
    <w:rsid w:val="3EE15E23"/>
    <w:rsid w:val="3EE576C2"/>
    <w:rsid w:val="3EE85404"/>
    <w:rsid w:val="3EFF3AEB"/>
    <w:rsid w:val="3F0A35CC"/>
    <w:rsid w:val="3F0B2EA0"/>
    <w:rsid w:val="3F2226C4"/>
    <w:rsid w:val="3F2301EA"/>
    <w:rsid w:val="3F2F3033"/>
    <w:rsid w:val="3F3B3E38"/>
    <w:rsid w:val="3F424B14"/>
    <w:rsid w:val="3F43263A"/>
    <w:rsid w:val="3F505FCA"/>
    <w:rsid w:val="3F6251B6"/>
    <w:rsid w:val="3F7647BE"/>
    <w:rsid w:val="3F7942AE"/>
    <w:rsid w:val="3F827606"/>
    <w:rsid w:val="3F84512C"/>
    <w:rsid w:val="3F9133A5"/>
    <w:rsid w:val="3F982986"/>
    <w:rsid w:val="3F9A4950"/>
    <w:rsid w:val="3F9D61EE"/>
    <w:rsid w:val="3FA96941"/>
    <w:rsid w:val="3FB3156E"/>
    <w:rsid w:val="3FCC262F"/>
    <w:rsid w:val="3FDB6D16"/>
    <w:rsid w:val="3FE060DB"/>
    <w:rsid w:val="4001677D"/>
    <w:rsid w:val="4004001B"/>
    <w:rsid w:val="400D3374"/>
    <w:rsid w:val="4025404D"/>
    <w:rsid w:val="40275AB8"/>
    <w:rsid w:val="402A599F"/>
    <w:rsid w:val="402B55A8"/>
    <w:rsid w:val="402C30CE"/>
    <w:rsid w:val="403501D5"/>
    <w:rsid w:val="4041301D"/>
    <w:rsid w:val="40477F08"/>
    <w:rsid w:val="404843AC"/>
    <w:rsid w:val="40672358"/>
    <w:rsid w:val="407A6407"/>
    <w:rsid w:val="40826DB1"/>
    <w:rsid w:val="409018AF"/>
    <w:rsid w:val="40AF442B"/>
    <w:rsid w:val="40B04727"/>
    <w:rsid w:val="40B05AAD"/>
    <w:rsid w:val="40B41A41"/>
    <w:rsid w:val="40C477AB"/>
    <w:rsid w:val="40CB1D5D"/>
    <w:rsid w:val="40CD48B1"/>
    <w:rsid w:val="40D17775"/>
    <w:rsid w:val="40E67721"/>
    <w:rsid w:val="40EB11DB"/>
    <w:rsid w:val="40F956A6"/>
    <w:rsid w:val="41035E8D"/>
    <w:rsid w:val="41362456"/>
    <w:rsid w:val="41405083"/>
    <w:rsid w:val="414F176A"/>
    <w:rsid w:val="4177481D"/>
    <w:rsid w:val="417D3AB0"/>
    <w:rsid w:val="417E7959"/>
    <w:rsid w:val="4181579E"/>
    <w:rsid w:val="41986C6D"/>
    <w:rsid w:val="41A35612"/>
    <w:rsid w:val="41AC2719"/>
    <w:rsid w:val="41BE1E6A"/>
    <w:rsid w:val="41C95079"/>
    <w:rsid w:val="41CC6917"/>
    <w:rsid w:val="41D91034"/>
    <w:rsid w:val="41DD0B24"/>
    <w:rsid w:val="41DD13BD"/>
    <w:rsid w:val="41E9571B"/>
    <w:rsid w:val="4200449D"/>
    <w:rsid w:val="42236553"/>
    <w:rsid w:val="423050F8"/>
    <w:rsid w:val="42336996"/>
    <w:rsid w:val="423A3BCC"/>
    <w:rsid w:val="423A5F76"/>
    <w:rsid w:val="42426BD9"/>
    <w:rsid w:val="4249440B"/>
    <w:rsid w:val="424E57D2"/>
    <w:rsid w:val="42576B28"/>
    <w:rsid w:val="425828A0"/>
    <w:rsid w:val="425A2175"/>
    <w:rsid w:val="42733236"/>
    <w:rsid w:val="427D1FB4"/>
    <w:rsid w:val="427E6FE6"/>
    <w:rsid w:val="427F7E2D"/>
    <w:rsid w:val="42890CAC"/>
    <w:rsid w:val="42AB29D0"/>
    <w:rsid w:val="42B26C49"/>
    <w:rsid w:val="42B37AD7"/>
    <w:rsid w:val="42CB4E20"/>
    <w:rsid w:val="42CF15C4"/>
    <w:rsid w:val="42E14644"/>
    <w:rsid w:val="42E80B4B"/>
    <w:rsid w:val="42F04887"/>
    <w:rsid w:val="432033BE"/>
    <w:rsid w:val="432509D4"/>
    <w:rsid w:val="4326474D"/>
    <w:rsid w:val="4337061D"/>
    <w:rsid w:val="433A6FE6"/>
    <w:rsid w:val="433C7ACC"/>
    <w:rsid w:val="43480868"/>
    <w:rsid w:val="4350713C"/>
    <w:rsid w:val="43614853"/>
    <w:rsid w:val="436653E0"/>
    <w:rsid w:val="436A4639"/>
    <w:rsid w:val="436E6F23"/>
    <w:rsid w:val="43813731"/>
    <w:rsid w:val="43853221"/>
    <w:rsid w:val="438576C5"/>
    <w:rsid w:val="43A35D9D"/>
    <w:rsid w:val="43A713E9"/>
    <w:rsid w:val="43AC4C52"/>
    <w:rsid w:val="43AF029E"/>
    <w:rsid w:val="43BC29BB"/>
    <w:rsid w:val="43C024AB"/>
    <w:rsid w:val="43C4431A"/>
    <w:rsid w:val="43CD4BC8"/>
    <w:rsid w:val="43E3619A"/>
    <w:rsid w:val="43E53CC0"/>
    <w:rsid w:val="43F263DD"/>
    <w:rsid w:val="43F403A7"/>
    <w:rsid w:val="43FD725B"/>
    <w:rsid w:val="44110F59"/>
    <w:rsid w:val="441B3B85"/>
    <w:rsid w:val="442A3DC9"/>
    <w:rsid w:val="44456E86"/>
    <w:rsid w:val="445552E9"/>
    <w:rsid w:val="445A46AE"/>
    <w:rsid w:val="44670B79"/>
    <w:rsid w:val="4484797D"/>
    <w:rsid w:val="448B0D0B"/>
    <w:rsid w:val="44906321"/>
    <w:rsid w:val="44B71B00"/>
    <w:rsid w:val="44B951CC"/>
    <w:rsid w:val="44BC0EC5"/>
    <w:rsid w:val="44BE2E8F"/>
    <w:rsid w:val="44C164DB"/>
    <w:rsid w:val="44C935E1"/>
    <w:rsid w:val="44CD14E0"/>
    <w:rsid w:val="44D8518B"/>
    <w:rsid w:val="44E65F41"/>
    <w:rsid w:val="44EB3558"/>
    <w:rsid w:val="44F20B0B"/>
    <w:rsid w:val="44F52628"/>
    <w:rsid w:val="44F763A1"/>
    <w:rsid w:val="44FF0DB1"/>
    <w:rsid w:val="45242262"/>
    <w:rsid w:val="45280308"/>
    <w:rsid w:val="452B604A"/>
    <w:rsid w:val="452E5F4C"/>
    <w:rsid w:val="453A628D"/>
    <w:rsid w:val="453C0257"/>
    <w:rsid w:val="454D612E"/>
    <w:rsid w:val="455A06DD"/>
    <w:rsid w:val="455A248C"/>
    <w:rsid w:val="455F497A"/>
    <w:rsid w:val="45612018"/>
    <w:rsid w:val="4565155C"/>
    <w:rsid w:val="456C2177"/>
    <w:rsid w:val="456D0411"/>
    <w:rsid w:val="4574179F"/>
    <w:rsid w:val="4582210E"/>
    <w:rsid w:val="458946E9"/>
    <w:rsid w:val="4597723C"/>
    <w:rsid w:val="45A47C0E"/>
    <w:rsid w:val="45B47DEE"/>
    <w:rsid w:val="45C06792"/>
    <w:rsid w:val="45CD0EAF"/>
    <w:rsid w:val="45E16709"/>
    <w:rsid w:val="45ED3300"/>
    <w:rsid w:val="460A3EB2"/>
    <w:rsid w:val="46152F37"/>
    <w:rsid w:val="461865CE"/>
    <w:rsid w:val="46205483"/>
    <w:rsid w:val="4622744D"/>
    <w:rsid w:val="46252A99"/>
    <w:rsid w:val="4631143E"/>
    <w:rsid w:val="46317690"/>
    <w:rsid w:val="463E3B5B"/>
    <w:rsid w:val="46454EEA"/>
    <w:rsid w:val="46577FD6"/>
    <w:rsid w:val="465E0ACC"/>
    <w:rsid w:val="466435C2"/>
    <w:rsid w:val="46770FD6"/>
    <w:rsid w:val="46787D24"/>
    <w:rsid w:val="46805F22"/>
    <w:rsid w:val="468B4FF2"/>
    <w:rsid w:val="468F5AFD"/>
    <w:rsid w:val="4694372B"/>
    <w:rsid w:val="46965745"/>
    <w:rsid w:val="469F284C"/>
    <w:rsid w:val="46A33E1C"/>
    <w:rsid w:val="46A56407"/>
    <w:rsid w:val="46B502C1"/>
    <w:rsid w:val="46C2653A"/>
    <w:rsid w:val="46C91677"/>
    <w:rsid w:val="46CB53EF"/>
    <w:rsid w:val="46CE4EDF"/>
    <w:rsid w:val="46D63D94"/>
    <w:rsid w:val="46D955A7"/>
    <w:rsid w:val="46E44703"/>
    <w:rsid w:val="46E75FA1"/>
    <w:rsid w:val="46ED1809"/>
    <w:rsid w:val="47133957"/>
    <w:rsid w:val="471C20EE"/>
    <w:rsid w:val="471C3E9C"/>
    <w:rsid w:val="47226FD9"/>
    <w:rsid w:val="47262F6D"/>
    <w:rsid w:val="47637D1D"/>
    <w:rsid w:val="4780267D"/>
    <w:rsid w:val="479954ED"/>
    <w:rsid w:val="47A07E0C"/>
    <w:rsid w:val="47A10846"/>
    <w:rsid w:val="47B57E4D"/>
    <w:rsid w:val="47B9793D"/>
    <w:rsid w:val="47C167F2"/>
    <w:rsid w:val="47CA1B4A"/>
    <w:rsid w:val="47D46525"/>
    <w:rsid w:val="47E04ECA"/>
    <w:rsid w:val="47E10C42"/>
    <w:rsid w:val="47ED3A8B"/>
    <w:rsid w:val="47ED5839"/>
    <w:rsid w:val="47F15329"/>
    <w:rsid w:val="47F838C9"/>
    <w:rsid w:val="47FB1D04"/>
    <w:rsid w:val="48030BB8"/>
    <w:rsid w:val="481E1E96"/>
    <w:rsid w:val="48256D81"/>
    <w:rsid w:val="482C010F"/>
    <w:rsid w:val="48382F58"/>
    <w:rsid w:val="48455675"/>
    <w:rsid w:val="48594C7C"/>
    <w:rsid w:val="48693111"/>
    <w:rsid w:val="4870272E"/>
    <w:rsid w:val="4880045B"/>
    <w:rsid w:val="488B752C"/>
    <w:rsid w:val="48AB7349"/>
    <w:rsid w:val="48B13B07"/>
    <w:rsid w:val="48C4659A"/>
    <w:rsid w:val="48CC544E"/>
    <w:rsid w:val="48D367DD"/>
    <w:rsid w:val="48DF1625"/>
    <w:rsid w:val="48EF4315"/>
    <w:rsid w:val="48FF5824"/>
    <w:rsid w:val="491237A9"/>
    <w:rsid w:val="491D5CAA"/>
    <w:rsid w:val="491F1F08"/>
    <w:rsid w:val="49303C2F"/>
    <w:rsid w:val="49343EF0"/>
    <w:rsid w:val="493F3E72"/>
    <w:rsid w:val="4948770F"/>
    <w:rsid w:val="49641B2B"/>
    <w:rsid w:val="497004D0"/>
    <w:rsid w:val="497A134E"/>
    <w:rsid w:val="49815EF7"/>
    <w:rsid w:val="49A87BD0"/>
    <w:rsid w:val="49B4660E"/>
    <w:rsid w:val="49BC54C3"/>
    <w:rsid w:val="49BE123B"/>
    <w:rsid w:val="49C64593"/>
    <w:rsid w:val="49D56585"/>
    <w:rsid w:val="49DC7715"/>
    <w:rsid w:val="49DE7B2F"/>
    <w:rsid w:val="49E52C6C"/>
    <w:rsid w:val="49E62540"/>
    <w:rsid w:val="49F11610"/>
    <w:rsid w:val="4A01737A"/>
    <w:rsid w:val="4A023139"/>
    <w:rsid w:val="4A235542"/>
    <w:rsid w:val="4A282B58"/>
    <w:rsid w:val="4A2C2648"/>
    <w:rsid w:val="4A2F2139"/>
    <w:rsid w:val="4A370FED"/>
    <w:rsid w:val="4A3C6914"/>
    <w:rsid w:val="4A49144C"/>
    <w:rsid w:val="4A4E6A63"/>
    <w:rsid w:val="4A4F6337"/>
    <w:rsid w:val="4A525E27"/>
    <w:rsid w:val="4A5B4CDC"/>
    <w:rsid w:val="4A743FEF"/>
    <w:rsid w:val="4A7B576F"/>
    <w:rsid w:val="4A7D2EA4"/>
    <w:rsid w:val="4A800BE6"/>
    <w:rsid w:val="4A857FAB"/>
    <w:rsid w:val="4A963F66"/>
    <w:rsid w:val="4A9D70A2"/>
    <w:rsid w:val="4AA76173"/>
    <w:rsid w:val="4AB60164"/>
    <w:rsid w:val="4ABB1C1E"/>
    <w:rsid w:val="4ACC3E2B"/>
    <w:rsid w:val="4AD131F0"/>
    <w:rsid w:val="4AE46ED4"/>
    <w:rsid w:val="4AEC002A"/>
    <w:rsid w:val="4AF13892"/>
    <w:rsid w:val="4AF313B8"/>
    <w:rsid w:val="4AF561A9"/>
    <w:rsid w:val="4AFD5D93"/>
    <w:rsid w:val="4AFF1B0B"/>
    <w:rsid w:val="4B013AD5"/>
    <w:rsid w:val="4B0E7FA0"/>
    <w:rsid w:val="4B105AC6"/>
    <w:rsid w:val="4B1732F9"/>
    <w:rsid w:val="4B18077C"/>
    <w:rsid w:val="4B182BCD"/>
    <w:rsid w:val="4B241572"/>
    <w:rsid w:val="4B2652EA"/>
    <w:rsid w:val="4B3D0885"/>
    <w:rsid w:val="4B490FD8"/>
    <w:rsid w:val="4B5A31E5"/>
    <w:rsid w:val="4B756271"/>
    <w:rsid w:val="4B7C315C"/>
    <w:rsid w:val="4B8464B4"/>
    <w:rsid w:val="4B863FDA"/>
    <w:rsid w:val="4B895879"/>
    <w:rsid w:val="4B8B3C42"/>
    <w:rsid w:val="4B8D7117"/>
    <w:rsid w:val="4B92472D"/>
    <w:rsid w:val="4B985ABC"/>
    <w:rsid w:val="4B9E7576"/>
    <w:rsid w:val="4BA821A3"/>
    <w:rsid w:val="4BA95F1B"/>
    <w:rsid w:val="4BB74194"/>
    <w:rsid w:val="4BBF74EC"/>
    <w:rsid w:val="4BD16BB3"/>
    <w:rsid w:val="4BDE5BC4"/>
    <w:rsid w:val="4BDF36EB"/>
    <w:rsid w:val="4BE56F53"/>
    <w:rsid w:val="4BE64A79"/>
    <w:rsid w:val="4BEA27BB"/>
    <w:rsid w:val="4BED5E07"/>
    <w:rsid w:val="4BF52F0E"/>
    <w:rsid w:val="4BF70A34"/>
    <w:rsid w:val="4BFA22D2"/>
    <w:rsid w:val="4C1B2975"/>
    <w:rsid w:val="4C1C66ED"/>
    <w:rsid w:val="4C2D252F"/>
    <w:rsid w:val="4C3A6B73"/>
    <w:rsid w:val="4C4A0649"/>
    <w:rsid w:val="4C4B0D80"/>
    <w:rsid w:val="4C6D0CF6"/>
    <w:rsid w:val="4C735A0D"/>
    <w:rsid w:val="4C79769B"/>
    <w:rsid w:val="4C7E5ECA"/>
    <w:rsid w:val="4C8147A2"/>
    <w:rsid w:val="4C876AA5"/>
    <w:rsid w:val="4C8F3363"/>
    <w:rsid w:val="4CAF7561"/>
    <w:rsid w:val="4CBB4158"/>
    <w:rsid w:val="4CCA7EF7"/>
    <w:rsid w:val="4CD11285"/>
    <w:rsid w:val="4CD32435"/>
    <w:rsid w:val="4CE4720A"/>
    <w:rsid w:val="4CE865CF"/>
    <w:rsid w:val="4CF73556"/>
    <w:rsid w:val="4CF87F48"/>
    <w:rsid w:val="4CFD02CC"/>
    <w:rsid w:val="4D0C39E9"/>
    <w:rsid w:val="4D0C6761"/>
    <w:rsid w:val="4D0E00FB"/>
    <w:rsid w:val="4D176606"/>
    <w:rsid w:val="4D185106"/>
    <w:rsid w:val="4D21045F"/>
    <w:rsid w:val="4D2A07B6"/>
    <w:rsid w:val="4D2C6E03"/>
    <w:rsid w:val="4D3006A2"/>
    <w:rsid w:val="4D3857A8"/>
    <w:rsid w:val="4D447CA9"/>
    <w:rsid w:val="4D5A127B"/>
    <w:rsid w:val="4D6C7200"/>
    <w:rsid w:val="4D875DE8"/>
    <w:rsid w:val="4D8B58D8"/>
    <w:rsid w:val="4D8B6D49"/>
    <w:rsid w:val="4D8C33FE"/>
    <w:rsid w:val="4D9329DF"/>
    <w:rsid w:val="4D9724CF"/>
    <w:rsid w:val="4DA22C22"/>
    <w:rsid w:val="4DA93FB0"/>
    <w:rsid w:val="4DBC0187"/>
    <w:rsid w:val="4DBC1F35"/>
    <w:rsid w:val="4DD3727F"/>
    <w:rsid w:val="4DEC4FB0"/>
    <w:rsid w:val="4DEF40B9"/>
    <w:rsid w:val="4DFF1193"/>
    <w:rsid w:val="4E075D8A"/>
    <w:rsid w:val="4E08517B"/>
    <w:rsid w:val="4E0B6A19"/>
    <w:rsid w:val="4E173610"/>
    <w:rsid w:val="4E241889"/>
    <w:rsid w:val="4E395334"/>
    <w:rsid w:val="4E54216E"/>
    <w:rsid w:val="4E577EB0"/>
    <w:rsid w:val="4E720846"/>
    <w:rsid w:val="4E8011B5"/>
    <w:rsid w:val="4E854A1D"/>
    <w:rsid w:val="4E8B1908"/>
    <w:rsid w:val="4E980DB4"/>
    <w:rsid w:val="4E992277"/>
    <w:rsid w:val="4EA07161"/>
    <w:rsid w:val="4EA2112B"/>
    <w:rsid w:val="4EC00FAD"/>
    <w:rsid w:val="4EC866B8"/>
    <w:rsid w:val="4ED67027"/>
    <w:rsid w:val="4ED908C5"/>
    <w:rsid w:val="4EE74D90"/>
    <w:rsid w:val="4EEF00E8"/>
    <w:rsid w:val="4EFC475B"/>
    <w:rsid w:val="4F0771E0"/>
    <w:rsid w:val="4F1D6A04"/>
    <w:rsid w:val="4F1F09CE"/>
    <w:rsid w:val="4F204746"/>
    <w:rsid w:val="4F244236"/>
    <w:rsid w:val="4F2A7373"/>
    <w:rsid w:val="4F2F6737"/>
    <w:rsid w:val="4F3A75B6"/>
    <w:rsid w:val="4F3D0E54"/>
    <w:rsid w:val="4F4641AC"/>
    <w:rsid w:val="4F487DE6"/>
    <w:rsid w:val="4F4B17C3"/>
    <w:rsid w:val="4F7A5C04"/>
    <w:rsid w:val="4F8B6063"/>
    <w:rsid w:val="4F9843DC"/>
    <w:rsid w:val="4FA2515B"/>
    <w:rsid w:val="4FAC7D88"/>
    <w:rsid w:val="4FBC446F"/>
    <w:rsid w:val="4FC62A8C"/>
    <w:rsid w:val="4FCE5F50"/>
    <w:rsid w:val="4FDB4616"/>
    <w:rsid w:val="4FE20F0D"/>
    <w:rsid w:val="4FE51552"/>
    <w:rsid w:val="4FE90FDC"/>
    <w:rsid w:val="4FEB6B02"/>
    <w:rsid w:val="50055E16"/>
    <w:rsid w:val="500B2D00"/>
    <w:rsid w:val="50106568"/>
    <w:rsid w:val="501F67AB"/>
    <w:rsid w:val="50243DC2"/>
    <w:rsid w:val="502618E8"/>
    <w:rsid w:val="50290180"/>
    <w:rsid w:val="50504C4B"/>
    <w:rsid w:val="506643DA"/>
    <w:rsid w:val="50680152"/>
    <w:rsid w:val="50707007"/>
    <w:rsid w:val="507B7E86"/>
    <w:rsid w:val="50874A7C"/>
    <w:rsid w:val="508F1B83"/>
    <w:rsid w:val="509C6E7C"/>
    <w:rsid w:val="50CA6717"/>
    <w:rsid w:val="50D2381E"/>
    <w:rsid w:val="50D77086"/>
    <w:rsid w:val="50E53551"/>
    <w:rsid w:val="50F9524E"/>
    <w:rsid w:val="510734C7"/>
    <w:rsid w:val="510F1C3C"/>
    <w:rsid w:val="51272EB1"/>
    <w:rsid w:val="51312C3A"/>
    <w:rsid w:val="51363DAD"/>
    <w:rsid w:val="513F5357"/>
    <w:rsid w:val="51404C2B"/>
    <w:rsid w:val="5162104E"/>
    <w:rsid w:val="5167040A"/>
    <w:rsid w:val="5167665C"/>
    <w:rsid w:val="516F72BF"/>
    <w:rsid w:val="51764AF1"/>
    <w:rsid w:val="517B2107"/>
    <w:rsid w:val="5180327A"/>
    <w:rsid w:val="51905BB3"/>
    <w:rsid w:val="519F5DF6"/>
    <w:rsid w:val="51A27694"/>
    <w:rsid w:val="51AB479B"/>
    <w:rsid w:val="51B11685"/>
    <w:rsid w:val="51B80C66"/>
    <w:rsid w:val="51BA678C"/>
    <w:rsid w:val="51BD44CE"/>
    <w:rsid w:val="51C25640"/>
    <w:rsid w:val="51C4760A"/>
    <w:rsid w:val="51D75590"/>
    <w:rsid w:val="51DA0BDC"/>
    <w:rsid w:val="51DE0AB0"/>
    <w:rsid w:val="51E657D3"/>
    <w:rsid w:val="51ED4DB3"/>
    <w:rsid w:val="52005794"/>
    <w:rsid w:val="520B348B"/>
    <w:rsid w:val="52157E66"/>
    <w:rsid w:val="5217598C"/>
    <w:rsid w:val="523302EC"/>
    <w:rsid w:val="52377DDC"/>
    <w:rsid w:val="52500E9E"/>
    <w:rsid w:val="52546BE0"/>
    <w:rsid w:val="525564B4"/>
    <w:rsid w:val="5278367D"/>
    <w:rsid w:val="528172AA"/>
    <w:rsid w:val="52976ACD"/>
    <w:rsid w:val="529A3CEF"/>
    <w:rsid w:val="52B15DE1"/>
    <w:rsid w:val="52C04276"/>
    <w:rsid w:val="52C11A6B"/>
    <w:rsid w:val="52C5363A"/>
    <w:rsid w:val="52C673B2"/>
    <w:rsid w:val="52E2243E"/>
    <w:rsid w:val="52F45CCD"/>
    <w:rsid w:val="52F83A10"/>
    <w:rsid w:val="52F91536"/>
    <w:rsid w:val="52FC2DD4"/>
    <w:rsid w:val="52FE08FA"/>
    <w:rsid w:val="53004672"/>
    <w:rsid w:val="53057EDB"/>
    <w:rsid w:val="53080462"/>
    <w:rsid w:val="5313095F"/>
    <w:rsid w:val="531B14AC"/>
    <w:rsid w:val="5333072D"/>
    <w:rsid w:val="534C5B09"/>
    <w:rsid w:val="53530C46"/>
    <w:rsid w:val="536015B5"/>
    <w:rsid w:val="53656BCB"/>
    <w:rsid w:val="536C1D08"/>
    <w:rsid w:val="53837051"/>
    <w:rsid w:val="53986FA1"/>
    <w:rsid w:val="53A039CC"/>
    <w:rsid w:val="53A1505A"/>
    <w:rsid w:val="53AE2320"/>
    <w:rsid w:val="53DD2C05"/>
    <w:rsid w:val="53E144A4"/>
    <w:rsid w:val="53E775E0"/>
    <w:rsid w:val="53F341D7"/>
    <w:rsid w:val="53F8359B"/>
    <w:rsid w:val="54063E08"/>
    <w:rsid w:val="540E7263"/>
    <w:rsid w:val="54106A08"/>
    <w:rsid w:val="543437E8"/>
    <w:rsid w:val="543F11CA"/>
    <w:rsid w:val="544607AB"/>
    <w:rsid w:val="54501629"/>
    <w:rsid w:val="54505185"/>
    <w:rsid w:val="54556C40"/>
    <w:rsid w:val="545E3D46"/>
    <w:rsid w:val="54644E91"/>
    <w:rsid w:val="547660BF"/>
    <w:rsid w:val="54901A26"/>
    <w:rsid w:val="54952FF8"/>
    <w:rsid w:val="549E2E65"/>
    <w:rsid w:val="54C167FA"/>
    <w:rsid w:val="54EB3100"/>
    <w:rsid w:val="54F621D1"/>
    <w:rsid w:val="54F73313"/>
    <w:rsid w:val="54F80955"/>
    <w:rsid w:val="54FB1595"/>
    <w:rsid w:val="54FC70BB"/>
    <w:rsid w:val="55344AA7"/>
    <w:rsid w:val="553920BD"/>
    <w:rsid w:val="553E2BC7"/>
    <w:rsid w:val="553E2C9F"/>
    <w:rsid w:val="554A6079"/>
    <w:rsid w:val="555170A7"/>
    <w:rsid w:val="55517407"/>
    <w:rsid w:val="55717AA9"/>
    <w:rsid w:val="557355CF"/>
    <w:rsid w:val="5587536D"/>
    <w:rsid w:val="55886BA1"/>
    <w:rsid w:val="558A46C7"/>
    <w:rsid w:val="559519EA"/>
    <w:rsid w:val="559B174B"/>
    <w:rsid w:val="559E0172"/>
    <w:rsid w:val="55C93441"/>
    <w:rsid w:val="55CE0CF4"/>
    <w:rsid w:val="55CE2806"/>
    <w:rsid w:val="55DD6EED"/>
    <w:rsid w:val="55E95892"/>
    <w:rsid w:val="55F14746"/>
    <w:rsid w:val="55F52488"/>
    <w:rsid w:val="5604091D"/>
    <w:rsid w:val="561F12B3"/>
    <w:rsid w:val="5627460C"/>
    <w:rsid w:val="562B7C58"/>
    <w:rsid w:val="56327239"/>
    <w:rsid w:val="56496330"/>
    <w:rsid w:val="564C7BCE"/>
    <w:rsid w:val="56551179"/>
    <w:rsid w:val="566118CC"/>
    <w:rsid w:val="56633896"/>
    <w:rsid w:val="567A0BDF"/>
    <w:rsid w:val="567C04B4"/>
    <w:rsid w:val="568B06F7"/>
    <w:rsid w:val="569021B1"/>
    <w:rsid w:val="56927CD7"/>
    <w:rsid w:val="56981066"/>
    <w:rsid w:val="56B22A9C"/>
    <w:rsid w:val="56D227CA"/>
    <w:rsid w:val="56D51B57"/>
    <w:rsid w:val="56F049FE"/>
    <w:rsid w:val="56F664B8"/>
    <w:rsid w:val="571701DC"/>
    <w:rsid w:val="571B4873"/>
    <w:rsid w:val="571C3A45"/>
    <w:rsid w:val="571C75AD"/>
    <w:rsid w:val="571E5A0F"/>
    <w:rsid w:val="57234DD3"/>
    <w:rsid w:val="57323268"/>
    <w:rsid w:val="574216FD"/>
    <w:rsid w:val="574C257C"/>
    <w:rsid w:val="575150B1"/>
    <w:rsid w:val="57566F57"/>
    <w:rsid w:val="5778511F"/>
    <w:rsid w:val="577861BC"/>
    <w:rsid w:val="5789732C"/>
    <w:rsid w:val="57917F8F"/>
    <w:rsid w:val="57A9177C"/>
    <w:rsid w:val="57B10631"/>
    <w:rsid w:val="57B72A76"/>
    <w:rsid w:val="57B91294"/>
    <w:rsid w:val="57B95737"/>
    <w:rsid w:val="57C3426C"/>
    <w:rsid w:val="57CA524F"/>
    <w:rsid w:val="57CD1FA4"/>
    <w:rsid w:val="57CE1F93"/>
    <w:rsid w:val="57D33473"/>
    <w:rsid w:val="57E00F16"/>
    <w:rsid w:val="57EA769F"/>
    <w:rsid w:val="57F95B34"/>
    <w:rsid w:val="5818420C"/>
    <w:rsid w:val="58207565"/>
    <w:rsid w:val="582B03E3"/>
    <w:rsid w:val="584E5E80"/>
    <w:rsid w:val="58580AAD"/>
    <w:rsid w:val="585A4825"/>
    <w:rsid w:val="58675193"/>
    <w:rsid w:val="58845D45"/>
    <w:rsid w:val="588743D1"/>
    <w:rsid w:val="5887701A"/>
    <w:rsid w:val="58937D37"/>
    <w:rsid w:val="589F0489"/>
    <w:rsid w:val="58AE691E"/>
    <w:rsid w:val="58B32187"/>
    <w:rsid w:val="58E10AA2"/>
    <w:rsid w:val="58FC1D80"/>
    <w:rsid w:val="590370D7"/>
    <w:rsid w:val="591A2206"/>
    <w:rsid w:val="591E1CF6"/>
    <w:rsid w:val="59215342"/>
    <w:rsid w:val="59266DFD"/>
    <w:rsid w:val="593257A1"/>
    <w:rsid w:val="594352B9"/>
    <w:rsid w:val="5955323E"/>
    <w:rsid w:val="59575007"/>
    <w:rsid w:val="595C45CC"/>
    <w:rsid w:val="596516D3"/>
    <w:rsid w:val="59682F71"/>
    <w:rsid w:val="596A4F3B"/>
    <w:rsid w:val="596F60AE"/>
    <w:rsid w:val="59725B9E"/>
    <w:rsid w:val="59747B68"/>
    <w:rsid w:val="597933D0"/>
    <w:rsid w:val="5979517E"/>
    <w:rsid w:val="597C532E"/>
    <w:rsid w:val="59973856"/>
    <w:rsid w:val="59981AA8"/>
    <w:rsid w:val="59AA17DC"/>
    <w:rsid w:val="59BB12F3"/>
    <w:rsid w:val="59BE7035"/>
    <w:rsid w:val="59C0439F"/>
    <w:rsid w:val="59DE1485"/>
    <w:rsid w:val="59F44805"/>
    <w:rsid w:val="59F6057D"/>
    <w:rsid w:val="59FE24C2"/>
    <w:rsid w:val="59FE7432"/>
    <w:rsid w:val="5A0529AB"/>
    <w:rsid w:val="5A0E3B19"/>
    <w:rsid w:val="5A22669B"/>
    <w:rsid w:val="5A250E62"/>
    <w:rsid w:val="5A2C21F1"/>
    <w:rsid w:val="5A355549"/>
    <w:rsid w:val="5A380B96"/>
    <w:rsid w:val="5A386DE8"/>
    <w:rsid w:val="5A3A490E"/>
    <w:rsid w:val="5A3B0686"/>
    <w:rsid w:val="5A3B68D8"/>
    <w:rsid w:val="5A4237C2"/>
    <w:rsid w:val="5AA601F5"/>
    <w:rsid w:val="5ABE2233"/>
    <w:rsid w:val="5ABF4E13"/>
    <w:rsid w:val="5AC54B46"/>
    <w:rsid w:val="5AC8016B"/>
    <w:rsid w:val="5ADA39FB"/>
    <w:rsid w:val="5AF820D3"/>
    <w:rsid w:val="5AFD593B"/>
    <w:rsid w:val="5B01542B"/>
    <w:rsid w:val="5B0867BA"/>
    <w:rsid w:val="5B13515F"/>
    <w:rsid w:val="5B172EA1"/>
    <w:rsid w:val="5B182E42"/>
    <w:rsid w:val="5B323837"/>
    <w:rsid w:val="5B3C6463"/>
    <w:rsid w:val="5B417F1E"/>
    <w:rsid w:val="5B465534"/>
    <w:rsid w:val="5B4F263B"/>
    <w:rsid w:val="5B525C87"/>
    <w:rsid w:val="5B57329D"/>
    <w:rsid w:val="5B5A4B3C"/>
    <w:rsid w:val="5B765E19"/>
    <w:rsid w:val="5B7C0F56"/>
    <w:rsid w:val="5B7C2D04"/>
    <w:rsid w:val="5B8147BE"/>
    <w:rsid w:val="5B8F2A37"/>
    <w:rsid w:val="5B94004E"/>
    <w:rsid w:val="5B975D90"/>
    <w:rsid w:val="5B9F584D"/>
    <w:rsid w:val="5BB57FC4"/>
    <w:rsid w:val="5BBB382C"/>
    <w:rsid w:val="5BBE50CA"/>
    <w:rsid w:val="5BC14BBB"/>
    <w:rsid w:val="5BDF5D95"/>
    <w:rsid w:val="5BEC1C38"/>
    <w:rsid w:val="5BEC60DC"/>
    <w:rsid w:val="5BED775E"/>
    <w:rsid w:val="5BF603EF"/>
    <w:rsid w:val="5BF62AB6"/>
    <w:rsid w:val="5BF94355"/>
    <w:rsid w:val="5BFB1170"/>
    <w:rsid w:val="5BFE7528"/>
    <w:rsid w:val="5C18569C"/>
    <w:rsid w:val="5C2869E8"/>
    <w:rsid w:val="5C2E04A2"/>
    <w:rsid w:val="5C313AEE"/>
    <w:rsid w:val="5C3830CF"/>
    <w:rsid w:val="5C5157A0"/>
    <w:rsid w:val="5C5477DD"/>
    <w:rsid w:val="5C653798"/>
    <w:rsid w:val="5C693288"/>
    <w:rsid w:val="5C69772C"/>
    <w:rsid w:val="5C7A5495"/>
    <w:rsid w:val="5C7B120D"/>
    <w:rsid w:val="5C8A1451"/>
    <w:rsid w:val="5C8F6A67"/>
    <w:rsid w:val="5C904CB9"/>
    <w:rsid w:val="5CA70254"/>
    <w:rsid w:val="5CAE3391"/>
    <w:rsid w:val="5CB5471F"/>
    <w:rsid w:val="5CBA7F88"/>
    <w:rsid w:val="5CD01559"/>
    <w:rsid w:val="5CD526CC"/>
    <w:rsid w:val="5CDB3A5A"/>
    <w:rsid w:val="5CE648D9"/>
    <w:rsid w:val="5CF821E6"/>
    <w:rsid w:val="5D107BA8"/>
    <w:rsid w:val="5D123D88"/>
    <w:rsid w:val="5D261179"/>
    <w:rsid w:val="5D2D2508"/>
    <w:rsid w:val="5D331AE8"/>
    <w:rsid w:val="5D3D64C3"/>
    <w:rsid w:val="5D494E68"/>
    <w:rsid w:val="5D573A29"/>
    <w:rsid w:val="5D5757D7"/>
    <w:rsid w:val="5D5C2DED"/>
    <w:rsid w:val="5D60466A"/>
    <w:rsid w:val="5D6972B8"/>
    <w:rsid w:val="5D6F2B20"/>
    <w:rsid w:val="5D7A14C5"/>
    <w:rsid w:val="5D883BE2"/>
    <w:rsid w:val="5D902A97"/>
    <w:rsid w:val="5DB46785"/>
    <w:rsid w:val="5DB91FED"/>
    <w:rsid w:val="5DBC1ADE"/>
    <w:rsid w:val="5DBC7D30"/>
    <w:rsid w:val="5DC866D4"/>
    <w:rsid w:val="5DCD5A99"/>
    <w:rsid w:val="5DD07337"/>
    <w:rsid w:val="5DD15589"/>
    <w:rsid w:val="5DD75DAA"/>
    <w:rsid w:val="5DDE3802"/>
    <w:rsid w:val="5DE057CC"/>
    <w:rsid w:val="5DE30E18"/>
    <w:rsid w:val="5E08087F"/>
    <w:rsid w:val="5E0A0A9B"/>
    <w:rsid w:val="5E0C4813"/>
    <w:rsid w:val="5E0C65C1"/>
    <w:rsid w:val="5E225DE5"/>
    <w:rsid w:val="5E2467F1"/>
    <w:rsid w:val="5E280F21"/>
    <w:rsid w:val="5E2F0501"/>
    <w:rsid w:val="5E361890"/>
    <w:rsid w:val="5E3B0C54"/>
    <w:rsid w:val="5E457D25"/>
    <w:rsid w:val="5E4A70E9"/>
    <w:rsid w:val="5E5D6E1D"/>
    <w:rsid w:val="5E7457CA"/>
    <w:rsid w:val="5E785A05"/>
    <w:rsid w:val="5E7A79CF"/>
    <w:rsid w:val="5E7D126D"/>
    <w:rsid w:val="5E834B4B"/>
    <w:rsid w:val="5E9D546B"/>
    <w:rsid w:val="5E9F7435"/>
    <w:rsid w:val="5EA04F5B"/>
    <w:rsid w:val="5EC24ED2"/>
    <w:rsid w:val="5ECF1260"/>
    <w:rsid w:val="5ED05841"/>
    <w:rsid w:val="5EE94B54"/>
    <w:rsid w:val="5EF7101F"/>
    <w:rsid w:val="5F0C439F"/>
    <w:rsid w:val="5F1020E1"/>
    <w:rsid w:val="5F1A2B43"/>
    <w:rsid w:val="5F1A6ABC"/>
    <w:rsid w:val="5F2609E1"/>
    <w:rsid w:val="5F4853CE"/>
    <w:rsid w:val="5F4E2C09"/>
    <w:rsid w:val="5F5244A8"/>
    <w:rsid w:val="5F5C5FB8"/>
    <w:rsid w:val="5F661D01"/>
    <w:rsid w:val="5F70492E"/>
    <w:rsid w:val="5F893C41"/>
    <w:rsid w:val="5F990328"/>
    <w:rsid w:val="5FAD7930"/>
    <w:rsid w:val="5FB7255D"/>
    <w:rsid w:val="5FB837BB"/>
    <w:rsid w:val="5FB92779"/>
    <w:rsid w:val="5FBE1B3D"/>
    <w:rsid w:val="5FD255E8"/>
    <w:rsid w:val="5FE175D9"/>
    <w:rsid w:val="5FF90DC7"/>
    <w:rsid w:val="5FFC4413"/>
    <w:rsid w:val="6008725C"/>
    <w:rsid w:val="602045A6"/>
    <w:rsid w:val="6025396A"/>
    <w:rsid w:val="60340051"/>
    <w:rsid w:val="604858AA"/>
    <w:rsid w:val="60600E46"/>
    <w:rsid w:val="609D5BF6"/>
    <w:rsid w:val="60B1405E"/>
    <w:rsid w:val="60B31E5F"/>
    <w:rsid w:val="60B44CEE"/>
    <w:rsid w:val="60B66CB8"/>
    <w:rsid w:val="60B82A30"/>
    <w:rsid w:val="60C2740B"/>
    <w:rsid w:val="60CC405A"/>
    <w:rsid w:val="60D55390"/>
    <w:rsid w:val="60E92BEA"/>
    <w:rsid w:val="60FF7EB4"/>
    <w:rsid w:val="610B7004"/>
    <w:rsid w:val="610C4B2A"/>
    <w:rsid w:val="6118527D"/>
    <w:rsid w:val="611B4D6D"/>
    <w:rsid w:val="61264AB9"/>
    <w:rsid w:val="612956DC"/>
    <w:rsid w:val="613025C6"/>
    <w:rsid w:val="61377DF9"/>
    <w:rsid w:val="61406582"/>
    <w:rsid w:val="614E5143"/>
    <w:rsid w:val="615C785F"/>
    <w:rsid w:val="6162474A"/>
    <w:rsid w:val="61645D9E"/>
    <w:rsid w:val="61693D2A"/>
    <w:rsid w:val="61750921"/>
    <w:rsid w:val="6175447D"/>
    <w:rsid w:val="617A1A94"/>
    <w:rsid w:val="617E77D6"/>
    <w:rsid w:val="618B0277"/>
    <w:rsid w:val="618C17C7"/>
    <w:rsid w:val="618E7EC0"/>
    <w:rsid w:val="619568CD"/>
    <w:rsid w:val="619F599E"/>
    <w:rsid w:val="61A11716"/>
    <w:rsid w:val="61A3723C"/>
    <w:rsid w:val="61A62889"/>
    <w:rsid w:val="61B13504"/>
    <w:rsid w:val="61C64CD9"/>
    <w:rsid w:val="61C76291"/>
    <w:rsid w:val="61CD6067"/>
    <w:rsid w:val="61E215D8"/>
    <w:rsid w:val="61EA4E6B"/>
    <w:rsid w:val="61F41846"/>
    <w:rsid w:val="621B3775"/>
    <w:rsid w:val="6223037D"/>
    <w:rsid w:val="622B7232"/>
    <w:rsid w:val="62364782"/>
    <w:rsid w:val="6239194F"/>
    <w:rsid w:val="62426A55"/>
    <w:rsid w:val="62465E1A"/>
    <w:rsid w:val="62483940"/>
    <w:rsid w:val="62497C32"/>
    <w:rsid w:val="624C1682"/>
    <w:rsid w:val="625247BE"/>
    <w:rsid w:val="62562501"/>
    <w:rsid w:val="62650335"/>
    <w:rsid w:val="6267026A"/>
    <w:rsid w:val="62764951"/>
    <w:rsid w:val="6280757E"/>
    <w:rsid w:val="62943029"/>
    <w:rsid w:val="6299063F"/>
    <w:rsid w:val="62AE40EB"/>
    <w:rsid w:val="62B2525D"/>
    <w:rsid w:val="62B375BB"/>
    <w:rsid w:val="62B47227"/>
    <w:rsid w:val="62C27B96"/>
    <w:rsid w:val="62C9714A"/>
    <w:rsid w:val="62CC27C3"/>
    <w:rsid w:val="62E4650E"/>
    <w:rsid w:val="62F13FD7"/>
    <w:rsid w:val="62F835B8"/>
    <w:rsid w:val="62FE04A2"/>
    <w:rsid w:val="631303F2"/>
    <w:rsid w:val="63161C90"/>
    <w:rsid w:val="632B74E9"/>
    <w:rsid w:val="632C5010"/>
    <w:rsid w:val="63347E65"/>
    <w:rsid w:val="634B7B8C"/>
    <w:rsid w:val="63585E05"/>
    <w:rsid w:val="635D78BF"/>
    <w:rsid w:val="636447A9"/>
    <w:rsid w:val="63716EC6"/>
    <w:rsid w:val="637D586B"/>
    <w:rsid w:val="638766EA"/>
    <w:rsid w:val="6393508F"/>
    <w:rsid w:val="6394356A"/>
    <w:rsid w:val="63BC2837"/>
    <w:rsid w:val="63C60FC5"/>
    <w:rsid w:val="63C61B2C"/>
    <w:rsid w:val="63D40BE9"/>
    <w:rsid w:val="63E1229E"/>
    <w:rsid w:val="64102431"/>
    <w:rsid w:val="64153CF6"/>
    <w:rsid w:val="64191A38"/>
    <w:rsid w:val="6424218B"/>
    <w:rsid w:val="642503DD"/>
    <w:rsid w:val="64322AF9"/>
    <w:rsid w:val="643423CE"/>
    <w:rsid w:val="64462101"/>
    <w:rsid w:val="644D348F"/>
    <w:rsid w:val="64616F3B"/>
    <w:rsid w:val="64801AB7"/>
    <w:rsid w:val="64803865"/>
    <w:rsid w:val="648A0240"/>
    <w:rsid w:val="648C220A"/>
    <w:rsid w:val="649E3CEB"/>
    <w:rsid w:val="64A15589"/>
    <w:rsid w:val="64A5243A"/>
    <w:rsid w:val="64AF414A"/>
    <w:rsid w:val="64D3668C"/>
    <w:rsid w:val="64E75692"/>
    <w:rsid w:val="64F1593F"/>
    <w:rsid w:val="64F531DE"/>
    <w:rsid w:val="64FF0C2E"/>
    <w:rsid w:val="65060EC8"/>
    <w:rsid w:val="651619BC"/>
    <w:rsid w:val="65222B6E"/>
    <w:rsid w:val="65240694"/>
    <w:rsid w:val="652F2B95"/>
    <w:rsid w:val="65373578"/>
    <w:rsid w:val="654E74BF"/>
    <w:rsid w:val="65736F26"/>
    <w:rsid w:val="657B5DDA"/>
    <w:rsid w:val="65956E9C"/>
    <w:rsid w:val="65960E66"/>
    <w:rsid w:val="65A2780B"/>
    <w:rsid w:val="65B31A18"/>
    <w:rsid w:val="65B75DF4"/>
    <w:rsid w:val="65BD63F3"/>
    <w:rsid w:val="65DD0843"/>
    <w:rsid w:val="65DF45BB"/>
    <w:rsid w:val="65E6594A"/>
    <w:rsid w:val="65E971E8"/>
    <w:rsid w:val="65F31E15"/>
    <w:rsid w:val="65F77B57"/>
    <w:rsid w:val="66067D9A"/>
    <w:rsid w:val="66140709"/>
    <w:rsid w:val="662B7800"/>
    <w:rsid w:val="663059EE"/>
    <w:rsid w:val="663A7A43"/>
    <w:rsid w:val="6644245E"/>
    <w:rsid w:val="6654328E"/>
    <w:rsid w:val="66652D12"/>
    <w:rsid w:val="666F593F"/>
    <w:rsid w:val="667A42E4"/>
    <w:rsid w:val="66807B4C"/>
    <w:rsid w:val="66AA2E1B"/>
    <w:rsid w:val="66AD6467"/>
    <w:rsid w:val="66AF0431"/>
    <w:rsid w:val="66B477F6"/>
    <w:rsid w:val="66BF7081"/>
    <w:rsid w:val="66CA526B"/>
    <w:rsid w:val="66CA7019"/>
    <w:rsid w:val="66DE4873"/>
    <w:rsid w:val="66EC6F90"/>
    <w:rsid w:val="67024A05"/>
    <w:rsid w:val="670D5158"/>
    <w:rsid w:val="670D6F06"/>
    <w:rsid w:val="671169F6"/>
    <w:rsid w:val="67177D85"/>
    <w:rsid w:val="67187556"/>
    <w:rsid w:val="671D539B"/>
    <w:rsid w:val="671F124A"/>
    <w:rsid w:val="67284B58"/>
    <w:rsid w:val="67317098"/>
    <w:rsid w:val="6735795A"/>
    <w:rsid w:val="673646AF"/>
    <w:rsid w:val="67401089"/>
    <w:rsid w:val="67423054"/>
    <w:rsid w:val="67424E02"/>
    <w:rsid w:val="675D60DF"/>
    <w:rsid w:val="67612EC4"/>
    <w:rsid w:val="677156E7"/>
    <w:rsid w:val="6779459B"/>
    <w:rsid w:val="677A33C6"/>
    <w:rsid w:val="67803B7C"/>
    <w:rsid w:val="6784541A"/>
    <w:rsid w:val="678A67A9"/>
    <w:rsid w:val="67A9489E"/>
    <w:rsid w:val="67BF6452"/>
    <w:rsid w:val="67CD2695"/>
    <w:rsid w:val="67D0065F"/>
    <w:rsid w:val="67D143D7"/>
    <w:rsid w:val="67E20393"/>
    <w:rsid w:val="67F56318"/>
    <w:rsid w:val="67F81964"/>
    <w:rsid w:val="67F87BB6"/>
    <w:rsid w:val="68064081"/>
    <w:rsid w:val="68126ECA"/>
    <w:rsid w:val="68183DB4"/>
    <w:rsid w:val="681F6961"/>
    <w:rsid w:val="682664D1"/>
    <w:rsid w:val="682C160E"/>
    <w:rsid w:val="683139C0"/>
    <w:rsid w:val="6833299C"/>
    <w:rsid w:val="684352D5"/>
    <w:rsid w:val="684B23DC"/>
    <w:rsid w:val="684B5F38"/>
    <w:rsid w:val="68534DEC"/>
    <w:rsid w:val="68610A2F"/>
    <w:rsid w:val="68660FC4"/>
    <w:rsid w:val="68752FB5"/>
    <w:rsid w:val="687C4343"/>
    <w:rsid w:val="68805514"/>
    <w:rsid w:val="68810C55"/>
    <w:rsid w:val="68B43ADD"/>
    <w:rsid w:val="68B57855"/>
    <w:rsid w:val="68BA4E6C"/>
    <w:rsid w:val="68C77CB4"/>
    <w:rsid w:val="68CC52CB"/>
    <w:rsid w:val="68D423D1"/>
    <w:rsid w:val="68DE6DAC"/>
    <w:rsid w:val="68F62348"/>
    <w:rsid w:val="68F95994"/>
    <w:rsid w:val="690B56C7"/>
    <w:rsid w:val="691C1682"/>
    <w:rsid w:val="692D388F"/>
    <w:rsid w:val="692F13B6"/>
    <w:rsid w:val="692F585A"/>
    <w:rsid w:val="69316E2F"/>
    <w:rsid w:val="693E052C"/>
    <w:rsid w:val="6942558D"/>
    <w:rsid w:val="694C1F68"/>
    <w:rsid w:val="694E2071"/>
    <w:rsid w:val="697274F4"/>
    <w:rsid w:val="69735746"/>
    <w:rsid w:val="69766163"/>
    <w:rsid w:val="697A3B33"/>
    <w:rsid w:val="697F6B90"/>
    <w:rsid w:val="69823BDB"/>
    <w:rsid w:val="6985191D"/>
    <w:rsid w:val="698A6F34"/>
    <w:rsid w:val="699F29DF"/>
    <w:rsid w:val="69A178FF"/>
    <w:rsid w:val="69CC12FA"/>
    <w:rsid w:val="69CC4E56"/>
    <w:rsid w:val="69CE5072"/>
    <w:rsid w:val="69D44760"/>
    <w:rsid w:val="69F54B09"/>
    <w:rsid w:val="69F66377"/>
    <w:rsid w:val="69FD14B4"/>
    <w:rsid w:val="6A010FA4"/>
    <w:rsid w:val="6A0665BA"/>
    <w:rsid w:val="6A0960AB"/>
    <w:rsid w:val="6A0E7DD9"/>
    <w:rsid w:val="6A3824EC"/>
    <w:rsid w:val="6A3A2708"/>
    <w:rsid w:val="6A3D5D54"/>
    <w:rsid w:val="6A3F387A"/>
    <w:rsid w:val="6A462E5B"/>
    <w:rsid w:val="6A520EC7"/>
    <w:rsid w:val="6A537326"/>
    <w:rsid w:val="6A554E4C"/>
    <w:rsid w:val="6A6652AB"/>
    <w:rsid w:val="6A674B7F"/>
    <w:rsid w:val="6A690544"/>
    <w:rsid w:val="6A6D03E7"/>
    <w:rsid w:val="6A6E23B2"/>
    <w:rsid w:val="6A7A48B2"/>
    <w:rsid w:val="6A9F256B"/>
    <w:rsid w:val="6AAB0F10"/>
    <w:rsid w:val="6ABC4ECB"/>
    <w:rsid w:val="6AC56475"/>
    <w:rsid w:val="6AD95A7D"/>
    <w:rsid w:val="6AF87E20"/>
    <w:rsid w:val="6B014FD4"/>
    <w:rsid w:val="6B030D4C"/>
    <w:rsid w:val="6B0C1C2D"/>
    <w:rsid w:val="6B153E1D"/>
    <w:rsid w:val="6B1B42E7"/>
    <w:rsid w:val="6B225676"/>
    <w:rsid w:val="6B234F4A"/>
    <w:rsid w:val="6B286A04"/>
    <w:rsid w:val="6B2D7B77"/>
    <w:rsid w:val="6B304103"/>
    <w:rsid w:val="6B322639"/>
    <w:rsid w:val="6B453112"/>
    <w:rsid w:val="6B460C38"/>
    <w:rsid w:val="6B4D0219"/>
    <w:rsid w:val="6B673089"/>
    <w:rsid w:val="6B67752D"/>
    <w:rsid w:val="6B7834E8"/>
    <w:rsid w:val="6B7A6903"/>
    <w:rsid w:val="6B7C465A"/>
    <w:rsid w:val="6BA0659B"/>
    <w:rsid w:val="6BCE135A"/>
    <w:rsid w:val="6BD9731F"/>
    <w:rsid w:val="6BE26BB3"/>
    <w:rsid w:val="6BF6265F"/>
    <w:rsid w:val="6BFB5EC7"/>
    <w:rsid w:val="6C150D37"/>
    <w:rsid w:val="6C1A00FB"/>
    <w:rsid w:val="6C1A5E63"/>
    <w:rsid w:val="6C1C0317"/>
    <w:rsid w:val="6C2B055A"/>
    <w:rsid w:val="6C4433CA"/>
    <w:rsid w:val="6C44786E"/>
    <w:rsid w:val="6C636C38"/>
    <w:rsid w:val="6C702411"/>
    <w:rsid w:val="6C733CAF"/>
    <w:rsid w:val="6C7C2B64"/>
    <w:rsid w:val="6CA125CA"/>
    <w:rsid w:val="6CB0280D"/>
    <w:rsid w:val="6CB247D7"/>
    <w:rsid w:val="6CB73B9C"/>
    <w:rsid w:val="6CC30793"/>
    <w:rsid w:val="6CC85DA9"/>
    <w:rsid w:val="6CD75FEC"/>
    <w:rsid w:val="6CE60925"/>
    <w:rsid w:val="6CEB1A97"/>
    <w:rsid w:val="6CF05300"/>
    <w:rsid w:val="6CF44DF0"/>
    <w:rsid w:val="6CFB4D33"/>
    <w:rsid w:val="6CFF5543"/>
    <w:rsid w:val="6D064B23"/>
    <w:rsid w:val="6D080DD4"/>
    <w:rsid w:val="6D0F1C2A"/>
    <w:rsid w:val="6D0F39D8"/>
    <w:rsid w:val="6D1504AB"/>
    <w:rsid w:val="6D3276C6"/>
    <w:rsid w:val="6D4318D3"/>
    <w:rsid w:val="6D4A0EB4"/>
    <w:rsid w:val="6D4A4A10"/>
    <w:rsid w:val="6D57712D"/>
    <w:rsid w:val="6D5E04BB"/>
    <w:rsid w:val="6D635AD2"/>
    <w:rsid w:val="6D673814"/>
    <w:rsid w:val="6D6830E8"/>
    <w:rsid w:val="6D8C5028"/>
    <w:rsid w:val="6D9739CD"/>
    <w:rsid w:val="6DA71E62"/>
    <w:rsid w:val="6DB1246A"/>
    <w:rsid w:val="6DB14A8F"/>
    <w:rsid w:val="6DB34098"/>
    <w:rsid w:val="6DB545B6"/>
    <w:rsid w:val="6DD93FE6"/>
    <w:rsid w:val="6DDB5FB0"/>
    <w:rsid w:val="6DDE33AA"/>
    <w:rsid w:val="6DE02FB4"/>
    <w:rsid w:val="6DF64B98"/>
    <w:rsid w:val="6DFF3A4C"/>
    <w:rsid w:val="6E005A16"/>
    <w:rsid w:val="6E032E11"/>
    <w:rsid w:val="6E054DDB"/>
    <w:rsid w:val="6E0F7A08"/>
    <w:rsid w:val="6E297654"/>
    <w:rsid w:val="6E380D0C"/>
    <w:rsid w:val="6E405E13"/>
    <w:rsid w:val="6E4B4EE4"/>
    <w:rsid w:val="6E4B6C92"/>
    <w:rsid w:val="6E514CED"/>
    <w:rsid w:val="6E5641CB"/>
    <w:rsid w:val="6E565636"/>
    <w:rsid w:val="6E58315D"/>
    <w:rsid w:val="6E5D69C5"/>
    <w:rsid w:val="6E66587A"/>
    <w:rsid w:val="6E695AB8"/>
    <w:rsid w:val="6E70494A"/>
    <w:rsid w:val="6E7F693B"/>
    <w:rsid w:val="6E873A42"/>
    <w:rsid w:val="6E9323E7"/>
    <w:rsid w:val="6E9C573F"/>
    <w:rsid w:val="6E9D5013"/>
    <w:rsid w:val="6EA6036C"/>
    <w:rsid w:val="6EAD16FA"/>
    <w:rsid w:val="6EAE0FCF"/>
    <w:rsid w:val="6EB563D5"/>
    <w:rsid w:val="6EB56801"/>
    <w:rsid w:val="6ECF78C3"/>
    <w:rsid w:val="6ED36C87"/>
    <w:rsid w:val="6ED92677"/>
    <w:rsid w:val="6EF8049C"/>
    <w:rsid w:val="6F003B5C"/>
    <w:rsid w:val="6F225983"/>
    <w:rsid w:val="6F265009"/>
    <w:rsid w:val="6F40256E"/>
    <w:rsid w:val="6F4F27B2"/>
    <w:rsid w:val="6F593630"/>
    <w:rsid w:val="6F6A3147"/>
    <w:rsid w:val="6F7246F2"/>
    <w:rsid w:val="6F771D08"/>
    <w:rsid w:val="6F7E6BF3"/>
    <w:rsid w:val="6F857F81"/>
    <w:rsid w:val="6F8A5598"/>
    <w:rsid w:val="6F96218E"/>
    <w:rsid w:val="6F9C351D"/>
    <w:rsid w:val="6FA7439C"/>
    <w:rsid w:val="6FC30AAA"/>
    <w:rsid w:val="6FC52A74"/>
    <w:rsid w:val="6FCA1E38"/>
    <w:rsid w:val="6FE3114C"/>
    <w:rsid w:val="6FEC1DAE"/>
    <w:rsid w:val="6FF62C2D"/>
    <w:rsid w:val="6FFC5590"/>
    <w:rsid w:val="7000585A"/>
    <w:rsid w:val="70161521"/>
    <w:rsid w:val="70205EFC"/>
    <w:rsid w:val="703B0F88"/>
    <w:rsid w:val="70441BEA"/>
    <w:rsid w:val="704E0CBB"/>
    <w:rsid w:val="704E2A69"/>
    <w:rsid w:val="704F058F"/>
    <w:rsid w:val="705F6A24"/>
    <w:rsid w:val="706D1DD0"/>
    <w:rsid w:val="707149AA"/>
    <w:rsid w:val="70730722"/>
    <w:rsid w:val="707F0E75"/>
    <w:rsid w:val="70856B87"/>
    <w:rsid w:val="70932B72"/>
    <w:rsid w:val="70981F36"/>
    <w:rsid w:val="709D12FB"/>
    <w:rsid w:val="70A3782C"/>
    <w:rsid w:val="70A72179"/>
    <w:rsid w:val="70A94143"/>
    <w:rsid w:val="70D07922"/>
    <w:rsid w:val="70D32F6E"/>
    <w:rsid w:val="70D527EE"/>
    <w:rsid w:val="70DC1E23"/>
    <w:rsid w:val="70DD5B9B"/>
    <w:rsid w:val="70E37655"/>
    <w:rsid w:val="70ED4030"/>
    <w:rsid w:val="70F353BF"/>
    <w:rsid w:val="70FF3D63"/>
    <w:rsid w:val="71080E6A"/>
    <w:rsid w:val="711517D9"/>
    <w:rsid w:val="71181D55"/>
    <w:rsid w:val="711D243B"/>
    <w:rsid w:val="713954C7"/>
    <w:rsid w:val="71597917"/>
    <w:rsid w:val="715B5300"/>
    <w:rsid w:val="717464FF"/>
    <w:rsid w:val="71793B16"/>
    <w:rsid w:val="718F50E7"/>
    <w:rsid w:val="719E532A"/>
    <w:rsid w:val="71B20DD6"/>
    <w:rsid w:val="71B40FF2"/>
    <w:rsid w:val="71BE777B"/>
    <w:rsid w:val="71D27F8A"/>
    <w:rsid w:val="71D84CE0"/>
    <w:rsid w:val="71DE7E1D"/>
    <w:rsid w:val="71E33685"/>
    <w:rsid w:val="72007D93"/>
    <w:rsid w:val="72247F25"/>
    <w:rsid w:val="72323CC5"/>
    <w:rsid w:val="724759C2"/>
    <w:rsid w:val="72553024"/>
    <w:rsid w:val="726E73F3"/>
    <w:rsid w:val="727D3192"/>
    <w:rsid w:val="72822E9E"/>
    <w:rsid w:val="729329B5"/>
    <w:rsid w:val="72BB015E"/>
    <w:rsid w:val="72BF7C4E"/>
    <w:rsid w:val="72D07765"/>
    <w:rsid w:val="72DA4A88"/>
    <w:rsid w:val="72EB459F"/>
    <w:rsid w:val="72ED1180"/>
    <w:rsid w:val="730218E9"/>
    <w:rsid w:val="73122968"/>
    <w:rsid w:val="73171838"/>
    <w:rsid w:val="731A4E85"/>
    <w:rsid w:val="731F06ED"/>
    <w:rsid w:val="731F5D5E"/>
    <w:rsid w:val="73247AB1"/>
    <w:rsid w:val="7338355D"/>
    <w:rsid w:val="733F2B3D"/>
    <w:rsid w:val="73410663"/>
    <w:rsid w:val="734B3290"/>
    <w:rsid w:val="73532145"/>
    <w:rsid w:val="73832A2A"/>
    <w:rsid w:val="7386251A"/>
    <w:rsid w:val="738A025C"/>
    <w:rsid w:val="738F5872"/>
    <w:rsid w:val="73922C6D"/>
    <w:rsid w:val="73A6496A"/>
    <w:rsid w:val="73AA445A"/>
    <w:rsid w:val="73AB01D2"/>
    <w:rsid w:val="73BB0416"/>
    <w:rsid w:val="73BB1DFB"/>
    <w:rsid w:val="73C51AD5"/>
    <w:rsid w:val="73CD639B"/>
    <w:rsid w:val="73FB6A64"/>
    <w:rsid w:val="741367C5"/>
    <w:rsid w:val="741E793C"/>
    <w:rsid w:val="74213FF1"/>
    <w:rsid w:val="742F670E"/>
    <w:rsid w:val="74424693"/>
    <w:rsid w:val="745443C6"/>
    <w:rsid w:val="74561EEC"/>
    <w:rsid w:val="745E3944"/>
    <w:rsid w:val="745E5245"/>
    <w:rsid w:val="746C7962"/>
    <w:rsid w:val="747131CA"/>
    <w:rsid w:val="747D391D"/>
    <w:rsid w:val="74982505"/>
    <w:rsid w:val="74B35591"/>
    <w:rsid w:val="74B65081"/>
    <w:rsid w:val="74C72DEA"/>
    <w:rsid w:val="74D06143"/>
    <w:rsid w:val="74D6302D"/>
    <w:rsid w:val="74DF5558"/>
    <w:rsid w:val="74E219D2"/>
    <w:rsid w:val="74E514C2"/>
    <w:rsid w:val="74E62C34"/>
    <w:rsid w:val="74E92D60"/>
    <w:rsid w:val="750162FC"/>
    <w:rsid w:val="7510653F"/>
    <w:rsid w:val="751072E3"/>
    <w:rsid w:val="75120509"/>
    <w:rsid w:val="75157FF9"/>
    <w:rsid w:val="751D2A0A"/>
    <w:rsid w:val="75265D63"/>
    <w:rsid w:val="753F5076"/>
    <w:rsid w:val="754271CA"/>
    <w:rsid w:val="754335D1"/>
    <w:rsid w:val="75640639"/>
    <w:rsid w:val="75662603"/>
    <w:rsid w:val="756B19C7"/>
    <w:rsid w:val="75842A89"/>
    <w:rsid w:val="759811F0"/>
    <w:rsid w:val="759929D8"/>
    <w:rsid w:val="75A35605"/>
    <w:rsid w:val="75A5137D"/>
    <w:rsid w:val="75B23A9A"/>
    <w:rsid w:val="75BE5F9B"/>
    <w:rsid w:val="75CA0DE4"/>
    <w:rsid w:val="75CD61DE"/>
    <w:rsid w:val="75D21A46"/>
    <w:rsid w:val="75DE03EB"/>
    <w:rsid w:val="7605090C"/>
    <w:rsid w:val="761D3793"/>
    <w:rsid w:val="762304F4"/>
    <w:rsid w:val="76257199"/>
    <w:rsid w:val="7635099D"/>
    <w:rsid w:val="76397D18"/>
    <w:rsid w:val="76424E1E"/>
    <w:rsid w:val="76460A60"/>
    <w:rsid w:val="764741E2"/>
    <w:rsid w:val="76595A34"/>
    <w:rsid w:val="766D176F"/>
    <w:rsid w:val="767B0330"/>
    <w:rsid w:val="76937428"/>
    <w:rsid w:val="769F5AE6"/>
    <w:rsid w:val="76A35191"/>
    <w:rsid w:val="76A96C4B"/>
    <w:rsid w:val="76AA651F"/>
    <w:rsid w:val="76AF7FDA"/>
    <w:rsid w:val="76B86E8E"/>
    <w:rsid w:val="76BF646F"/>
    <w:rsid w:val="76C53359"/>
    <w:rsid w:val="76C70E7F"/>
    <w:rsid w:val="76EB7264"/>
    <w:rsid w:val="76FD6F97"/>
    <w:rsid w:val="76FF4ABD"/>
    <w:rsid w:val="77000835"/>
    <w:rsid w:val="770245AD"/>
    <w:rsid w:val="7725204A"/>
    <w:rsid w:val="77316C41"/>
    <w:rsid w:val="77336515"/>
    <w:rsid w:val="77383B2B"/>
    <w:rsid w:val="77392721"/>
    <w:rsid w:val="774B7248"/>
    <w:rsid w:val="775F37AE"/>
    <w:rsid w:val="776C0060"/>
    <w:rsid w:val="77756B2D"/>
    <w:rsid w:val="77762421"/>
    <w:rsid w:val="77770AF7"/>
    <w:rsid w:val="777C7EBC"/>
    <w:rsid w:val="779416A9"/>
    <w:rsid w:val="77972F48"/>
    <w:rsid w:val="77976AA4"/>
    <w:rsid w:val="779E42D6"/>
    <w:rsid w:val="77A45665"/>
    <w:rsid w:val="77A47413"/>
    <w:rsid w:val="77A94A29"/>
    <w:rsid w:val="77B56B1F"/>
    <w:rsid w:val="77BF424C"/>
    <w:rsid w:val="77CB2BF1"/>
    <w:rsid w:val="77CD5E8D"/>
    <w:rsid w:val="77DF452E"/>
    <w:rsid w:val="77E45A61"/>
    <w:rsid w:val="780F09F4"/>
    <w:rsid w:val="78372035"/>
    <w:rsid w:val="784309DA"/>
    <w:rsid w:val="784A620C"/>
    <w:rsid w:val="785E1CB7"/>
    <w:rsid w:val="78801C2E"/>
    <w:rsid w:val="7880578A"/>
    <w:rsid w:val="789B25C4"/>
    <w:rsid w:val="78A376CA"/>
    <w:rsid w:val="78A90480"/>
    <w:rsid w:val="78B10039"/>
    <w:rsid w:val="78C55892"/>
    <w:rsid w:val="78E71CAD"/>
    <w:rsid w:val="78F817C4"/>
    <w:rsid w:val="79073098"/>
    <w:rsid w:val="790A599B"/>
    <w:rsid w:val="791F1447"/>
    <w:rsid w:val="7924080B"/>
    <w:rsid w:val="792720A9"/>
    <w:rsid w:val="79305402"/>
    <w:rsid w:val="79382508"/>
    <w:rsid w:val="794E5888"/>
    <w:rsid w:val="794F38DC"/>
    <w:rsid w:val="795C61F7"/>
    <w:rsid w:val="796450AB"/>
    <w:rsid w:val="79674B9C"/>
    <w:rsid w:val="796B643A"/>
    <w:rsid w:val="796E5F2A"/>
    <w:rsid w:val="797D616D"/>
    <w:rsid w:val="79960FDD"/>
    <w:rsid w:val="799B65F3"/>
    <w:rsid w:val="79A951B4"/>
    <w:rsid w:val="79AB6836"/>
    <w:rsid w:val="79AE27CB"/>
    <w:rsid w:val="79B37DE1"/>
    <w:rsid w:val="79E85CDC"/>
    <w:rsid w:val="79F301DD"/>
    <w:rsid w:val="79F503F9"/>
    <w:rsid w:val="79FF66EB"/>
    <w:rsid w:val="7A0128FA"/>
    <w:rsid w:val="7A067F11"/>
    <w:rsid w:val="7A0F14BB"/>
    <w:rsid w:val="7A124B07"/>
    <w:rsid w:val="7A13262E"/>
    <w:rsid w:val="7A1940E8"/>
    <w:rsid w:val="7A333422"/>
    <w:rsid w:val="7A364017"/>
    <w:rsid w:val="7A5944E4"/>
    <w:rsid w:val="7A65732D"/>
    <w:rsid w:val="7A6A0B10"/>
    <w:rsid w:val="7A715CD2"/>
    <w:rsid w:val="7A811C8D"/>
    <w:rsid w:val="7A8265E1"/>
    <w:rsid w:val="7A8D0632"/>
    <w:rsid w:val="7A9D6AC7"/>
    <w:rsid w:val="7AAB3DCB"/>
    <w:rsid w:val="7AB23BF5"/>
    <w:rsid w:val="7ABE07EB"/>
    <w:rsid w:val="7AD65B35"/>
    <w:rsid w:val="7AD718AD"/>
    <w:rsid w:val="7AD95625"/>
    <w:rsid w:val="7AD973D3"/>
    <w:rsid w:val="7ADB314B"/>
    <w:rsid w:val="7AE04785"/>
    <w:rsid w:val="7AE77D42"/>
    <w:rsid w:val="7AF10BC1"/>
    <w:rsid w:val="7AF1296F"/>
    <w:rsid w:val="7B073F40"/>
    <w:rsid w:val="7B07552E"/>
    <w:rsid w:val="7B0F1047"/>
    <w:rsid w:val="7B1E74DC"/>
    <w:rsid w:val="7B2C39A7"/>
    <w:rsid w:val="7B5573A2"/>
    <w:rsid w:val="7B5F5B2A"/>
    <w:rsid w:val="7B656F4A"/>
    <w:rsid w:val="7B686D42"/>
    <w:rsid w:val="7B6C46EB"/>
    <w:rsid w:val="7B7F441F"/>
    <w:rsid w:val="7B803CF3"/>
    <w:rsid w:val="7B841746"/>
    <w:rsid w:val="7B841A35"/>
    <w:rsid w:val="7B89704B"/>
    <w:rsid w:val="7B8E6410"/>
    <w:rsid w:val="7BBA7205"/>
    <w:rsid w:val="7BC167E5"/>
    <w:rsid w:val="7BD06A28"/>
    <w:rsid w:val="7BD1454E"/>
    <w:rsid w:val="7BDD2EF3"/>
    <w:rsid w:val="7BEB1AB4"/>
    <w:rsid w:val="7BF24BF0"/>
    <w:rsid w:val="7BF45ABD"/>
    <w:rsid w:val="7BFA3AA5"/>
    <w:rsid w:val="7C15268D"/>
    <w:rsid w:val="7C1A7CA3"/>
    <w:rsid w:val="7C2F7BF3"/>
    <w:rsid w:val="7C3945CD"/>
    <w:rsid w:val="7C547659"/>
    <w:rsid w:val="7C611D76"/>
    <w:rsid w:val="7C63164A"/>
    <w:rsid w:val="7C6C5AC7"/>
    <w:rsid w:val="7C703D67"/>
    <w:rsid w:val="7C741AA9"/>
    <w:rsid w:val="7C773348"/>
    <w:rsid w:val="7C8D4919"/>
    <w:rsid w:val="7C9E6B26"/>
    <w:rsid w:val="7CB24380"/>
    <w:rsid w:val="7CC0084B"/>
    <w:rsid w:val="7CC6544B"/>
    <w:rsid w:val="7CCA16C9"/>
    <w:rsid w:val="7CCF4F32"/>
    <w:rsid w:val="7CE3278B"/>
    <w:rsid w:val="7CE86C9A"/>
    <w:rsid w:val="7D0239FF"/>
    <w:rsid w:val="7D07647A"/>
    <w:rsid w:val="7D0C0B1D"/>
    <w:rsid w:val="7D1110A6"/>
    <w:rsid w:val="7D11554A"/>
    <w:rsid w:val="7D1943FF"/>
    <w:rsid w:val="7D197F5B"/>
    <w:rsid w:val="7D1C7A4B"/>
    <w:rsid w:val="7D225061"/>
    <w:rsid w:val="7D2C5EE0"/>
    <w:rsid w:val="7D3923AB"/>
    <w:rsid w:val="7D4F6073"/>
    <w:rsid w:val="7D562F5D"/>
    <w:rsid w:val="7D5B67C5"/>
    <w:rsid w:val="7D5E40CD"/>
    <w:rsid w:val="7D627B54"/>
    <w:rsid w:val="7D67516A"/>
    <w:rsid w:val="7D6E474B"/>
    <w:rsid w:val="7D851A94"/>
    <w:rsid w:val="7D8775BA"/>
    <w:rsid w:val="7D8E6B9B"/>
    <w:rsid w:val="7D985324"/>
    <w:rsid w:val="7DC4436B"/>
    <w:rsid w:val="7DCD56F2"/>
    <w:rsid w:val="7DD547CA"/>
    <w:rsid w:val="7DDB3462"/>
    <w:rsid w:val="7DE60785"/>
    <w:rsid w:val="7DF2712A"/>
    <w:rsid w:val="7DF6029C"/>
    <w:rsid w:val="7DFA4230"/>
    <w:rsid w:val="7E01736D"/>
    <w:rsid w:val="7E096221"/>
    <w:rsid w:val="7E1A21DD"/>
    <w:rsid w:val="7E1C7D03"/>
    <w:rsid w:val="7E1D1CCD"/>
    <w:rsid w:val="7E2B43EA"/>
    <w:rsid w:val="7E307C52"/>
    <w:rsid w:val="7E3949FD"/>
    <w:rsid w:val="7E472923"/>
    <w:rsid w:val="7E527BC8"/>
    <w:rsid w:val="7E573431"/>
    <w:rsid w:val="7E633B84"/>
    <w:rsid w:val="7E730F03"/>
    <w:rsid w:val="7E7F64E4"/>
    <w:rsid w:val="7E90249F"/>
    <w:rsid w:val="7E921EFC"/>
    <w:rsid w:val="7E933D3D"/>
    <w:rsid w:val="7EC64112"/>
    <w:rsid w:val="7ED44A81"/>
    <w:rsid w:val="7EDE76AE"/>
    <w:rsid w:val="7EF96296"/>
    <w:rsid w:val="7F001CE7"/>
    <w:rsid w:val="7F054C3B"/>
    <w:rsid w:val="7F0D1D41"/>
    <w:rsid w:val="7F1255AA"/>
    <w:rsid w:val="7F192494"/>
    <w:rsid w:val="7F1C1F84"/>
    <w:rsid w:val="7F1E3F4E"/>
    <w:rsid w:val="7F2C666B"/>
    <w:rsid w:val="7F547970"/>
    <w:rsid w:val="7F577F01"/>
    <w:rsid w:val="7F6A0F42"/>
    <w:rsid w:val="7F6C6A68"/>
    <w:rsid w:val="7F6E0A32"/>
    <w:rsid w:val="7F78365F"/>
    <w:rsid w:val="7F7B2641"/>
    <w:rsid w:val="7F857B2A"/>
    <w:rsid w:val="7FA97CBC"/>
    <w:rsid w:val="7FAE0E2E"/>
    <w:rsid w:val="7FD840FD"/>
    <w:rsid w:val="7FDA7E75"/>
    <w:rsid w:val="7FE42AA2"/>
    <w:rsid w:val="7FE47E50"/>
    <w:rsid w:val="7FE707E4"/>
    <w:rsid w:val="7FF52F0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qFormat="1" w:unhideWhenUsed="0" w:uiPriority="99"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qFormat="1" w:unhideWhenUsed="0" w:uiPriority="0" w:semiHidden="0" w:name="Body Text 3" w:locked="1"/>
    <w:lsdException w:qFormat="1" w:unhideWhenUsed="0" w:uiPriority="0" w:semiHidden="0" w:name="Body Text Indent 2" w:locked="1"/>
    <w:lsdException w:unhideWhenUsed="0"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22"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0"/>
    <w:pPr>
      <w:keepNext/>
      <w:snapToGrid w:val="0"/>
      <w:outlineLvl w:val="1"/>
    </w:pPr>
    <w:rPr>
      <w:sz w:val="28"/>
    </w:rPr>
  </w:style>
  <w:style w:type="character" w:default="1" w:styleId="27">
    <w:name w:val="Default Paragraph Font"/>
    <w:semiHidden/>
    <w:qFormat/>
    <w:uiPriority w:val="0"/>
  </w:style>
  <w:style w:type="table" w:default="1" w:styleId="25">
    <w:name w:val="Normal Table"/>
    <w:semiHidden/>
    <w:qFormat/>
    <w:uiPriority w:val="0"/>
    <w:tblPr>
      <w:tblCellMar>
        <w:top w:w="0" w:type="dxa"/>
        <w:left w:w="108" w:type="dxa"/>
        <w:bottom w:w="0" w:type="dxa"/>
        <w:right w:w="108" w:type="dxa"/>
      </w:tblCellMar>
    </w:tblPr>
  </w:style>
  <w:style w:type="paragraph" w:styleId="4">
    <w:name w:val="annotation text"/>
    <w:basedOn w:val="1"/>
    <w:link w:val="32"/>
    <w:semiHidden/>
    <w:qFormat/>
    <w:uiPriority w:val="0"/>
    <w:pPr>
      <w:jc w:val="left"/>
    </w:pPr>
    <w:rPr>
      <w:kern w:val="0"/>
      <w:sz w:val="24"/>
      <w:szCs w:val="20"/>
    </w:rPr>
  </w:style>
  <w:style w:type="paragraph" w:styleId="5">
    <w:name w:val="Body Text 3"/>
    <w:basedOn w:val="1"/>
    <w:qFormat/>
    <w:locked/>
    <w:uiPriority w:val="0"/>
    <w:pPr>
      <w:widowControl w:val="0"/>
      <w:spacing w:line="360" w:lineRule="auto"/>
    </w:pPr>
    <w:rPr>
      <w:rFonts w:ascii="Times New Roman" w:hAnsi="Times New Roman"/>
      <w:kern w:val="0"/>
      <w:sz w:val="20"/>
      <w:szCs w:val="24"/>
    </w:rPr>
  </w:style>
  <w:style w:type="paragraph" w:styleId="6">
    <w:name w:val="Body Text"/>
    <w:basedOn w:val="1"/>
    <w:link w:val="33"/>
    <w:qFormat/>
    <w:uiPriority w:val="0"/>
    <w:pPr>
      <w:widowControl/>
      <w:snapToGrid w:val="0"/>
      <w:spacing w:before="60" w:after="160" w:line="259" w:lineRule="auto"/>
      <w:ind w:right="113"/>
    </w:pPr>
    <w:rPr>
      <w:kern w:val="0"/>
      <w:sz w:val="18"/>
      <w:szCs w:val="20"/>
    </w:rPr>
  </w:style>
  <w:style w:type="paragraph" w:styleId="7">
    <w:name w:val="Body Text Indent"/>
    <w:basedOn w:val="1"/>
    <w:link w:val="34"/>
    <w:qFormat/>
    <w:uiPriority w:val="0"/>
    <w:pPr>
      <w:spacing w:after="120"/>
      <w:ind w:left="420" w:leftChars="200"/>
    </w:pPr>
    <w:rPr>
      <w:kern w:val="0"/>
      <w:sz w:val="24"/>
      <w:szCs w:val="20"/>
    </w:rPr>
  </w:style>
  <w:style w:type="paragraph" w:styleId="8">
    <w:name w:val="Block Text"/>
    <w:basedOn w:val="1"/>
    <w:next w:val="1"/>
    <w:qFormat/>
    <w:locked/>
    <w:uiPriority w:val="0"/>
    <w:pPr>
      <w:spacing w:line="320" w:lineRule="exact"/>
      <w:ind w:left="113" w:right="113" w:firstLine="480" w:firstLineChars="200"/>
      <w:jc w:val="center"/>
    </w:pPr>
    <w:rPr>
      <w:b/>
      <w:sz w:val="13"/>
      <w:szCs w:val="15"/>
    </w:rPr>
  </w:style>
  <w:style w:type="paragraph" w:styleId="9">
    <w:name w:val="Plain Text"/>
    <w:basedOn w:val="1"/>
    <w:qFormat/>
    <w:locked/>
    <w:uiPriority w:val="0"/>
    <w:rPr>
      <w:rFonts w:hint="eastAsia" w:ascii="宋体" w:hAnsi="Courier New"/>
      <w:sz w:val="28"/>
      <w:szCs w:val="21"/>
    </w:rPr>
  </w:style>
  <w:style w:type="paragraph" w:styleId="10">
    <w:name w:val="List Bullet 5"/>
    <w:basedOn w:val="1"/>
    <w:qFormat/>
    <w:locked/>
    <w:uiPriority w:val="0"/>
    <w:pPr>
      <w:numPr>
        <w:ilvl w:val="0"/>
        <w:numId w:val="1"/>
      </w:numPr>
    </w:pPr>
  </w:style>
  <w:style w:type="paragraph" w:styleId="11">
    <w:name w:val="Date"/>
    <w:basedOn w:val="1"/>
    <w:next w:val="1"/>
    <w:link w:val="35"/>
    <w:qFormat/>
    <w:uiPriority w:val="0"/>
    <w:pPr>
      <w:ind w:left="100" w:leftChars="2500"/>
    </w:pPr>
    <w:rPr>
      <w:kern w:val="0"/>
      <w:sz w:val="24"/>
      <w:szCs w:val="20"/>
    </w:rPr>
  </w:style>
  <w:style w:type="paragraph" w:styleId="12">
    <w:name w:val="Body Text Indent 2"/>
    <w:basedOn w:val="1"/>
    <w:next w:val="13"/>
    <w:qFormat/>
    <w:locked/>
    <w:uiPriority w:val="0"/>
    <w:pPr>
      <w:spacing w:after="120" w:line="480" w:lineRule="auto"/>
      <w:ind w:left="420" w:leftChars="200"/>
    </w:pPr>
  </w:style>
  <w:style w:type="paragraph" w:customStyle="1" w:styleId="13">
    <w:name w:val=" Char"/>
    <w:basedOn w:val="1"/>
    <w:qFormat/>
    <w:uiPriority w:val="0"/>
    <w:rPr>
      <w:rFonts w:ascii="Times New Roman" w:hAnsi="Times New Roman"/>
      <w:szCs w:val="24"/>
    </w:rPr>
  </w:style>
  <w:style w:type="paragraph" w:styleId="14">
    <w:name w:val="Balloon Text"/>
    <w:basedOn w:val="1"/>
    <w:link w:val="36"/>
    <w:semiHidden/>
    <w:qFormat/>
    <w:uiPriority w:val="0"/>
    <w:rPr>
      <w:kern w:val="0"/>
      <w:sz w:val="18"/>
      <w:szCs w:val="20"/>
    </w:rPr>
  </w:style>
  <w:style w:type="paragraph" w:styleId="15">
    <w:name w:val="footer"/>
    <w:basedOn w:val="1"/>
    <w:link w:val="37"/>
    <w:qFormat/>
    <w:uiPriority w:val="99"/>
    <w:pPr>
      <w:tabs>
        <w:tab w:val="center" w:pos="4153"/>
        <w:tab w:val="right" w:pos="8306"/>
      </w:tabs>
      <w:snapToGrid w:val="0"/>
      <w:jc w:val="left"/>
    </w:pPr>
    <w:rPr>
      <w:kern w:val="0"/>
      <w:sz w:val="18"/>
      <w:szCs w:val="20"/>
    </w:rPr>
  </w:style>
  <w:style w:type="paragraph" w:styleId="16">
    <w:name w:val="header"/>
    <w:basedOn w:val="1"/>
    <w:link w:val="38"/>
    <w:qFormat/>
    <w:uiPriority w:val="0"/>
    <w:pPr>
      <w:pBdr>
        <w:bottom w:val="single" w:color="auto" w:sz="6" w:space="1"/>
      </w:pBdr>
      <w:tabs>
        <w:tab w:val="center" w:pos="4153"/>
        <w:tab w:val="right" w:pos="8306"/>
      </w:tabs>
      <w:snapToGrid w:val="0"/>
      <w:jc w:val="center"/>
    </w:pPr>
    <w:rPr>
      <w:kern w:val="0"/>
      <w:sz w:val="18"/>
      <w:szCs w:val="20"/>
    </w:rPr>
  </w:style>
  <w:style w:type="paragraph" w:styleId="17">
    <w:name w:val="toc 1"/>
    <w:basedOn w:val="1"/>
    <w:next w:val="1"/>
    <w:qFormat/>
    <w:locked/>
    <w:uiPriority w:val="0"/>
  </w:style>
  <w:style w:type="paragraph" w:styleId="18">
    <w:name w:val="table of figures"/>
    <w:basedOn w:val="1"/>
    <w:next w:val="1"/>
    <w:qFormat/>
    <w:locked/>
    <w:uiPriority w:val="99"/>
    <w:pPr>
      <w:ind w:left="200" w:leftChars="200" w:hanging="200" w:hangingChars="200"/>
    </w:pPr>
    <w:rPr>
      <w:rFonts w:ascii="Calibri" w:hAnsi="Calibri"/>
      <w:kern w:val="2"/>
      <w:sz w:val="21"/>
      <w:szCs w:val="22"/>
    </w:rPr>
  </w:style>
  <w:style w:type="paragraph" w:styleId="19">
    <w:name w:val="toc 2"/>
    <w:basedOn w:val="1"/>
    <w:next w:val="1"/>
    <w:qFormat/>
    <w:locked/>
    <w:uiPriority w:val="0"/>
    <w:pPr>
      <w:ind w:left="420" w:leftChars="200"/>
    </w:pPr>
  </w:style>
  <w:style w:type="paragraph" w:styleId="20">
    <w:name w:val="Body Text 2"/>
    <w:basedOn w:val="1"/>
    <w:qFormat/>
    <w:locked/>
    <w:uiPriority w:val="0"/>
    <w:pPr>
      <w:spacing w:after="120" w:line="480" w:lineRule="auto"/>
    </w:pPr>
  </w:style>
  <w:style w:type="paragraph" w:styleId="21">
    <w:name w:val="Normal (Web)"/>
    <w:basedOn w:val="1"/>
    <w:link w:val="39"/>
    <w:qFormat/>
    <w:uiPriority w:val="0"/>
    <w:pPr>
      <w:widowControl/>
      <w:spacing w:before="100" w:beforeAutospacing="1" w:after="100" w:afterAutospacing="1"/>
      <w:jc w:val="left"/>
    </w:pPr>
    <w:rPr>
      <w:rFonts w:ascii="宋体" w:hAnsi="宋体"/>
      <w:kern w:val="0"/>
      <w:sz w:val="24"/>
      <w:szCs w:val="20"/>
    </w:rPr>
  </w:style>
  <w:style w:type="paragraph" w:styleId="22">
    <w:name w:val="annotation subject"/>
    <w:basedOn w:val="4"/>
    <w:next w:val="4"/>
    <w:link w:val="40"/>
    <w:semiHidden/>
    <w:qFormat/>
    <w:uiPriority w:val="0"/>
    <w:rPr>
      <w:b/>
      <w:sz w:val="24"/>
      <w:szCs w:val="20"/>
    </w:rPr>
  </w:style>
  <w:style w:type="paragraph" w:styleId="23">
    <w:name w:val="Body Text First Indent"/>
    <w:basedOn w:val="6"/>
    <w:next w:val="1"/>
    <w:qFormat/>
    <w:locked/>
    <w:uiPriority w:val="0"/>
    <w:pPr>
      <w:widowControl w:val="0"/>
      <w:spacing w:after="120"/>
      <w:ind w:firstLine="420"/>
      <w:jc w:val="both"/>
    </w:pPr>
    <w:rPr>
      <w:rFonts w:ascii="Times New Roman"/>
      <w:sz w:val="24"/>
      <w:lang w:val="en-US" w:eastAsia="zh-CN" w:bidi="ar-SA"/>
    </w:rPr>
  </w:style>
  <w:style w:type="paragraph" w:styleId="24">
    <w:name w:val="Body Text First Indent 2"/>
    <w:basedOn w:val="7"/>
    <w:next w:val="1"/>
    <w:qFormat/>
    <w:locked/>
    <w:uiPriority w:val="0"/>
    <w:pPr>
      <w:ind w:firstLine="420" w:firstLineChars="200"/>
    </w:pPr>
    <w:rPr>
      <w:rFonts w:ascii="宋体" w:hAnsi="黑体"/>
    </w:rPr>
  </w:style>
  <w:style w:type="table" w:styleId="26">
    <w:name w:val="Table Grid"/>
    <w:basedOn w:val="25"/>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locked/>
    <w:uiPriority w:val="22"/>
    <w:rPr>
      <w:b/>
    </w:rPr>
  </w:style>
  <w:style w:type="character" w:styleId="29">
    <w:name w:val="page number"/>
    <w:basedOn w:val="27"/>
    <w:qFormat/>
    <w:locked/>
    <w:uiPriority w:val="0"/>
  </w:style>
  <w:style w:type="character" w:styleId="30">
    <w:name w:val="Hyperlink"/>
    <w:basedOn w:val="27"/>
    <w:qFormat/>
    <w:locked/>
    <w:uiPriority w:val="0"/>
    <w:rPr>
      <w:color w:val="0000FF"/>
      <w:u w:val="single"/>
    </w:rPr>
  </w:style>
  <w:style w:type="character" w:styleId="31">
    <w:name w:val="annotation reference"/>
    <w:semiHidden/>
    <w:qFormat/>
    <w:uiPriority w:val="0"/>
    <w:rPr>
      <w:sz w:val="21"/>
    </w:rPr>
  </w:style>
  <w:style w:type="character" w:customStyle="1" w:styleId="32">
    <w:name w:val="批注文字 Char"/>
    <w:link w:val="4"/>
    <w:qFormat/>
    <w:locked/>
    <w:uiPriority w:val="0"/>
    <w:rPr>
      <w:rFonts w:ascii="Times New Roman" w:hAnsi="Times New Roman" w:eastAsia="宋体"/>
      <w:sz w:val="24"/>
    </w:rPr>
  </w:style>
  <w:style w:type="character" w:customStyle="1" w:styleId="33">
    <w:name w:val="正文文本 Char"/>
    <w:link w:val="6"/>
    <w:qFormat/>
    <w:locked/>
    <w:uiPriority w:val="0"/>
    <w:rPr>
      <w:sz w:val="18"/>
    </w:rPr>
  </w:style>
  <w:style w:type="character" w:customStyle="1" w:styleId="34">
    <w:name w:val="正文文本缩进 Char"/>
    <w:link w:val="7"/>
    <w:semiHidden/>
    <w:qFormat/>
    <w:locked/>
    <w:uiPriority w:val="0"/>
    <w:rPr>
      <w:rFonts w:ascii="Times New Roman" w:hAnsi="Times New Roman" w:eastAsia="宋体"/>
      <w:sz w:val="24"/>
    </w:rPr>
  </w:style>
  <w:style w:type="character" w:customStyle="1" w:styleId="35">
    <w:name w:val="日期 Char"/>
    <w:link w:val="11"/>
    <w:qFormat/>
    <w:locked/>
    <w:uiPriority w:val="0"/>
    <w:rPr>
      <w:rFonts w:ascii="Times New Roman" w:hAnsi="Times New Roman" w:eastAsia="宋体"/>
      <w:sz w:val="24"/>
    </w:rPr>
  </w:style>
  <w:style w:type="character" w:customStyle="1" w:styleId="36">
    <w:name w:val="批注框文本 Char"/>
    <w:link w:val="14"/>
    <w:semiHidden/>
    <w:qFormat/>
    <w:locked/>
    <w:uiPriority w:val="0"/>
    <w:rPr>
      <w:rFonts w:ascii="Times New Roman" w:hAnsi="Times New Roman" w:eastAsia="宋体"/>
      <w:sz w:val="18"/>
    </w:rPr>
  </w:style>
  <w:style w:type="character" w:customStyle="1" w:styleId="37">
    <w:name w:val="页脚 Char"/>
    <w:link w:val="15"/>
    <w:qFormat/>
    <w:locked/>
    <w:uiPriority w:val="99"/>
    <w:rPr>
      <w:sz w:val="18"/>
    </w:rPr>
  </w:style>
  <w:style w:type="character" w:customStyle="1" w:styleId="38">
    <w:name w:val="页眉 Char"/>
    <w:link w:val="16"/>
    <w:qFormat/>
    <w:locked/>
    <w:uiPriority w:val="0"/>
    <w:rPr>
      <w:sz w:val="18"/>
    </w:rPr>
  </w:style>
  <w:style w:type="character" w:customStyle="1" w:styleId="39">
    <w:name w:val="普通(网站) Char"/>
    <w:link w:val="21"/>
    <w:qFormat/>
    <w:locked/>
    <w:uiPriority w:val="0"/>
    <w:rPr>
      <w:rFonts w:ascii="宋体" w:hAnsi="宋体" w:eastAsia="宋体"/>
      <w:sz w:val="24"/>
    </w:rPr>
  </w:style>
  <w:style w:type="character" w:customStyle="1" w:styleId="40">
    <w:name w:val="批注主题 Char"/>
    <w:link w:val="22"/>
    <w:semiHidden/>
    <w:qFormat/>
    <w:locked/>
    <w:uiPriority w:val="0"/>
    <w:rPr>
      <w:rFonts w:ascii="Times New Roman" w:hAnsi="Times New Roman" w:eastAsia="宋体"/>
      <w:b/>
      <w:kern w:val="2"/>
      <w:sz w:val="24"/>
    </w:rPr>
  </w:style>
  <w:style w:type="paragraph" w:customStyle="1" w:styleId="41">
    <w:name w:val="Default"/>
    <w:basedOn w:val="42"/>
    <w:qFormat/>
    <w:uiPriority w:val="0"/>
    <w:pPr>
      <w:widowControl w:val="0"/>
      <w:autoSpaceDE w:val="0"/>
      <w:autoSpaceDN w:val="0"/>
      <w:adjustRightInd w:val="0"/>
    </w:pPr>
    <w:rPr>
      <w:rFonts w:ascii="宋体" w:hAnsi="Times New Roman" w:eastAsia="宋体" w:cs="宋体"/>
      <w:color w:val="000000"/>
      <w:kern w:val="2"/>
      <w:sz w:val="21"/>
      <w:szCs w:val="24"/>
      <w:lang w:val="en-US" w:eastAsia="zh-CN" w:bidi="ar-SA"/>
    </w:rPr>
  </w:style>
  <w:style w:type="paragraph" w:customStyle="1" w:styleId="42">
    <w:name w:val="纯文本1"/>
    <w:basedOn w:val="1"/>
    <w:qFormat/>
    <w:uiPriority w:val="99"/>
    <w:pPr>
      <w:autoSpaceDE w:val="0"/>
      <w:autoSpaceDN w:val="0"/>
      <w:adjustRightInd w:val="0"/>
      <w:textAlignment w:val="baseline"/>
    </w:pPr>
    <w:rPr>
      <w:rFonts w:ascii="宋体"/>
      <w:szCs w:val="20"/>
    </w:rPr>
  </w:style>
  <w:style w:type="character" w:customStyle="1" w:styleId="43">
    <w:name w:val="页脚 字符"/>
    <w:basedOn w:val="27"/>
    <w:qFormat/>
    <w:uiPriority w:val="99"/>
  </w:style>
  <w:style w:type="character" w:customStyle="1" w:styleId="44">
    <w:name w:val="正文文本 字符1"/>
    <w:semiHidden/>
    <w:qFormat/>
    <w:uiPriority w:val="0"/>
    <w:rPr>
      <w:rFonts w:ascii="Times New Roman" w:hAnsi="Times New Roman" w:eastAsia="宋体"/>
      <w:sz w:val="24"/>
    </w:rPr>
  </w:style>
  <w:style w:type="character" w:customStyle="1" w:styleId="45">
    <w:name w:val="表格 Char"/>
    <w:link w:val="46"/>
    <w:qFormat/>
    <w:locked/>
    <w:uiPriority w:val="0"/>
    <w:rPr>
      <w:rFonts w:ascii="宋体"/>
      <w:sz w:val="21"/>
    </w:rPr>
  </w:style>
  <w:style w:type="paragraph" w:customStyle="1" w:styleId="46">
    <w:name w:val="表格"/>
    <w:basedOn w:val="1"/>
    <w:next w:val="1"/>
    <w:link w:val="45"/>
    <w:qFormat/>
    <w:uiPriority w:val="0"/>
    <w:pPr>
      <w:adjustRightInd w:val="0"/>
      <w:snapToGrid w:val="0"/>
      <w:spacing w:beforeLines="10" w:afterLines="10" w:line="259" w:lineRule="auto"/>
      <w:jc w:val="center"/>
    </w:pPr>
    <w:rPr>
      <w:rFonts w:ascii="宋体"/>
      <w:kern w:val="0"/>
      <w:szCs w:val="20"/>
    </w:rPr>
  </w:style>
  <w:style w:type="character" w:customStyle="1" w:styleId="47">
    <w:name w:val="日期 字符"/>
    <w:semiHidden/>
    <w:qFormat/>
    <w:uiPriority w:val="0"/>
    <w:rPr>
      <w:rFonts w:ascii="Times New Roman" w:hAnsi="Times New Roman" w:eastAsia="宋体"/>
      <w:sz w:val="24"/>
    </w:rPr>
  </w:style>
  <w:style w:type="character" w:customStyle="1" w:styleId="48">
    <w:name w:val="批注文字 字符1"/>
    <w:semiHidden/>
    <w:qFormat/>
    <w:uiPriority w:val="0"/>
    <w:rPr>
      <w:rFonts w:ascii="Times New Roman" w:hAnsi="Times New Roman" w:eastAsia="宋体"/>
      <w:sz w:val="24"/>
    </w:rPr>
  </w:style>
  <w:style w:type="paragraph" w:customStyle="1" w:styleId="49">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0">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1">
    <w:name w:val="图表标题"/>
    <w:basedOn w:val="12"/>
    <w:qFormat/>
    <w:uiPriority w:val="0"/>
    <w:pPr>
      <w:spacing w:beforeLines="50" w:after="0" w:line="240" w:lineRule="auto"/>
      <w:ind w:left="0" w:leftChars="0" w:firstLine="200" w:firstLineChars="200"/>
      <w:jc w:val="center"/>
    </w:pPr>
    <w:rPr>
      <w:rFonts w:ascii="宋体" w:hAnsi="宋体" w:eastAsia="黑体"/>
      <w:kern w:val="0"/>
      <w:sz w:val="24"/>
      <w:szCs w:val="22"/>
    </w:rPr>
  </w:style>
  <w:style w:type="paragraph" w:customStyle="1" w:styleId="52">
    <w:name w:val="（新格式）表格"/>
    <w:basedOn w:val="53"/>
    <w:qFormat/>
    <w:uiPriority w:val="0"/>
    <w:pPr>
      <w:topLinePunct/>
    </w:pPr>
    <w:rPr>
      <w:rFonts w:hint="eastAsia" w:ascii="Times New Roman" w:hAnsi="Times New Roman"/>
      <w:sz w:val="21"/>
    </w:rPr>
  </w:style>
  <w:style w:type="paragraph" w:customStyle="1" w:styleId="53">
    <w:name w:val="表格（方）"/>
    <w:qFormat/>
    <w:uiPriority w:val="0"/>
    <w:pPr>
      <w:spacing w:before="20" w:beforeLines="20" w:after="20" w:afterLines="20"/>
      <w:jc w:val="center"/>
    </w:pPr>
    <w:rPr>
      <w:rFonts w:ascii="Times New Roman" w:hAnsi="Times New Roman" w:eastAsia="宋体" w:cs="Times New Roman"/>
      <w:snapToGrid w:val="0"/>
      <w:sz w:val="21"/>
      <w:lang w:val="en-US" w:eastAsia="zh-CN" w:bidi="ar-SA"/>
    </w:rPr>
  </w:style>
  <w:style w:type="paragraph" w:customStyle="1" w:styleId="54">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5">
    <w:name w:val="列出段落2"/>
    <w:basedOn w:val="1"/>
    <w:qFormat/>
    <w:uiPriority w:val="99"/>
    <w:pPr>
      <w:ind w:firstLine="420" w:firstLineChars="200"/>
    </w:pPr>
    <w:rPr>
      <w:rFonts w:ascii="Calibri" w:hAnsi="Calibri"/>
      <w:szCs w:val="22"/>
    </w:rPr>
  </w:style>
  <w:style w:type="paragraph" w:customStyle="1" w:styleId="56">
    <w:name w:val="1_正文"/>
    <w:basedOn w:val="1"/>
    <w:qFormat/>
    <w:uiPriority w:val="0"/>
    <w:pPr>
      <w:adjustRightInd w:val="0"/>
      <w:snapToGrid w:val="0"/>
      <w:spacing w:line="360" w:lineRule="auto"/>
      <w:ind w:firstLine="480" w:firstLineChars="200"/>
    </w:pPr>
    <w:rPr>
      <w:color w:val="000000"/>
      <w:sz w:val="24"/>
    </w:rPr>
  </w:style>
  <w:style w:type="paragraph" w:customStyle="1" w:styleId="57">
    <w:name w:val="表格文字"/>
    <w:basedOn w:val="9"/>
    <w:qFormat/>
    <w:uiPriority w:val="0"/>
    <w:pPr>
      <w:spacing w:line="560" w:lineRule="exact"/>
      <w:jc w:val="center"/>
    </w:pPr>
  </w:style>
  <w:style w:type="paragraph" w:customStyle="1" w:styleId="58">
    <w:name w:val="萝卜"/>
    <w:basedOn w:val="1"/>
    <w:qFormat/>
    <w:uiPriority w:val="0"/>
    <w:pPr>
      <w:tabs>
        <w:tab w:val="left" w:pos="540"/>
      </w:tabs>
      <w:spacing w:line="360" w:lineRule="auto"/>
      <w:ind w:firstLine="200" w:firstLineChars="200"/>
    </w:pPr>
    <w:rPr>
      <w:sz w:val="24"/>
    </w:rPr>
  </w:style>
  <w:style w:type="paragraph" w:styleId="59">
    <w:name w:val="No Spacing"/>
    <w:qFormat/>
    <w:uiPriority w:val="1"/>
    <w:pPr>
      <w:widowControl w:val="0"/>
      <w:adjustRightInd w:val="0"/>
      <w:snapToGrid w:val="0"/>
      <w:jc w:val="center"/>
    </w:pPr>
    <w:rPr>
      <w:rFonts w:ascii="Times New Roman" w:hAnsi="Times New Roman" w:eastAsia="宋体" w:cs="Times New Roman"/>
      <w:kern w:val="2"/>
      <w:sz w:val="21"/>
      <w:szCs w:val="22"/>
      <w:lang w:val="en-US" w:eastAsia="zh-CN" w:bidi="ar-SA"/>
    </w:rPr>
  </w:style>
  <w:style w:type="paragraph" w:customStyle="1" w:styleId="60">
    <w:name w:val="正文缩进1"/>
    <w:next w:val="1"/>
    <w:qFormat/>
    <w:uiPriority w:val="0"/>
    <w:pPr>
      <w:widowControl w:val="0"/>
      <w:ind w:firstLine="200" w:firstLineChars="200"/>
      <w:jc w:val="both"/>
    </w:pPr>
    <w:rPr>
      <w:rFonts w:ascii="Times New Roman" w:hAnsi="Times New Roman" w:eastAsia="宋体" w:cs="Times New Roman"/>
      <w:kern w:val="2"/>
      <w:sz w:val="36"/>
      <w:szCs w:val="24"/>
      <w:lang w:val="en-US" w:eastAsia="zh-CN" w:bidi="ar-SA"/>
    </w:rPr>
  </w:style>
  <w:style w:type="paragraph" w:customStyle="1" w:styleId="61">
    <w:name w:val="Table Text"/>
    <w:basedOn w:val="1"/>
    <w:semiHidden/>
    <w:qFormat/>
    <w:uiPriority w:val="0"/>
    <w:rPr>
      <w:rFonts w:ascii="宋体" w:hAnsi="宋体" w:eastAsia="宋体" w:cs="宋体"/>
      <w:sz w:val="24"/>
      <w:szCs w:val="24"/>
      <w:lang w:val="en-US" w:eastAsia="en-US" w:bidi="ar-SA"/>
    </w:rPr>
  </w:style>
  <w:style w:type="table" w:customStyle="1" w:styleId="62">
    <w:name w:val="Table Normal"/>
    <w:unhideWhenUsed/>
    <w:qFormat/>
    <w:uiPriority w:val="0"/>
    <w:tblPr>
      <w:tblCellMar>
        <w:top w:w="0" w:type="dxa"/>
        <w:left w:w="0" w:type="dxa"/>
        <w:bottom w:w="0" w:type="dxa"/>
        <w:right w:w="0" w:type="dxa"/>
      </w:tblCellMar>
    </w:tblPr>
  </w:style>
  <w:style w:type="character" w:customStyle="1" w:styleId="63">
    <w:name w:val="font21"/>
    <w:basedOn w:val="27"/>
    <w:qFormat/>
    <w:uiPriority w:val="0"/>
    <w:rPr>
      <w:rFonts w:hint="eastAsia" w:ascii="宋体" w:hAnsi="宋体" w:eastAsia="宋体" w:cs="宋体"/>
      <w:color w:val="000000"/>
      <w:sz w:val="21"/>
      <w:szCs w:val="21"/>
      <w:u w:val="none"/>
    </w:rPr>
  </w:style>
  <w:style w:type="character" w:customStyle="1" w:styleId="64">
    <w:name w:val="font11"/>
    <w:basedOn w:val="27"/>
    <w:qFormat/>
    <w:uiPriority w:val="0"/>
    <w:rPr>
      <w:rFonts w:hint="default" w:ascii="Times New Roman" w:hAnsi="Times New Roman" w:cs="Times New Roman"/>
      <w:color w:val="000000"/>
      <w:sz w:val="21"/>
      <w:szCs w:val="21"/>
      <w:u w:val="none"/>
    </w:rPr>
  </w:style>
  <w:style w:type="character" w:customStyle="1" w:styleId="65">
    <w:name w:val="font31"/>
    <w:basedOn w:val="27"/>
    <w:qFormat/>
    <w:uiPriority w:val="0"/>
    <w:rPr>
      <w:rFonts w:hint="default" w:ascii="Times New Roman" w:hAnsi="Times New Roman" w:cs="Times New Roman"/>
      <w:color w:val="000000"/>
      <w:sz w:val="21"/>
      <w:szCs w:val="21"/>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jpeg"/><Relationship Id="rId13" Type="http://schemas.openxmlformats.org/officeDocument/2006/relationships/image" Target="media/image3.wmf"/><Relationship Id="rId12" Type="http://schemas.openxmlformats.org/officeDocument/2006/relationships/oleObject" Target="embeddings/oleObject1.bin"/><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66</Pages>
  <Words>14820</Words>
  <Characters>15564</Characters>
  <Lines>13</Lines>
  <Paragraphs>3</Paragraphs>
  <TotalTime>37</TotalTime>
  <ScaleCrop>false</ScaleCrop>
  <LinksUpToDate>false</LinksUpToDate>
  <CharactersWithSpaces>15630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庞文渊</cp:lastModifiedBy>
  <cp:lastPrinted>2025-06-04T01:59:00Z</cp:lastPrinted>
  <dcterms:modified xsi:type="dcterms:W3CDTF">2025-09-19T04:22:21Z</dcterms:modified>
  <dc:title>附件2</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E69F0A08E1E14FF5A69B7BDAF396DA9C_13</vt:lpwstr>
  </property>
  <property fmtid="{D5CDD505-2E9C-101B-9397-08002B2CF9AE}" pid="4" name="KSOTemplateDocerSaveRecord">
    <vt:lpwstr>eyJoZGlkIjoiNTVlOTVlMmU4YzZjYjI4MGYxOTM1ZDg3YTRmNGZiZDAiLCJ1c2VySWQiOiI0NDMxMTg1MzgifQ==</vt:lpwstr>
  </property>
</Properties>
</file>