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691F0">
      <w:pPr>
        <w:rPr>
          <w:rFonts w:hint="default" w:ascii="Times New Roman" w:hAnsi="Times New Roman" w:eastAsia="仿宋_GB2312" w:cs="Times New Roman"/>
          <w:color w:val="auto"/>
          <w:sz w:val="36"/>
          <w:szCs w:val="36"/>
          <w:highlight w:val="none"/>
        </w:rPr>
      </w:pPr>
    </w:p>
    <w:p w14:paraId="70DB5F73">
      <w:pPr>
        <w:rPr>
          <w:rFonts w:hint="default" w:ascii="Times New Roman" w:hAnsi="Times New Roman" w:eastAsia="仿宋_GB2312" w:cs="Times New Roman"/>
          <w:color w:val="auto"/>
          <w:sz w:val="36"/>
          <w:szCs w:val="36"/>
          <w:highlight w:val="none"/>
        </w:rPr>
      </w:pPr>
    </w:p>
    <w:p w14:paraId="685D47C9">
      <w:pPr>
        <w:rPr>
          <w:rFonts w:hint="default" w:ascii="Times New Roman" w:hAnsi="Times New Roman" w:eastAsia="仿宋_GB2312" w:cs="Times New Roman"/>
          <w:color w:val="auto"/>
          <w:sz w:val="36"/>
          <w:szCs w:val="36"/>
          <w:highlight w:val="none"/>
        </w:rPr>
      </w:pPr>
    </w:p>
    <w:p w14:paraId="75AABB24">
      <w:pPr>
        <w:rPr>
          <w:rFonts w:hint="default" w:ascii="Times New Roman" w:hAnsi="Times New Roman" w:eastAsia="仿宋_GB2312" w:cs="Times New Roman"/>
          <w:color w:val="auto"/>
          <w:sz w:val="36"/>
          <w:szCs w:val="36"/>
          <w:highlight w:val="none"/>
        </w:rPr>
      </w:pPr>
    </w:p>
    <w:p w14:paraId="66192BAE">
      <w:pPr>
        <w:rPr>
          <w:rFonts w:hint="default" w:ascii="Times New Roman" w:hAnsi="Times New Roman" w:eastAsia="仿宋_GB2312" w:cs="Times New Roman"/>
          <w:color w:val="auto"/>
          <w:sz w:val="36"/>
          <w:szCs w:val="36"/>
          <w:highlight w:val="none"/>
        </w:rPr>
      </w:pPr>
    </w:p>
    <w:p w14:paraId="4B93794A">
      <w:pPr>
        <w:rPr>
          <w:rFonts w:hint="default" w:ascii="Times New Roman" w:hAnsi="Times New Roman" w:eastAsia="仿宋_GB2312" w:cs="Times New Roman"/>
          <w:color w:val="auto"/>
          <w:sz w:val="36"/>
          <w:szCs w:val="36"/>
          <w:highlight w:val="none"/>
        </w:rPr>
      </w:pPr>
    </w:p>
    <w:p w14:paraId="7D4AA66D">
      <w:pPr>
        <w:rPr>
          <w:rFonts w:hint="default" w:ascii="Times New Roman" w:hAnsi="Times New Roman" w:eastAsia="仿宋_GB2312" w:cs="Times New Roman"/>
          <w:color w:val="auto"/>
          <w:sz w:val="36"/>
          <w:szCs w:val="36"/>
          <w:highlight w:val="none"/>
        </w:rPr>
      </w:pPr>
    </w:p>
    <w:p w14:paraId="026F265B">
      <w:pPr>
        <w:adjustRightInd w:val="0"/>
        <w:snapToGrid w:val="0"/>
        <w:jc w:val="center"/>
        <w:outlineLvl w:val="0"/>
        <w:rPr>
          <w:rFonts w:hint="eastAsia" w:ascii="黑体" w:hAnsi="黑体" w:eastAsia="黑体" w:cs="黑体"/>
          <w:bCs/>
          <w:color w:val="auto"/>
          <w:sz w:val="72"/>
          <w:szCs w:val="72"/>
          <w:highlight w:val="none"/>
        </w:rPr>
      </w:pPr>
      <w:bookmarkStart w:id="0" w:name="_Toc1592"/>
      <w:r>
        <w:rPr>
          <w:rFonts w:hint="eastAsia" w:ascii="黑体" w:hAnsi="黑体" w:eastAsia="黑体" w:cs="黑体"/>
          <w:bCs/>
          <w:color w:val="auto"/>
          <w:sz w:val="72"/>
          <w:szCs w:val="72"/>
          <w:highlight w:val="none"/>
        </w:rPr>
        <w:t>建设项目环境影响报告表</w:t>
      </w:r>
      <w:bookmarkEnd w:id="0"/>
    </w:p>
    <w:p w14:paraId="34884CD3">
      <w:pPr>
        <w:adjustRightInd w:val="0"/>
        <w:snapToGrid w:val="0"/>
        <w:spacing w:before="192" w:beforeLines="80"/>
        <w:jc w:val="center"/>
        <w:rPr>
          <w:rFonts w:hint="default" w:ascii="Times New Roman" w:hAnsi="Times New Roman" w:eastAsia="楷体_GB2312" w:cs="Times New Roman"/>
          <w:bCs/>
          <w:color w:val="auto"/>
          <w:sz w:val="48"/>
          <w:szCs w:val="48"/>
          <w:highlight w:val="none"/>
        </w:rPr>
      </w:pPr>
      <w:r>
        <w:rPr>
          <w:rFonts w:hint="default" w:ascii="Times New Roman" w:hAnsi="Times New Roman" w:eastAsia="楷体_GB2312" w:cs="Times New Roman"/>
          <w:bCs/>
          <w:color w:val="auto"/>
          <w:sz w:val="48"/>
          <w:szCs w:val="48"/>
          <w:highlight w:val="none"/>
        </w:rPr>
        <w:t>（污染影响类）</w:t>
      </w:r>
    </w:p>
    <w:p w14:paraId="613DEE9F">
      <w:pPr>
        <w:adjustRightInd w:val="0"/>
        <w:snapToGrid w:val="0"/>
        <w:spacing w:line="288" w:lineRule="auto"/>
        <w:jc w:val="center"/>
        <w:outlineLvl w:val="0"/>
        <w:rPr>
          <w:rFonts w:hint="default" w:ascii="Times New Roman" w:hAnsi="Times New Roman" w:eastAsia="华文仿宋" w:cs="Times New Roman"/>
          <w:color w:val="auto"/>
          <w:kern w:val="44"/>
          <w:sz w:val="44"/>
          <w:szCs w:val="44"/>
          <w:highlight w:val="none"/>
        </w:rPr>
      </w:pPr>
    </w:p>
    <w:p w14:paraId="35442B67">
      <w:pPr>
        <w:jc w:val="center"/>
        <w:rPr>
          <w:rFonts w:hint="default" w:ascii="Times New Roman" w:hAnsi="Times New Roman" w:eastAsia="仿宋" w:cs="Times New Roman"/>
          <w:color w:val="auto"/>
          <w:sz w:val="52"/>
          <w:szCs w:val="52"/>
          <w:highlight w:val="none"/>
        </w:rPr>
      </w:pPr>
    </w:p>
    <w:p w14:paraId="4EC42379">
      <w:pPr>
        <w:ind w:firstLine="1040"/>
        <w:rPr>
          <w:rFonts w:hint="default" w:ascii="Times New Roman" w:hAnsi="Times New Roman" w:eastAsia="仿宋" w:cs="Times New Roman"/>
          <w:color w:val="auto"/>
          <w:sz w:val="44"/>
          <w:szCs w:val="44"/>
          <w:highlight w:val="none"/>
        </w:rPr>
      </w:pPr>
    </w:p>
    <w:p w14:paraId="521FDD08">
      <w:pPr>
        <w:ind w:firstLine="1040"/>
        <w:rPr>
          <w:rFonts w:hint="default" w:ascii="Times New Roman" w:hAnsi="Times New Roman" w:eastAsia="仿宋" w:cs="Times New Roman"/>
          <w:color w:val="auto"/>
          <w:sz w:val="44"/>
          <w:szCs w:val="44"/>
          <w:highlight w:val="none"/>
        </w:rPr>
      </w:pPr>
    </w:p>
    <w:p w14:paraId="4FD20330">
      <w:pPr>
        <w:ind w:firstLine="1040"/>
        <w:rPr>
          <w:rFonts w:hint="default" w:ascii="Times New Roman" w:hAnsi="Times New Roman" w:eastAsia="仿宋" w:cs="Times New Roman"/>
          <w:color w:val="auto"/>
          <w:sz w:val="44"/>
          <w:szCs w:val="44"/>
          <w:highlight w:val="none"/>
        </w:rPr>
      </w:pPr>
    </w:p>
    <w:p w14:paraId="437DCAC1">
      <w:pPr>
        <w:ind w:firstLine="1040"/>
        <w:rPr>
          <w:rFonts w:hint="default" w:ascii="Times New Roman" w:hAnsi="Times New Roman" w:eastAsia="仿宋" w:cs="Times New Roman"/>
          <w:color w:val="auto"/>
          <w:sz w:val="44"/>
          <w:szCs w:val="44"/>
          <w:highlight w:val="none"/>
        </w:rPr>
      </w:pPr>
    </w:p>
    <w:p w14:paraId="2233A0E4">
      <w:pPr>
        <w:ind w:firstLine="1040"/>
        <w:rPr>
          <w:rFonts w:hint="default" w:ascii="Times New Roman" w:hAnsi="Times New Roman" w:eastAsia="仿宋" w:cs="Times New Roman"/>
          <w:color w:val="auto"/>
          <w:sz w:val="44"/>
          <w:szCs w:val="44"/>
          <w:highlight w:val="none"/>
        </w:rPr>
      </w:pPr>
    </w:p>
    <w:p w14:paraId="17F8164D">
      <w:pPr>
        <w:ind w:firstLine="1040"/>
        <w:rPr>
          <w:rFonts w:hint="default" w:ascii="Times New Roman" w:hAnsi="Times New Roman" w:eastAsia="仿宋" w:cs="Times New Roman"/>
          <w:color w:val="auto"/>
          <w:sz w:val="44"/>
          <w:szCs w:val="44"/>
          <w:highlight w:val="none"/>
        </w:rPr>
      </w:pPr>
    </w:p>
    <w:p w14:paraId="7BA20D7C">
      <w:pPr>
        <w:ind w:firstLine="1040"/>
        <w:rPr>
          <w:rFonts w:hint="default" w:ascii="Times New Roman" w:hAnsi="Times New Roman" w:eastAsia="仿宋" w:cs="Times New Roman"/>
          <w:color w:val="auto"/>
          <w:sz w:val="44"/>
          <w:szCs w:val="44"/>
          <w:highlight w:val="none"/>
        </w:rPr>
      </w:pPr>
    </w:p>
    <w:p w14:paraId="2972F478">
      <w:pPr>
        <w:adjustRightInd w:val="0"/>
        <w:snapToGrid w:val="0"/>
        <w:spacing w:line="288" w:lineRule="auto"/>
        <w:ind w:left="0" w:leftChars="0" w:firstLine="0" w:firstLineChars="0"/>
        <w:rPr>
          <w:rFonts w:hint="default" w:ascii="Times New Roman" w:hAnsi="Times New Roman" w:eastAsia="仿宋_GB2312" w:cs="Times New Roman"/>
          <w:color w:val="auto"/>
          <w:sz w:val="36"/>
          <w:szCs w:val="36"/>
          <w:highlight w:val="none"/>
          <w:u w:val="single"/>
          <w:lang w:val="en-US" w:eastAsia="zh-CN"/>
        </w:rPr>
      </w:pPr>
      <w:r>
        <w:rPr>
          <w:rFonts w:hint="default" w:ascii="Times New Roman" w:hAnsi="Times New Roman" w:eastAsia="仿宋_GB2312" w:cs="Times New Roman"/>
          <w:color w:val="auto"/>
          <w:sz w:val="36"/>
          <w:szCs w:val="36"/>
          <w:highlight w:val="none"/>
        </w:rPr>
        <w:t>项目名称：</w:t>
      </w:r>
      <w:r>
        <w:rPr>
          <w:rFonts w:hint="default" w:ascii="Times New Roman" w:hAnsi="Times New Roman" w:eastAsia="仿宋_GB2312" w:cs="Times New Roman"/>
          <w:color w:val="auto"/>
          <w:sz w:val="36"/>
          <w:szCs w:val="36"/>
          <w:highlight w:val="none"/>
          <w:u w:val="single"/>
          <w:lang w:val="en-US" w:eastAsia="zh-CN"/>
        </w:rPr>
        <w:t xml:space="preserve">    </w:t>
      </w:r>
      <w:r>
        <w:rPr>
          <w:rFonts w:hint="eastAsia" w:eastAsia="仿宋_GB2312" w:cs="Times New Roman"/>
          <w:color w:val="auto"/>
          <w:sz w:val="36"/>
          <w:szCs w:val="36"/>
          <w:highlight w:val="none"/>
          <w:u w:val="single"/>
          <w:lang w:val="en-US" w:eastAsia="zh-CN"/>
        </w:rPr>
        <w:t xml:space="preserve">  </w:t>
      </w:r>
      <w:r>
        <w:rPr>
          <w:rFonts w:hint="default" w:ascii="Times New Roman" w:hAnsi="Times New Roman" w:eastAsia="仿宋_GB2312" w:cs="Times New Roman"/>
          <w:color w:val="auto"/>
          <w:sz w:val="36"/>
          <w:szCs w:val="36"/>
          <w:highlight w:val="none"/>
          <w:u w:val="single"/>
          <w:lang w:val="en-US" w:eastAsia="zh-CN"/>
        </w:rPr>
        <w:t xml:space="preserve">一般固体废物资源化利用项目 </w:t>
      </w:r>
      <w:r>
        <w:rPr>
          <w:rFonts w:hint="eastAsia" w:eastAsia="仿宋_GB2312" w:cs="Times New Roman"/>
          <w:color w:val="auto"/>
          <w:sz w:val="36"/>
          <w:szCs w:val="36"/>
          <w:highlight w:val="none"/>
          <w:u w:val="single"/>
          <w:lang w:val="en-US" w:eastAsia="zh-CN"/>
        </w:rPr>
        <w:t xml:space="preserve">  </w:t>
      </w:r>
      <w:r>
        <w:rPr>
          <w:rFonts w:hint="default" w:ascii="Times New Roman" w:hAnsi="Times New Roman" w:eastAsia="仿宋_GB2312" w:cs="Times New Roman"/>
          <w:color w:val="auto"/>
          <w:sz w:val="36"/>
          <w:szCs w:val="36"/>
          <w:highlight w:val="none"/>
          <w:u w:val="single"/>
          <w:lang w:val="en-US" w:eastAsia="zh-CN"/>
        </w:rPr>
        <w:t xml:space="preserve">   </w:t>
      </w:r>
    </w:p>
    <w:p w14:paraId="672BBE20">
      <w:pPr>
        <w:adjustRightInd w:val="0"/>
        <w:snapToGrid w:val="0"/>
        <w:spacing w:line="288" w:lineRule="auto"/>
        <w:ind w:left="0" w:leftChars="0" w:firstLine="0" w:firstLineChars="0"/>
        <w:rPr>
          <w:rFonts w:hint="default" w:ascii="Times New Roman" w:hAnsi="Times New Roman" w:eastAsia="仿宋_GB2312" w:cs="Times New Roman"/>
          <w:color w:val="auto"/>
          <w:sz w:val="36"/>
          <w:szCs w:val="36"/>
          <w:highlight w:val="none"/>
          <w:u w:val="single"/>
          <w:lang w:val="en-US"/>
        </w:rPr>
      </w:pPr>
      <w:r>
        <w:rPr>
          <w:rFonts w:hint="default" w:ascii="Times New Roman" w:hAnsi="Times New Roman" w:eastAsia="仿宋_GB2312" w:cs="Times New Roman"/>
          <w:color w:val="auto"/>
          <w:sz w:val="36"/>
          <w:szCs w:val="36"/>
          <w:highlight w:val="none"/>
        </w:rPr>
        <w:t>建设单位（盖章）：</w:t>
      </w:r>
      <w:r>
        <w:rPr>
          <w:rFonts w:hint="default" w:ascii="Times New Roman" w:hAnsi="Times New Roman" w:eastAsia="仿宋_GB2312" w:cs="Times New Roman"/>
          <w:color w:val="auto"/>
          <w:sz w:val="36"/>
          <w:szCs w:val="36"/>
          <w:highlight w:val="none"/>
          <w:u w:val="single"/>
          <w:lang w:val="en-US" w:eastAsia="zh-CN"/>
        </w:rPr>
        <w:t xml:space="preserve"> 陕西无废大秦环保科技有限公司 </w:t>
      </w:r>
    </w:p>
    <w:p w14:paraId="1E70CED4">
      <w:pPr>
        <w:adjustRightInd w:val="0"/>
        <w:snapToGrid w:val="0"/>
        <w:spacing w:line="288" w:lineRule="auto"/>
        <w:ind w:left="0" w:leftChars="0" w:firstLine="0" w:firstLineChars="0"/>
        <w:rPr>
          <w:rFonts w:hint="default" w:ascii="Times New Roman" w:hAnsi="Times New Roman" w:eastAsia="仿宋_GB2312" w:cs="Times New Roman"/>
          <w:color w:val="auto"/>
          <w:sz w:val="36"/>
          <w:szCs w:val="36"/>
          <w:highlight w:val="none"/>
          <w:u w:val="single"/>
        </w:rPr>
      </w:pPr>
      <w:r>
        <w:rPr>
          <w:rFonts w:hint="default" w:ascii="Times New Roman" w:hAnsi="Times New Roman" w:eastAsia="仿宋_GB2312" w:cs="Times New Roman"/>
          <w:color w:val="auto"/>
          <w:sz w:val="36"/>
          <w:szCs w:val="36"/>
          <w:highlight w:val="none"/>
        </w:rPr>
        <w:t>编制日期：</w:t>
      </w:r>
      <w:r>
        <w:rPr>
          <w:rFonts w:hint="default" w:ascii="Times New Roman" w:hAnsi="Times New Roman" w:eastAsia="仿宋_GB2312" w:cs="Times New Roman"/>
          <w:color w:val="auto"/>
          <w:sz w:val="36"/>
          <w:szCs w:val="36"/>
          <w:highlight w:val="none"/>
          <w:u w:val="single"/>
        </w:rPr>
        <w:t xml:space="preserve">    </w:t>
      </w:r>
      <w:r>
        <w:rPr>
          <w:rFonts w:hint="default" w:ascii="Times New Roman" w:hAnsi="Times New Roman" w:eastAsia="仿宋_GB2312" w:cs="Times New Roman"/>
          <w:color w:val="auto"/>
          <w:sz w:val="36"/>
          <w:szCs w:val="36"/>
          <w:highlight w:val="none"/>
          <w:u w:val="single"/>
          <w:lang w:val="en-US" w:eastAsia="zh-CN"/>
        </w:rPr>
        <w:t xml:space="preserve">      </w:t>
      </w:r>
      <w:r>
        <w:rPr>
          <w:rFonts w:hint="default" w:ascii="Times New Roman" w:hAnsi="Times New Roman" w:eastAsia="仿宋_GB2312" w:cs="Times New Roman"/>
          <w:color w:val="auto"/>
          <w:sz w:val="36"/>
          <w:szCs w:val="36"/>
          <w:highlight w:val="none"/>
          <w:u w:val="single"/>
        </w:rPr>
        <w:t xml:space="preserve">  </w:t>
      </w:r>
      <w:r>
        <w:rPr>
          <w:rFonts w:hint="default" w:ascii="Times New Roman" w:hAnsi="Times New Roman" w:eastAsia="仿宋_GB2312" w:cs="Times New Roman"/>
          <w:color w:val="auto"/>
          <w:sz w:val="36"/>
          <w:szCs w:val="36"/>
          <w:highlight w:val="none"/>
          <w:u w:val="single"/>
          <w:lang w:val="en-US" w:eastAsia="zh-CN"/>
        </w:rPr>
        <w:t>二〇二五年</w:t>
      </w:r>
      <w:r>
        <w:rPr>
          <w:rFonts w:hint="eastAsia" w:eastAsia="仿宋_GB2312" w:cs="Times New Roman"/>
          <w:color w:val="auto"/>
          <w:sz w:val="36"/>
          <w:szCs w:val="36"/>
          <w:highlight w:val="none"/>
          <w:u w:val="single"/>
          <w:lang w:val="en-US" w:eastAsia="zh-CN"/>
        </w:rPr>
        <w:t>九</w:t>
      </w:r>
      <w:r>
        <w:rPr>
          <w:rFonts w:hint="default" w:ascii="Times New Roman" w:hAnsi="Times New Roman" w:eastAsia="仿宋_GB2312" w:cs="Times New Roman"/>
          <w:color w:val="auto"/>
          <w:sz w:val="36"/>
          <w:szCs w:val="36"/>
          <w:highlight w:val="none"/>
          <w:u w:val="single"/>
          <w:lang w:val="en-US" w:eastAsia="zh-CN"/>
        </w:rPr>
        <w:t>月</w:t>
      </w:r>
      <w:r>
        <w:rPr>
          <w:rFonts w:hint="default" w:ascii="Times New Roman" w:hAnsi="Times New Roman" w:eastAsia="仿宋_GB2312" w:cs="Times New Roman"/>
          <w:color w:val="auto"/>
          <w:sz w:val="36"/>
          <w:szCs w:val="36"/>
          <w:highlight w:val="none"/>
          <w:u w:val="single"/>
        </w:rPr>
        <w:t xml:space="preserve">    </w:t>
      </w:r>
      <w:r>
        <w:rPr>
          <w:rFonts w:hint="default" w:ascii="Times New Roman" w:hAnsi="Times New Roman" w:eastAsia="仿宋_GB2312" w:cs="Times New Roman"/>
          <w:color w:val="auto"/>
          <w:sz w:val="36"/>
          <w:szCs w:val="36"/>
          <w:highlight w:val="none"/>
          <w:u w:val="single"/>
          <w:lang w:val="en-US" w:eastAsia="zh-CN"/>
        </w:rPr>
        <w:t xml:space="preserve">       </w:t>
      </w:r>
      <w:r>
        <w:rPr>
          <w:rFonts w:hint="default" w:ascii="Times New Roman" w:hAnsi="Times New Roman" w:eastAsia="仿宋_GB2312" w:cs="Times New Roman"/>
          <w:color w:val="auto"/>
          <w:sz w:val="36"/>
          <w:szCs w:val="36"/>
          <w:highlight w:val="none"/>
          <w:u w:val="single"/>
        </w:rPr>
        <w:t xml:space="preserve"> </w:t>
      </w:r>
    </w:p>
    <w:p w14:paraId="00D0420D">
      <w:pPr>
        <w:adjustRightInd w:val="0"/>
        <w:snapToGrid w:val="0"/>
        <w:spacing w:line="288" w:lineRule="auto"/>
        <w:ind w:firstLine="1040"/>
        <w:rPr>
          <w:rFonts w:hint="default" w:ascii="Times New Roman" w:hAnsi="Times New Roman" w:eastAsia="仿宋_GB2312" w:cs="Times New Roman"/>
          <w:color w:val="auto"/>
          <w:sz w:val="36"/>
          <w:szCs w:val="36"/>
          <w:highlight w:val="none"/>
          <w:u w:val="single"/>
        </w:rPr>
      </w:pPr>
      <w:bookmarkStart w:id="1" w:name="_Hlk57884087"/>
    </w:p>
    <w:p w14:paraId="3EE309F6">
      <w:pPr>
        <w:adjustRightInd w:val="0"/>
        <w:snapToGrid w:val="0"/>
        <w:spacing w:line="288" w:lineRule="auto"/>
        <w:ind w:firstLine="1040"/>
        <w:rPr>
          <w:rFonts w:hint="default" w:ascii="Times New Roman" w:hAnsi="Times New Roman" w:eastAsia="仿宋_GB2312" w:cs="Times New Roman"/>
          <w:color w:val="auto"/>
          <w:sz w:val="36"/>
          <w:szCs w:val="36"/>
          <w:highlight w:val="none"/>
        </w:rPr>
      </w:pPr>
    </w:p>
    <w:bookmarkEnd w:id="1"/>
    <w:p w14:paraId="0A6CE430">
      <w:pPr>
        <w:adjustRightInd w:val="0"/>
        <w:snapToGrid w:val="0"/>
        <w:spacing w:line="288" w:lineRule="auto"/>
        <w:jc w:val="center"/>
        <w:rPr>
          <w:rFonts w:hint="default" w:ascii="Times New Roman" w:hAnsi="Times New Roman" w:eastAsia="楷体_GB2312" w:cs="Times New Roman"/>
          <w:color w:val="auto"/>
          <w:sz w:val="36"/>
          <w:szCs w:val="36"/>
          <w:highlight w:val="none"/>
        </w:rPr>
        <w:sectPr>
          <w:headerReference r:id="rId3" w:type="default"/>
          <w:footerReference r:id="rId4" w:type="default"/>
          <w:footerReference r:id="rId5" w:type="even"/>
          <w:pgSz w:w="11906" w:h="16838"/>
          <w:pgMar w:top="1701" w:right="1531" w:bottom="1701" w:left="1531" w:header="851" w:footer="1077" w:gutter="0"/>
          <w:pgNumType w:fmt="decimal" w:start="3"/>
          <w:cols w:space="720" w:num="1"/>
          <w:docGrid w:linePitch="312" w:charSpace="0"/>
        </w:sectPr>
      </w:pPr>
      <w:r>
        <w:rPr>
          <w:rFonts w:hint="default" w:ascii="Times New Roman" w:hAnsi="Times New Roman" w:eastAsia="楷体_GB2312" w:cs="Times New Roman"/>
          <w:color w:val="auto"/>
          <w:sz w:val="36"/>
          <w:szCs w:val="36"/>
          <w:highlight w:val="none"/>
        </w:rPr>
        <w:t>中华人民共和国生态环境部制</w:t>
      </w:r>
    </w:p>
    <w:p w14:paraId="65860FB1">
      <w:pPr>
        <w:adjustRightInd w:val="0"/>
        <w:snapToGrid w:val="0"/>
        <w:spacing w:line="288" w:lineRule="auto"/>
        <w:jc w:val="center"/>
        <w:rPr>
          <w:rFonts w:hint="default" w:ascii="Times New Roman" w:hAnsi="Times New Roman" w:eastAsia="楷体_GB2312" w:cs="Times New Roman"/>
          <w:color w:val="auto"/>
          <w:sz w:val="36"/>
          <w:szCs w:val="36"/>
          <w:highlight w:val="none"/>
        </w:rPr>
        <w:sectPr>
          <w:pgSz w:w="11906" w:h="16838"/>
          <w:pgMar w:top="1701" w:right="1531" w:bottom="1701" w:left="1531" w:header="851" w:footer="1077" w:gutter="0"/>
          <w:pgNumType w:fmt="decimal" w:start="3"/>
          <w:cols w:space="720" w:num="1"/>
          <w:docGrid w:linePitch="312" w:charSpace="0"/>
        </w:sectPr>
      </w:pPr>
    </w:p>
    <w:p w14:paraId="4EE3EA5E">
      <w:pPr>
        <w:adjustRightInd w:val="0"/>
        <w:snapToGrid w:val="0"/>
        <w:spacing w:line="288" w:lineRule="auto"/>
        <w:ind w:firstLine="1040"/>
        <w:rPr>
          <w:rFonts w:hint="default" w:ascii="Times New Roman" w:hAnsi="Times New Roman" w:eastAsia="仿宋_GB2312" w:cs="Times New Roman"/>
          <w:color w:val="auto"/>
          <w:sz w:val="36"/>
          <w:szCs w:val="36"/>
          <w:highlight w:val="none"/>
        </w:rPr>
      </w:pPr>
    </w:p>
    <w:p w14:paraId="1777ED17">
      <w:pPr>
        <w:adjustRightInd w:val="0"/>
        <w:snapToGrid w:val="0"/>
        <w:spacing w:line="360" w:lineRule="auto"/>
        <w:ind w:left="0" w:leftChars="0" w:firstLine="0" w:firstLineChars="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仿宋_GB2312" w:cs="Times New Roman"/>
          <w:b/>
          <w:bCs/>
          <w:color w:val="auto"/>
          <w:sz w:val="36"/>
          <w:szCs w:val="36"/>
          <w:highlight w:val="none"/>
          <w:lang w:val="en-US" w:eastAsia="zh-CN"/>
        </w:rPr>
        <w:t xml:space="preserve">目 </w:t>
      </w:r>
      <w:r>
        <w:rPr>
          <w:rFonts w:hint="eastAsia" w:ascii="Times New Roman" w:hAnsi="Times New Roman" w:eastAsia="仿宋_GB2312" w:cs="Times New Roman"/>
          <w:b/>
          <w:bCs/>
          <w:color w:val="auto"/>
          <w:sz w:val="36"/>
          <w:szCs w:val="36"/>
          <w:highlight w:val="none"/>
          <w:lang w:val="en-US" w:eastAsia="zh-CN"/>
        </w:rPr>
        <w:t xml:space="preserve"> </w:t>
      </w:r>
      <w:r>
        <w:rPr>
          <w:rFonts w:hint="default" w:ascii="Times New Roman" w:hAnsi="Times New Roman" w:eastAsia="仿宋_GB2312" w:cs="Times New Roman"/>
          <w:b/>
          <w:bCs/>
          <w:color w:val="auto"/>
          <w:sz w:val="36"/>
          <w:szCs w:val="36"/>
          <w:highlight w:val="none"/>
          <w:lang w:val="en-US" w:eastAsia="zh-CN"/>
        </w:rPr>
        <w:t>录</w:t>
      </w:r>
    </w:p>
    <w:p w14:paraId="6950AA14">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lang w:val="en-US" w:eastAsia="zh-CN"/>
        </w:rPr>
        <w:fldChar w:fldCharType="begin"/>
      </w:r>
      <w:r>
        <w:rPr>
          <w:rFonts w:hint="default" w:ascii="Times New Roman" w:hAnsi="Times New Roman" w:eastAsia="宋体" w:cs="Times New Roman"/>
          <w:color w:val="auto"/>
          <w:sz w:val="24"/>
          <w:szCs w:val="24"/>
          <w:highlight w:val="none"/>
          <w:lang w:val="en-US" w:eastAsia="zh-CN"/>
        </w:rPr>
        <w:instrText xml:space="preserve">TOC \o "1-3" \h \u </w:instrText>
      </w:r>
      <w:r>
        <w:rPr>
          <w:rFonts w:hint="default" w:ascii="Times New Roman" w:hAnsi="Times New Roman" w:eastAsia="宋体" w:cs="Times New Roman"/>
          <w:color w:val="auto"/>
          <w:sz w:val="24"/>
          <w:szCs w:val="24"/>
          <w:highlight w:val="none"/>
          <w:lang w:val="en-US" w:eastAsia="zh-CN"/>
        </w:rPr>
        <w:fldChar w:fldCharType="separate"/>
      </w:r>
    </w:p>
    <w:p w14:paraId="22591F21">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Cs w:val="24"/>
          <w:highlight w:val="none"/>
          <w:lang w:val="en-US" w:eastAsia="zh-CN"/>
        </w:rPr>
        <w:fldChar w:fldCharType="begin"/>
      </w:r>
      <w:r>
        <w:rPr>
          <w:rFonts w:hint="default" w:ascii="Times New Roman" w:hAnsi="Times New Roman" w:eastAsia="宋体" w:cs="Times New Roman"/>
          <w:color w:val="auto"/>
          <w:szCs w:val="24"/>
          <w:highlight w:val="none"/>
          <w:lang w:val="en-US" w:eastAsia="zh-CN"/>
        </w:rPr>
        <w:instrText xml:space="preserve"> HYPERLINK \l _Toc22238 </w:instrText>
      </w:r>
      <w:r>
        <w:rPr>
          <w:rFonts w:hint="default" w:ascii="Times New Roman" w:hAnsi="Times New Roman" w:eastAsia="宋体" w:cs="Times New Roman"/>
          <w:color w:val="auto"/>
          <w:szCs w:val="24"/>
          <w:highlight w:val="none"/>
          <w:lang w:val="en-US" w:eastAsia="zh-CN"/>
        </w:rPr>
        <w:fldChar w:fldCharType="separate"/>
      </w:r>
      <w:r>
        <w:rPr>
          <w:rFonts w:hint="default" w:ascii="Times New Roman" w:hAnsi="Times New Roman" w:eastAsia="黑体" w:cs="Times New Roman"/>
          <w:snapToGrid w:val="0"/>
          <w:color w:val="auto"/>
          <w:szCs w:val="30"/>
          <w:highlight w:val="none"/>
        </w:rPr>
        <w:t>一、建设项目基本情况</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_Toc22238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w:t>
      </w:r>
      <w:r>
        <w:rPr>
          <w:rFonts w:hint="default" w:ascii="Times New Roman" w:hAnsi="Times New Roman" w:cs="Times New Roman"/>
          <w:color w:val="auto"/>
          <w:highlight w:val="none"/>
        </w:rPr>
        <w:fldChar w:fldCharType="end"/>
      </w:r>
      <w:r>
        <w:rPr>
          <w:rFonts w:hint="default" w:ascii="Times New Roman" w:hAnsi="Times New Roman" w:eastAsia="宋体" w:cs="Times New Roman"/>
          <w:color w:val="auto"/>
          <w:szCs w:val="24"/>
          <w:highlight w:val="none"/>
          <w:lang w:val="en-US" w:eastAsia="zh-CN"/>
        </w:rPr>
        <w:fldChar w:fldCharType="end"/>
      </w:r>
    </w:p>
    <w:p w14:paraId="44ECA748">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Cs w:val="24"/>
          <w:highlight w:val="none"/>
          <w:lang w:val="en-US" w:eastAsia="zh-CN"/>
        </w:rPr>
        <w:fldChar w:fldCharType="begin"/>
      </w:r>
      <w:r>
        <w:rPr>
          <w:rFonts w:hint="default" w:ascii="Times New Roman" w:hAnsi="Times New Roman" w:eastAsia="宋体" w:cs="Times New Roman"/>
          <w:color w:val="auto"/>
          <w:szCs w:val="24"/>
          <w:highlight w:val="none"/>
          <w:lang w:val="en-US" w:eastAsia="zh-CN"/>
        </w:rPr>
        <w:instrText xml:space="preserve"> HYPERLINK \l _Toc9183 </w:instrText>
      </w:r>
      <w:r>
        <w:rPr>
          <w:rFonts w:hint="default" w:ascii="Times New Roman" w:hAnsi="Times New Roman" w:eastAsia="宋体" w:cs="Times New Roman"/>
          <w:color w:val="auto"/>
          <w:szCs w:val="24"/>
          <w:highlight w:val="none"/>
          <w:lang w:val="en-US" w:eastAsia="zh-CN"/>
        </w:rPr>
        <w:fldChar w:fldCharType="separate"/>
      </w:r>
      <w:r>
        <w:rPr>
          <w:rFonts w:hint="default" w:ascii="Times New Roman" w:hAnsi="Times New Roman" w:eastAsia="黑体" w:cs="Times New Roman"/>
          <w:snapToGrid w:val="0"/>
          <w:color w:val="auto"/>
          <w:szCs w:val="30"/>
          <w:highlight w:val="none"/>
        </w:rPr>
        <w:t>二、建设项目工程分析</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_Toc9183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16</w:t>
      </w:r>
      <w:r>
        <w:rPr>
          <w:rFonts w:hint="default" w:ascii="Times New Roman" w:hAnsi="Times New Roman" w:cs="Times New Roman"/>
          <w:color w:val="auto"/>
          <w:highlight w:val="none"/>
        </w:rPr>
        <w:fldChar w:fldCharType="end"/>
      </w:r>
      <w:r>
        <w:rPr>
          <w:rFonts w:hint="default" w:ascii="Times New Roman" w:hAnsi="Times New Roman" w:eastAsia="宋体" w:cs="Times New Roman"/>
          <w:color w:val="auto"/>
          <w:szCs w:val="24"/>
          <w:highlight w:val="none"/>
          <w:lang w:val="en-US" w:eastAsia="zh-CN"/>
        </w:rPr>
        <w:fldChar w:fldCharType="end"/>
      </w:r>
    </w:p>
    <w:p w14:paraId="7C5F48E8">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Cs w:val="24"/>
          <w:highlight w:val="none"/>
          <w:lang w:val="en-US" w:eastAsia="zh-CN"/>
        </w:rPr>
        <w:fldChar w:fldCharType="begin"/>
      </w:r>
      <w:r>
        <w:rPr>
          <w:rFonts w:hint="default" w:ascii="Times New Roman" w:hAnsi="Times New Roman" w:eastAsia="宋体" w:cs="Times New Roman"/>
          <w:color w:val="auto"/>
          <w:szCs w:val="24"/>
          <w:highlight w:val="none"/>
          <w:lang w:val="en-US" w:eastAsia="zh-CN"/>
        </w:rPr>
        <w:instrText xml:space="preserve"> HYPERLINK \l _Toc31726 </w:instrText>
      </w:r>
      <w:r>
        <w:rPr>
          <w:rFonts w:hint="default" w:ascii="Times New Roman" w:hAnsi="Times New Roman" w:eastAsia="宋体" w:cs="Times New Roman"/>
          <w:color w:val="auto"/>
          <w:szCs w:val="24"/>
          <w:highlight w:val="none"/>
          <w:lang w:val="en-US" w:eastAsia="zh-CN"/>
        </w:rPr>
        <w:fldChar w:fldCharType="separate"/>
      </w:r>
      <w:r>
        <w:rPr>
          <w:rFonts w:hint="default" w:ascii="Times New Roman" w:hAnsi="Times New Roman" w:eastAsia="黑体" w:cs="Times New Roman"/>
          <w:snapToGrid w:val="0"/>
          <w:color w:val="auto"/>
          <w:szCs w:val="30"/>
          <w:highlight w:val="none"/>
        </w:rPr>
        <w:t>三、区域环境质量现状、环境保护目标及评价标准</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_Toc31726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32</w:t>
      </w:r>
      <w:r>
        <w:rPr>
          <w:rFonts w:hint="default" w:ascii="Times New Roman" w:hAnsi="Times New Roman" w:cs="Times New Roman"/>
          <w:color w:val="auto"/>
          <w:highlight w:val="none"/>
        </w:rPr>
        <w:fldChar w:fldCharType="end"/>
      </w:r>
      <w:r>
        <w:rPr>
          <w:rFonts w:hint="default" w:ascii="Times New Roman" w:hAnsi="Times New Roman" w:eastAsia="宋体" w:cs="Times New Roman"/>
          <w:color w:val="auto"/>
          <w:szCs w:val="24"/>
          <w:highlight w:val="none"/>
          <w:lang w:val="en-US" w:eastAsia="zh-CN"/>
        </w:rPr>
        <w:fldChar w:fldCharType="end"/>
      </w:r>
    </w:p>
    <w:p w14:paraId="5AC99556">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Cs w:val="24"/>
          <w:highlight w:val="none"/>
          <w:lang w:val="en-US" w:eastAsia="zh-CN"/>
        </w:rPr>
        <w:fldChar w:fldCharType="begin"/>
      </w:r>
      <w:r>
        <w:rPr>
          <w:rFonts w:hint="default" w:ascii="Times New Roman" w:hAnsi="Times New Roman" w:eastAsia="宋体" w:cs="Times New Roman"/>
          <w:color w:val="auto"/>
          <w:szCs w:val="24"/>
          <w:highlight w:val="none"/>
          <w:lang w:val="en-US" w:eastAsia="zh-CN"/>
        </w:rPr>
        <w:instrText xml:space="preserve"> HYPERLINK \l _Toc6502 </w:instrText>
      </w:r>
      <w:r>
        <w:rPr>
          <w:rFonts w:hint="default" w:ascii="Times New Roman" w:hAnsi="Times New Roman" w:eastAsia="宋体" w:cs="Times New Roman"/>
          <w:color w:val="auto"/>
          <w:szCs w:val="24"/>
          <w:highlight w:val="none"/>
          <w:lang w:val="en-US" w:eastAsia="zh-CN"/>
        </w:rPr>
        <w:fldChar w:fldCharType="separate"/>
      </w:r>
      <w:r>
        <w:rPr>
          <w:rFonts w:hint="default" w:ascii="Times New Roman" w:hAnsi="Times New Roman" w:eastAsia="黑体" w:cs="Times New Roman"/>
          <w:snapToGrid w:val="0"/>
          <w:color w:val="auto"/>
          <w:szCs w:val="30"/>
          <w:highlight w:val="none"/>
        </w:rPr>
        <w:t>四、主要环境影响和保护措施</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_Toc6502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37</w:t>
      </w:r>
      <w:r>
        <w:rPr>
          <w:rFonts w:hint="default" w:ascii="Times New Roman" w:hAnsi="Times New Roman" w:cs="Times New Roman"/>
          <w:color w:val="auto"/>
          <w:highlight w:val="none"/>
        </w:rPr>
        <w:fldChar w:fldCharType="end"/>
      </w:r>
      <w:r>
        <w:rPr>
          <w:rFonts w:hint="default" w:ascii="Times New Roman" w:hAnsi="Times New Roman" w:eastAsia="宋体" w:cs="Times New Roman"/>
          <w:color w:val="auto"/>
          <w:szCs w:val="24"/>
          <w:highlight w:val="none"/>
          <w:lang w:val="en-US" w:eastAsia="zh-CN"/>
        </w:rPr>
        <w:fldChar w:fldCharType="end"/>
      </w:r>
    </w:p>
    <w:p w14:paraId="231410FE">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Cs w:val="24"/>
          <w:highlight w:val="none"/>
          <w:lang w:val="en-US" w:eastAsia="zh-CN"/>
        </w:rPr>
        <w:fldChar w:fldCharType="begin"/>
      </w:r>
      <w:r>
        <w:rPr>
          <w:rFonts w:hint="default" w:ascii="Times New Roman" w:hAnsi="Times New Roman" w:eastAsia="宋体" w:cs="Times New Roman"/>
          <w:color w:val="auto"/>
          <w:szCs w:val="24"/>
          <w:highlight w:val="none"/>
          <w:lang w:val="en-US" w:eastAsia="zh-CN"/>
        </w:rPr>
        <w:instrText xml:space="preserve"> HYPERLINK \l _Toc2420 </w:instrText>
      </w:r>
      <w:r>
        <w:rPr>
          <w:rFonts w:hint="default" w:ascii="Times New Roman" w:hAnsi="Times New Roman" w:eastAsia="宋体" w:cs="Times New Roman"/>
          <w:color w:val="auto"/>
          <w:szCs w:val="24"/>
          <w:highlight w:val="none"/>
          <w:lang w:val="en-US" w:eastAsia="zh-CN"/>
        </w:rPr>
        <w:fldChar w:fldCharType="separate"/>
      </w:r>
      <w:r>
        <w:rPr>
          <w:rFonts w:hint="default" w:ascii="Times New Roman" w:hAnsi="Times New Roman" w:eastAsia="黑体" w:cs="Times New Roman"/>
          <w:snapToGrid w:val="0"/>
          <w:color w:val="auto"/>
          <w:szCs w:val="30"/>
          <w:highlight w:val="none"/>
        </w:rPr>
        <w:t>五、环境保护措施监督检查清单</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_Toc2420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59</w:t>
      </w:r>
      <w:r>
        <w:rPr>
          <w:rFonts w:hint="default" w:ascii="Times New Roman" w:hAnsi="Times New Roman" w:cs="Times New Roman"/>
          <w:color w:val="auto"/>
          <w:highlight w:val="none"/>
        </w:rPr>
        <w:fldChar w:fldCharType="end"/>
      </w:r>
      <w:r>
        <w:rPr>
          <w:rFonts w:hint="default" w:ascii="Times New Roman" w:hAnsi="Times New Roman" w:eastAsia="宋体" w:cs="Times New Roman"/>
          <w:color w:val="auto"/>
          <w:szCs w:val="24"/>
          <w:highlight w:val="none"/>
          <w:lang w:val="en-US" w:eastAsia="zh-CN"/>
        </w:rPr>
        <w:fldChar w:fldCharType="end"/>
      </w:r>
    </w:p>
    <w:p w14:paraId="339C0BAC">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Cs w:val="24"/>
          <w:highlight w:val="none"/>
          <w:lang w:val="en-US" w:eastAsia="zh-CN"/>
        </w:rPr>
        <w:fldChar w:fldCharType="begin"/>
      </w:r>
      <w:r>
        <w:rPr>
          <w:rFonts w:hint="default" w:ascii="Times New Roman" w:hAnsi="Times New Roman" w:eastAsia="宋体" w:cs="Times New Roman"/>
          <w:color w:val="auto"/>
          <w:szCs w:val="24"/>
          <w:highlight w:val="none"/>
          <w:lang w:val="en-US" w:eastAsia="zh-CN"/>
        </w:rPr>
        <w:instrText xml:space="preserve"> HYPERLINK \l _Toc10658 </w:instrText>
      </w:r>
      <w:r>
        <w:rPr>
          <w:rFonts w:hint="default" w:ascii="Times New Roman" w:hAnsi="Times New Roman" w:eastAsia="宋体" w:cs="Times New Roman"/>
          <w:color w:val="auto"/>
          <w:szCs w:val="24"/>
          <w:highlight w:val="none"/>
          <w:lang w:val="en-US" w:eastAsia="zh-CN"/>
        </w:rPr>
        <w:fldChar w:fldCharType="separate"/>
      </w:r>
      <w:r>
        <w:rPr>
          <w:rFonts w:hint="default" w:ascii="Times New Roman" w:hAnsi="Times New Roman" w:eastAsia="黑体" w:cs="Times New Roman"/>
          <w:snapToGrid w:val="0"/>
          <w:color w:val="auto"/>
          <w:szCs w:val="30"/>
          <w:highlight w:val="none"/>
        </w:rPr>
        <w:t>六、结论</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_Toc10658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63</w:t>
      </w:r>
      <w:r>
        <w:rPr>
          <w:rFonts w:hint="default" w:ascii="Times New Roman" w:hAnsi="Times New Roman" w:cs="Times New Roman"/>
          <w:color w:val="auto"/>
          <w:highlight w:val="none"/>
        </w:rPr>
        <w:fldChar w:fldCharType="end"/>
      </w:r>
      <w:r>
        <w:rPr>
          <w:rFonts w:hint="default" w:ascii="Times New Roman" w:hAnsi="Times New Roman" w:eastAsia="宋体" w:cs="Times New Roman"/>
          <w:color w:val="auto"/>
          <w:szCs w:val="24"/>
          <w:highlight w:val="none"/>
          <w:lang w:val="en-US" w:eastAsia="zh-CN"/>
        </w:rPr>
        <w:fldChar w:fldCharType="end"/>
      </w:r>
    </w:p>
    <w:p w14:paraId="4158B3FF">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eastAsia="黑体" w:cs="Times New Roman"/>
          <w:snapToGrid w:val="0"/>
          <w:color w:val="auto"/>
          <w:szCs w:val="30"/>
          <w:highlight w:val="none"/>
        </w:rPr>
      </w:pPr>
      <w:r>
        <w:rPr>
          <w:rFonts w:hint="default" w:ascii="Times New Roman" w:hAnsi="Times New Roman" w:eastAsia="黑体" w:cs="Times New Roman"/>
          <w:snapToGrid w:val="0"/>
          <w:color w:val="auto"/>
          <w:szCs w:val="30"/>
          <w:highlight w:val="none"/>
          <w:lang w:val="en-US" w:eastAsia="zh-CN"/>
        </w:rPr>
        <w:fldChar w:fldCharType="begin"/>
      </w:r>
      <w:r>
        <w:rPr>
          <w:rFonts w:hint="default" w:ascii="Times New Roman" w:hAnsi="Times New Roman" w:eastAsia="黑体" w:cs="Times New Roman"/>
          <w:snapToGrid w:val="0"/>
          <w:color w:val="auto"/>
          <w:szCs w:val="30"/>
          <w:highlight w:val="none"/>
          <w:lang w:val="en-US" w:eastAsia="zh-CN"/>
        </w:rPr>
        <w:instrText xml:space="preserve"> HYPERLINK \l _Toc26906 </w:instrText>
      </w:r>
      <w:r>
        <w:rPr>
          <w:rFonts w:hint="default" w:ascii="Times New Roman" w:hAnsi="Times New Roman" w:eastAsia="黑体" w:cs="Times New Roman"/>
          <w:snapToGrid w:val="0"/>
          <w:color w:val="auto"/>
          <w:szCs w:val="30"/>
          <w:highlight w:val="none"/>
          <w:lang w:val="en-US" w:eastAsia="zh-CN"/>
        </w:rPr>
        <w:fldChar w:fldCharType="separate"/>
      </w:r>
      <w:r>
        <w:rPr>
          <w:rFonts w:hint="default" w:ascii="Times New Roman" w:hAnsi="Times New Roman" w:eastAsia="黑体" w:cs="Times New Roman"/>
          <w:snapToGrid w:val="0"/>
          <w:color w:val="auto"/>
          <w:szCs w:val="30"/>
          <w:highlight w:val="none"/>
        </w:rPr>
        <w:t>建设项目污染物排放量汇总表</w:t>
      </w:r>
      <w:r>
        <w:rPr>
          <w:rFonts w:hint="default" w:ascii="Times New Roman" w:hAnsi="Times New Roman" w:eastAsia="黑体" w:cs="Times New Roman"/>
          <w:snapToGrid w:val="0"/>
          <w:color w:val="auto"/>
          <w:szCs w:val="30"/>
          <w:highlight w:val="none"/>
        </w:rPr>
        <w:tab/>
      </w:r>
      <w:r>
        <w:rPr>
          <w:rFonts w:hint="default" w:ascii="Times New Roman" w:hAnsi="Times New Roman" w:eastAsia="黑体" w:cs="Times New Roman"/>
          <w:snapToGrid w:val="0"/>
          <w:color w:val="auto"/>
          <w:szCs w:val="30"/>
          <w:highlight w:val="none"/>
        </w:rPr>
        <w:fldChar w:fldCharType="begin"/>
      </w:r>
      <w:r>
        <w:rPr>
          <w:rFonts w:hint="default" w:ascii="Times New Roman" w:hAnsi="Times New Roman" w:eastAsia="黑体" w:cs="Times New Roman"/>
          <w:snapToGrid w:val="0"/>
          <w:color w:val="auto"/>
          <w:szCs w:val="30"/>
          <w:highlight w:val="none"/>
        </w:rPr>
        <w:instrText xml:space="preserve"> PAGEREF _Toc26906 \h </w:instrText>
      </w:r>
      <w:r>
        <w:rPr>
          <w:rFonts w:hint="default" w:ascii="Times New Roman" w:hAnsi="Times New Roman" w:eastAsia="黑体" w:cs="Times New Roman"/>
          <w:snapToGrid w:val="0"/>
          <w:color w:val="auto"/>
          <w:szCs w:val="30"/>
          <w:highlight w:val="none"/>
        </w:rPr>
        <w:fldChar w:fldCharType="separate"/>
      </w:r>
      <w:r>
        <w:rPr>
          <w:rFonts w:hint="default" w:ascii="Times New Roman" w:hAnsi="Times New Roman" w:eastAsia="黑体" w:cs="Times New Roman"/>
          <w:snapToGrid w:val="0"/>
          <w:color w:val="auto"/>
          <w:szCs w:val="30"/>
          <w:highlight w:val="none"/>
        </w:rPr>
        <w:t>64</w:t>
      </w:r>
      <w:r>
        <w:rPr>
          <w:rFonts w:hint="default" w:ascii="Times New Roman" w:hAnsi="Times New Roman" w:eastAsia="黑体" w:cs="Times New Roman"/>
          <w:snapToGrid w:val="0"/>
          <w:color w:val="auto"/>
          <w:szCs w:val="30"/>
          <w:highlight w:val="none"/>
        </w:rPr>
        <w:fldChar w:fldCharType="end"/>
      </w:r>
      <w:r>
        <w:rPr>
          <w:rFonts w:hint="default" w:ascii="Times New Roman" w:hAnsi="Times New Roman" w:eastAsia="黑体" w:cs="Times New Roman"/>
          <w:snapToGrid w:val="0"/>
          <w:color w:val="auto"/>
          <w:szCs w:val="30"/>
          <w:highlight w:val="none"/>
          <w:lang w:val="en-US" w:eastAsia="zh-CN"/>
        </w:rPr>
        <w:fldChar w:fldCharType="end"/>
      </w:r>
    </w:p>
    <w:p w14:paraId="0064D32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4"/>
          <w:highlight w:val="none"/>
          <w:lang w:val="en-US" w:eastAsia="zh-CN"/>
        </w:rPr>
        <w:fldChar w:fldCharType="end"/>
      </w:r>
    </w:p>
    <w:p w14:paraId="67465E45">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p>
    <w:p w14:paraId="1022FD32">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附图</w:t>
      </w:r>
    </w:p>
    <w:p w14:paraId="0198EB12">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附图1：项目地理位置图</w:t>
      </w:r>
    </w:p>
    <w:p w14:paraId="1F97C0E7">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附图2：项目四邻关系图</w:t>
      </w:r>
    </w:p>
    <w:p w14:paraId="3972B108">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附图3：项目大气环境保护范围图</w:t>
      </w:r>
    </w:p>
    <w:p w14:paraId="551693F1">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附图4：引用环境空气监测点位图</w:t>
      </w:r>
    </w:p>
    <w:p w14:paraId="679E177E">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附图5：项目平面布置图</w:t>
      </w:r>
    </w:p>
    <w:p w14:paraId="6288F534">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w:t>
      </w:r>
      <w:r>
        <w:rPr>
          <w:rFonts w:hint="eastAsia" w:ascii="Times New Roman" w:hAnsi="Times New Roman" w:eastAsia="宋体" w:cs="Times New Roman"/>
          <w:color w:val="auto"/>
          <w:sz w:val="24"/>
          <w:szCs w:val="24"/>
          <w:highlight w:val="none"/>
          <w:lang w:val="en-US" w:eastAsia="zh-CN"/>
        </w:rPr>
        <w:t>6：废气收集管线图</w:t>
      </w:r>
    </w:p>
    <w:p w14:paraId="6C3B39D8">
      <w:pPr>
        <w:pStyle w:val="41"/>
        <w:rPr>
          <w:rFonts w:hint="default"/>
          <w:color w:val="auto"/>
          <w:highlight w:val="none"/>
          <w:lang w:val="en-US" w:eastAsia="zh-CN"/>
        </w:rPr>
      </w:pPr>
    </w:p>
    <w:p w14:paraId="4109098B">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附件</w:t>
      </w:r>
    </w:p>
    <w:p w14:paraId="55EFEAF1">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附件1：委托书</w:t>
      </w:r>
    </w:p>
    <w:p w14:paraId="24ED182E">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附件2：备案确认书</w:t>
      </w:r>
    </w:p>
    <w:p w14:paraId="240C61E8">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附件3：</w:t>
      </w:r>
      <w:r>
        <w:rPr>
          <w:rFonts w:hint="eastAsia" w:ascii="Times New Roman" w:hAnsi="Times New Roman" w:eastAsia="宋体" w:cs="Times New Roman"/>
          <w:color w:val="auto"/>
          <w:sz w:val="24"/>
          <w:szCs w:val="24"/>
          <w:highlight w:val="none"/>
          <w:lang w:val="en-US" w:eastAsia="zh-CN"/>
        </w:rPr>
        <w:t>营业执照</w:t>
      </w:r>
    </w:p>
    <w:p w14:paraId="59681133">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附件4：</w:t>
      </w:r>
      <w:r>
        <w:rPr>
          <w:rFonts w:hint="eastAsia" w:ascii="Times New Roman" w:hAnsi="Times New Roman" w:eastAsia="宋体" w:cs="Times New Roman"/>
          <w:color w:val="auto"/>
          <w:sz w:val="24"/>
          <w:szCs w:val="24"/>
          <w:highlight w:val="none"/>
          <w:lang w:val="en-US" w:eastAsia="zh-CN"/>
        </w:rPr>
        <w:t>租赁合同</w:t>
      </w:r>
    </w:p>
    <w:p w14:paraId="566D7718">
      <w:pPr>
        <w:widowControl w:val="0"/>
        <w:numPr>
          <w:ilvl w:val="0"/>
          <w:numId w:val="0"/>
        </w:numPr>
        <w:adjustRightInd w:val="0"/>
        <w:snapToGrid w:val="0"/>
        <w:spacing w:line="360" w:lineRule="auto"/>
        <w:jc w:val="both"/>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土地证</w:t>
      </w:r>
    </w:p>
    <w:p w14:paraId="20C4EEBB">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附件6：</w:t>
      </w:r>
      <w:r>
        <w:rPr>
          <w:rFonts w:hint="default" w:ascii="Times New Roman" w:hAnsi="Times New Roman" w:eastAsia="宋体" w:cs="Times New Roman"/>
          <w:color w:val="auto"/>
          <w:sz w:val="24"/>
          <w:szCs w:val="24"/>
          <w:highlight w:val="none"/>
          <w:lang w:val="en-US" w:eastAsia="zh-CN"/>
        </w:rPr>
        <w:t>陕西省</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三线一单</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生态环境管控单元对照分析报告</w:t>
      </w:r>
    </w:p>
    <w:p w14:paraId="36FBEA02">
      <w:pPr>
        <w:rPr>
          <w:rFonts w:hint="default"/>
          <w:color w:val="auto"/>
          <w:highlight w:val="none"/>
          <w:lang w:val="en-US" w:eastAsia="zh-CN"/>
        </w:rPr>
        <w:sectPr>
          <w:pgSz w:w="11906" w:h="16838"/>
          <w:pgMar w:top="1701" w:right="1531" w:bottom="1701" w:left="1531" w:header="851" w:footer="1077" w:gutter="0"/>
          <w:pgNumType w:fmt="decimal" w:start="3"/>
          <w:cols w:space="720" w:num="1"/>
          <w:docGrid w:linePitch="312" w:charSpace="0"/>
        </w:sectPr>
      </w:pPr>
      <w:r>
        <w:rPr>
          <w:rFonts w:hint="eastAsia" w:ascii="Times New Roman" w:hAnsi="Times New Roman" w:eastAsia="宋体" w:cs="Times New Roman"/>
          <w:color w:val="auto"/>
          <w:sz w:val="24"/>
          <w:szCs w:val="24"/>
          <w:highlight w:val="none"/>
          <w:lang w:val="en-US" w:eastAsia="zh-CN"/>
        </w:rPr>
        <w:t>附件7：引用监测报告</w:t>
      </w:r>
    </w:p>
    <w:p w14:paraId="7BB5B48B">
      <w:pPr>
        <w:widowControl w:val="0"/>
        <w:numPr>
          <w:ilvl w:val="0"/>
          <w:numId w:val="0"/>
        </w:numPr>
        <w:adjustRightInd w:val="0"/>
        <w:snapToGrid w:val="0"/>
        <w:spacing w:line="360" w:lineRule="auto"/>
        <w:jc w:val="both"/>
        <w:rPr>
          <w:rFonts w:hint="default" w:ascii="Times New Roman" w:hAnsi="Times New Roman" w:eastAsia="宋体" w:cs="Times New Roman"/>
          <w:color w:val="auto"/>
          <w:sz w:val="24"/>
          <w:szCs w:val="24"/>
          <w:highlight w:val="none"/>
          <w:lang w:val="en-US" w:eastAsia="zh-CN"/>
        </w:rPr>
        <w:sectPr>
          <w:pgSz w:w="11906" w:h="16838"/>
          <w:pgMar w:top="1701" w:right="1531" w:bottom="1701" w:left="1531" w:header="851" w:footer="1077" w:gutter="0"/>
          <w:pgNumType w:fmt="decimal" w:start="3"/>
          <w:cols w:space="720" w:num="1"/>
          <w:docGrid w:linePitch="312" w:charSpace="0"/>
        </w:sectPr>
      </w:pPr>
    </w:p>
    <w:p w14:paraId="1E046E08">
      <w:pPr>
        <w:pStyle w:val="21"/>
        <w:jc w:val="center"/>
        <w:outlineLvl w:val="0"/>
        <w:rPr>
          <w:rFonts w:hint="default" w:ascii="Times New Roman" w:hAnsi="Times New Roman" w:eastAsia="黑体" w:cs="Times New Roman"/>
          <w:snapToGrid w:val="0"/>
          <w:color w:val="auto"/>
          <w:sz w:val="30"/>
          <w:szCs w:val="30"/>
          <w:highlight w:val="none"/>
        </w:rPr>
      </w:pPr>
      <w:bookmarkStart w:id="2" w:name="_Toc22238"/>
      <w:r>
        <w:rPr>
          <w:rFonts w:hint="default" w:ascii="Times New Roman" w:hAnsi="Times New Roman" w:eastAsia="黑体" w:cs="Times New Roman"/>
          <w:snapToGrid w:val="0"/>
          <w:color w:val="auto"/>
          <w:sz w:val="30"/>
          <w:szCs w:val="30"/>
          <w:highlight w:val="none"/>
        </w:rPr>
        <w:t>一、建设项目基本情况</w:t>
      </w:r>
      <w:bookmarkEnd w:id="2"/>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
        <w:gridCol w:w="706"/>
        <w:gridCol w:w="1018"/>
        <w:gridCol w:w="2186"/>
        <w:gridCol w:w="1785"/>
        <w:gridCol w:w="3172"/>
        <w:gridCol w:w="3"/>
      </w:tblGrid>
      <w:tr w14:paraId="123649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021392B9">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建设项目名称</w:t>
            </w:r>
          </w:p>
        </w:tc>
        <w:tc>
          <w:tcPr>
            <w:tcW w:w="7143" w:type="dxa"/>
            <w:gridSpan w:val="3"/>
            <w:noWrap w:val="0"/>
            <w:vAlign w:val="center"/>
          </w:tcPr>
          <w:p w14:paraId="0F0FE235">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一般固体废物资源化利用项目</w:t>
            </w:r>
          </w:p>
        </w:tc>
      </w:tr>
      <w:tr w14:paraId="01820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5C5040B8">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项目代码</w:t>
            </w:r>
          </w:p>
        </w:tc>
        <w:tc>
          <w:tcPr>
            <w:tcW w:w="7143" w:type="dxa"/>
            <w:gridSpan w:val="3"/>
            <w:noWrap w:val="0"/>
            <w:vAlign w:val="center"/>
          </w:tcPr>
          <w:p w14:paraId="4788E81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rPr>
              <w:t>2507-611206-04-05-601479</w:t>
            </w:r>
          </w:p>
        </w:tc>
      </w:tr>
      <w:tr w14:paraId="5BE683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4BAC0086">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建设单位联系人</w:t>
            </w:r>
          </w:p>
        </w:tc>
        <w:tc>
          <w:tcPr>
            <w:tcW w:w="2186" w:type="dxa"/>
            <w:noWrap w:val="0"/>
            <w:vAlign w:val="center"/>
          </w:tcPr>
          <w:p w14:paraId="41E1C919">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ascii="Times New Roman" w:hAnsi="Times New Roman" w:eastAsia="宋体" w:cs="Times New Roman"/>
                <w:color w:val="auto"/>
                <w:sz w:val="24"/>
                <w:szCs w:val="24"/>
                <w:highlight w:val="none"/>
              </w:rPr>
              <w:t>孙亭亭</w:t>
            </w:r>
          </w:p>
        </w:tc>
        <w:tc>
          <w:tcPr>
            <w:tcW w:w="1785" w:type="dxa"/>
            <w:noWrap w:val="0"/>
            <w:vAlign w:val="center"/>
          </w:tcPr>
          <w:p w14:paraId="6CEF8021">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联系方式</w:t>
            </w:r>
          </w:p>
        </w:tc>
        <w:tc>
          <w:tcPr>
            <w:tcW w:w="3172" w:type="dxa"/>
            <w:noWrap w:val="0"/>
            <w:vAlign w:val="center"/>
          </w:tcPr>
          <w:p w14:paraId="1764087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rPr>
              <w:t>15771880999</w:t>
            </w:r>
          </w:p>
        </w:tc>
      </w:tr>
      <w:tr w14:paraId="79BDD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307F3F8F">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建设地点</w:t>
            </w:r>
          </w:p>
        </w:tc>
        <w:tc>
          <w:tcPr>
            <w:tcW w:w="7143" w:type="dxa"/>
            <w:gridSpan w:val="3"/>
            <w:noWrap w:val="0"/>
            <w:vAlign w:val="center"/>
          </w:tcPr>
          <w:p w14:paraId="49E4CA17">
            <w:pPr>
              <w:adjustRightInd w:val="0"/>
              <w:snapToGrid w:val="0"/>
              <w:jc w:val="center"/>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陕西省</w:t>
            </w:r>
            <w:r>
              <w:rPr>
                <w:rFonts w:hint="eastAsia" w:ascii="Times New Roman" w:hAnsi="Times New Roman" w:eastAsia="宋体" w:cs="Times New Roman"/>
                <w:color w:val="auto"/>
                <w:sz w:val="24"/>
                <w:szCs w:val="24"/>
                <w:highlight w:val="none"/>
                <w:lang w:eastAsia="zh-CN"/>
              </w:rPr>
              <w:t>西咸新区泾河新城永乐工业园区南北大道</w:t>
            </w:r>
          </w:p>
          <w:p w14:paraId="6665F07E">
            <w:pPr>
              <w:adjustRightInd w:val="0"/>
              <w:snapToGrid w:val="0"/>
              <w:jc w:val="center"/>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陕西国坤时代科技有限公司2号厂房</w:t>
            </w:r>
          </w:p>
        </w:tc>
      </w:tr>
      <w:tr w14:paraId="4FD3AA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7581281B">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地理坐标</w:t>
            </w:r>
          </w:p>
        </w:tc>
        <w:tc>
          <w:tcPr>
            <w:tcW w:w="7143" w:type="dxa"/>
            <w:gridSpan w:val="3"/>
            <w:noWrap w:val="0"/>
            <w:vAlign w:val="center"/>
          </w:tcPr>
          <w:p w14:paraId="4E7C2E2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4"/>
                <w:szCs w:val="24"/>
                <w:highlight w:val="none"/>
                <w:lang w:val="en-US"/>
              </w:rPr>
            </w:pPr>
            <w:r>
              <w:rPr>
                <w:rFonts w:hint="eastAsia" w:ascii="Times New Roman" w:hAnsi="Times New Roman" w:eastAsia="宋体" w:cs="Times New Roman"/>
                <w:color w:val="auto"/>
                <w:sz w:val="24"/>
                <w:szCs w:val="24"/>
                <w:highlight w:val="none"/>
                <w:lang w:val="en-US" w:eastAsia="zh-CN"/>
              </w:rPr>
              <w:t>东经：</w:t>
            </w:r>
            <w:r>
              <w:rPr>
                <w:rFonts w:hint="default" w:ascii="Times New Roman" w:hAnsi="Times New Roman" w:eastAsia="宋体" w:cs="Times New Roman"/>
                <w:color w:val="auto"/>
                <w:sz w:val="24"/>
                <w:szCs w:val="24"/>
                <w:highlight w:val="none"/>
                <w:u w:val="single"/>
                <w:lang w:val="en-US" w:eastAsia="zh-CN"/>
              </w:rPr>
              <w:t>108</w:t>
            </w:r>
            <w:r>
              <w:rPr>
                <w:rFonts w:hint="eastAsia" w:ascii="Times New Roman" w:hAnsi="Times New Roman" w:eastAsia="宋体" w:cs="Times New Roman"/>
                <w:color w:val="auto"/>
                <w:sz w:val="24"/>
                <w:szCs w:val="24"/>
                <w:highlight w:val="none"/>
                <w:lang w:val="en-US" w:eastAsia="zh-CN"/>
              </w:rPr>
              <w:t xml:space="preserve"> 度</w:t>
            </w:r>
            <w:r>
              <w:rPr>
                <w:rFonts w:hint="default" w:ascii="Times New Roman" w:hAnsi="Times New Roman" w:eastAsia="宋体" w:cs="Times New Roman"/>
                <w:color w:val="auto"/>
                <w:sz w:val="24"/>
                <w:szCs w:val="24"/>
                <w:highlight w:val="none"/>
                <w:u w:val="single"/>
                <w:lang w:val="en-US" w:eastAsia="zh-CN"/>
              </w:rPr>
              <w:t>56</w:t>
            </w:r>
            <w:r>
              <w:rPr>
                <w:rFonts w:hint="eastAsia" w:ascii="Times New Roman" w:hAnsi="Times New Roman" w:eastAsia="宋体" w:cs="Times New Roman"/>
                <w:color w:val="auto"/>
                <w:sz w:val="24"/>
                <w:szCs w:val="24"/>
                <w:highlight w:val="none"/>
                <w:lang w:val="en-US" w:eastAsia="zh-CN"/>
              </w:rPr>
              <w:t>分</w:t>
            </w:r>
            <w:r>
              <w:rPr>
                <w:rFonts w:hint="default" w:ascii="Times New Roman" w:hAnsi="Times New Roman" w:eastAsia="宋体" w:cs="Times New Roman"/>
                <w:color w:val="auto"/>
                <w:sz w:val="24"/>
                <w:szCs w:val="24"/>
                <w:highlight w:val="none"/>
                <w:u w:val="single"/>
                <w:lang w:val="en-US" w:eastAsia="zh-CN"/>
              </w:rPr>
              <w:t>53.934</w:t>
            </w:r>
            <w:r>
              <w:rPr>
                <w:rFonts w:hint="eastAsia" w:ascii="Times New Roman" w:hAnsi="Times New Roman" w:eastAsia="宋体" w:cs="Times New Roman"/>
                <w:color w:val="auto"/>
                <w:sz w:val="24"/>
                <w:szCs w:val="24"/>
                <w:highlight w:val="none"/>
                <w:lang w:val="en-US" w:eastAsia="zh-CN"/>
              </w:rPr>
              <w:t>秒，北纬：</w:t>
            </w:r>
            <w:r>
              <w:rPr>
                <w:rFonts w:hint="default" w:ascii="Times New Roman" w:hAnsi="Times New Roman" w:eastAsia="宋体" w:cs="Times New Roman"/>
                <w:color w:val="auto"/>
                <w:sz w:val="24"/>
                <w:szCs w:val="24"/>
                <w:highlight w:val="none"/>
                <w:u w:val="single"/>
                <w:lang w:val="en-US" w:eastAsia="zh-CN"/>
              </w:rPr>
              <w:t>34</w:t>
            </w:r>
            <w:r>
              <w:rPr>
                <w:rFonts w:hint="eastAsia" w:ascii="Times New Roman" w:hAnsi="Times New Roman" w:eastAsia="宋体" w:cs="Times New Roman"/>
                <w:color w:val="auto"/>
                <w:sz w:val="24"/>
                <w:szCs w:val="24"/>
                <w:highlight w:val="none"/>
                <w:lang w:val="en-US" w:eastAsia="zh-CN"/>
              </w:rPr>
              <w:t xml:space="preserve"> 度</w:t>
            </w:r>
            <w:r>
              <w:rPr>
                <w:rFonts w:hint="default" w:ascii="Times New Roman" w:hAnsi="Times New Roman" w:eastAsia="宋体" w:cs="Times New Roman"/>
                <w:color w:val="auto"/>
                <w:sz w:val="24"/>
                <w:szCs w:val="24"/>
                <w:highlight w:val="none"/>
                <w:u w:val="single"/>
                <w:lang w:val="en-US" w:eastAsia="zh-CN"/>
              </w:rPr>
              <w:t>32</w:t>
            </w:r>
            <w:r>
              <w:rPr>
                <w:rFonts w:hint="eastAsia" w:ascii="Times New Roman" w:hAnsi="Times New Roman" w:eastAsia="宋体" w:cs="Times New Roman"/>
                <w:color w:val="auto"/>
                <w:sz w:val="24"/>
                <w:szCs w:val="24"/>
                <w:highlight w:val="none"/>
                <w:lang w:val="en-US" w:eastAsia="zh-CN"/>
              </w:rPr>
              <w:t>分</w:t>
            </w:r>
            <w:r>
              <w:rPr>
                <w:rFonts w:hint="default" w:ascii="Times New Roman" w:hAnsi="Times New Roman" w:eastAsia="宋体" w:cs="Times New Roman"/>
                <w:color w:val="auto"/>
                <w:sz w:val="24"/>
                <w:szCs w:val="24"/>
                <w:highlight w:val="none"/>
                <w:u w:val="single"/>
                <w:lang w:val="en-US" w:eastAsia="zh-CN"/>
              </w:rPr>
              <w:t>24.424</w:t>
            </w:r>
            <w:r>
              <w:rPr>
                <w:rFonts w:hint="eastAsia" w:ascii="Times New Roman" w:hAnsi="Times New Roman" w:eastAsia="宋体" w:cs="Times New Roman"/>
                <w:color w:val="auto"/>
                <w:sz w:val="24"/>
                <w:szCs w:val="24"/>
                <w:highlight w:val="none"/>
                <w:lang w:val="en-US" w:eastAsia="zh-CN"/>
              </w:rPr>
              <w:t>秒</w:t>
            </w:r>
          </w:p>
        </w:tc>
      </w:tr>
      <w:tr w14:paraId="3666E1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561" w:hRule="atLeast"/>
          <w:jc w:val="center"/>
        </w:trPr>
        <w:tc>
          <w:tcPr>
            <w:tcW w:w="1727" w:type="dxa"/>
            <w:gridSpan w:val="3"/>
            <w:noWrap w:val="0"/>
            <w:tcMar>
              <w:top w:w="16" w:type="dxa"/>
              <w:left w:w="16" w:type="dxa"/>
              <w:right w:w="16" w:type="dxa"/>
            </w:tcMar>
            <w:vAlign w:val="center"/>
          </w:tcPr>
          <w:p w14:paraId="4D96D47D">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国民经济</w:t>
            </w:r>
          </w:p>
          <w:p w14:paraId="22C86EF6">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行业类别</w:t>
            </w:r>
          </w:p>
        </w:tc>
        <w:tc>
          <w:tcPr>
            <w:tcW w:w="2186" w:type="dxa"/>
            <w:noWrap w:val="0"/>
            <w:vAlign w:val="center"/>
          </w:tcPr>
          <w:p w14:paraId="0F233D90">
            <w:pPr>
              <w:pStyle w:val="24"/>
              <w:ind w:left="0" w:leftChars="0" w:firstLine="0" w:firstLineChars="0"/>
              <w:rPr>
                <w:rFonts w:hint="default"/>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N7723固体废物治理</w:t>
            </w:r>
          </w:p>
        </w:tc>
        <w:tc>
          <w:tcPr>
            <w:tcW w:w="1785" w:type="dxa"/>
            <w:noWrap w:val="0"/>
            <w:vAlign w:val="center"/>
          </w:tcPr>
          <w:p w14:paraId="349BD78A">
            <w:pPr>
              <w:adjustRightInd w:val="0"/>
              <w:snapToGrid w:val="0"/>
              <w:jc w:val="center"/>
              <w:rPr>
                <w:rFonts w:hint="default" w:ascii="Times New Roman" w:hAnsi="Times New Roman" w:cs="Times New Roman"/>
                <w:color w:val="auto"/>
                <w:sz w:val="24"/>
                <w:szCs w:val="24"/>
                <w:highlight w:val="none"/>
              </w:rPr>
            </w:pPr>
            <w:bookmarkStart w:id="3" w:name="_Hlk49843745"/>
            <w:r>
              <w:rPr>
                <w:rFonts w:hint="default" w:ascii="Times New Roman" w:hAnsi="Times New Roman" w:cs="Times New Roman"/>
                <w:color w:val="auto"/>
                <w:sz w:val="24"/>
                <w:szCs w:val="24"/>
                <w:highlight w:val="none"/>
              </w:rPr>
              <w:t>建设项目</w:t>
            </w:r>
          </w:p>
          <w:p w14:paraId="2327AF08">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行业类别</w:t>
            </w:r>
            <w:bookmarkEnd w:id="3"/>
          </w:p>
        </w:tc>
        <w:tc>
          <w:tcPr>
            <w:tcW w:w="3172" w:type="dxa"/>
            <w:noWrap w:val="0"/>
            <w:vAlign w:val="center"/>
          </w:tcPr>
          <w:p w14:paraId="3B71EFC4">
            <w:pPr>
              <w:adjustRightInd w:val="0"/>
              <w:snapToGrid w:val="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四十七、生态保护和环境治理业；103</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一般工业固体废物</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含污水处理污泥</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、建筑施工废弃物处置及综合利用</w:t>
            </w:r>
            <w:r>
              <w:rPr>
                <w:rFonts w:hint="eastAsia" w:ascii="Times New Roman" w:hAnsi="Times New Roman" w:eastAsia="宋体" w:cs="Times New Roman"/>
                <w:color w:val="auto"/>
                <w:sz w:val="24"/>
                <w:szCs w:val="24"/>
                <w:highlight w:val="none"/>
                <w:lang w:val="en-US" w:eastAsia="zh-CN"/>
              </w:rPr>
              <w:t>；其他</w:t>
            </w:r>
          </w:p>
          <w:p w14:paraId="6D4EEC8A">
            <w:pPr>
              <w:adjustRightInd w:val="0"/>
              <w:snapToGrid w:val="0"/>
              <w:rPr>
                <w:rFonts w:hint="eastAsia"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四十八、公共设施管理业</w:t>
            </w:r>
            <w:r>
              <w:rPr>
                <w:rFonts w:hint="eastAsia" w:cs="Times New Roman"/>
                <w:color w:val="auto"/>
                <w:sz w:val="24"/>
                <w:szCs w:val="24"/>
                <w:highlight w:val="none"/>
                <w:lang w:val="en-US" w:eastAsia="zh-CN"/>
              </w:rPr>
              <w:t>；106、生活垃圾（含餐厨废弃物）集中处置（生活垃圾发电除外）；其他处置方式日处置能力50吨以下10吨及以上的</w:t>
            </w:r>
          </w:p>
          <w:p w14:paraId="71D9A396">
            <w:pPr>
              <w:adjustRightInd w:val="0"/>
              <w:snapToGrid w:val="0"/>
              <w:rPr>
                <w:rFonts w:hint="default" w:cs="Times New Roman"/>
                <w:color w:val="auto"/>
                <w:sz w:val="24"/>
                <w:szCs w:val="24"/>
                <w:highlight w:val="none"/>
                <w:lang w:val="en-US" w:eastAsia="zh-CN"/>
              </w:rPr>
            </w:pPr>
            <w:r>
              <w:rPr>
                <w:rFonts w:hint="default" w:cs="Times New Roman"/>
                <w:color w:val="auto"/>
                <w:sz w:val="24"/>
                <w:szCs w:val="24"/>
                <w:highlight w:val="none"/>
                <w:lang w:val="en-US" w:eastAsia="zh-CN"/>
              </w:rPr>
              <w:t>二十二、石油、煤炭及其他燃料加工业</w:t>
            </w:r>
            <w:r>
              <w:rPr>
                <w:rFonts w:hint="eastAsia" w:cs="Times New Roman"/>
                <w:color w:val="auto"/>
                <w:sz w:val="24"/>
                <w:szCs w:val="24"/>
                <w:highlight w:val="none"/>
                <w:lang w:val="en-US" w:eastAsia="zh-CN"/>
              </w:rPr>
              <w:t>；43、生物质燃料加工；生物质致密成型燃料加工</w:t>
            </w:r>
          </w:p>
        </w:tc>
      </w:tr>
      <w:tr w14:paraId="3DDA29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1219" w:hRule="atLeast"/>
          <w:jc w:val="center"/>
        </w:trPr>
        <w:tc>
          <w:tcPr>
            <w:tcW w:w="1727" w:type="dxa"/>
            <w:gridSpan w:val="3"/>
            <w:noWrap w:val="0"/>
            <w:tcMar>
              <w:top w:w="16" w:type="dxa"/>
              <w:left w:w="16" w:type="dxa"/>
              <w:right w:w="16" w:type="dxa"/>
            </w:tcMar>
            <w:vAlign w:val="center"/>
          </w:tcPr>
          <w:p w14:paraId="0A482E79">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建设性质</w:t>
            </w:r>
          </w:p>
        </w:tc>
        <w:tc>
          <w:tcPr>
            <w:tcW w:w="2186" w:type="dxa"/>
            <w:noWrap w:val="0"/>
            <w:vAlign w:val="center"/>
          </w:tcPr>
          <w:p w14:paraId="35685F40">
            <w:pPr>
              <w:jc w:val="left"/>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新建（迁建）</w:t>
            </w:r>
          </w:p>
          <w:p w14:paraId="0F93F270">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改建</w:t>
            </w:r>
          </w:p>
          <w:p w14:paraId="0C69951A">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扩建</w:t>
            </w:r>
          </w:p>
          <w:p w14:paraId="4E04A1FC">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技术改造</w:t>
            </w:r>
          </w:p>
        </w:tc>
        <w:tc>
          <w:tcPr>
            <w:tcW w:w="1785" w:type="dxa"/>
            <w:noWrap w:val="0"/>
            <w:vAlign w:val="center"/>
          </w:tcPr>
          <w:p w14:paraId="4DA11B40">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建设项目</w:t>
            </w:r>
          </w:p>
          <w:p w14:paraId="177B1DB1">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申报情形</w:t>
            </w:r>
          </w:p>
        </w:tc>
        <w:tc>
          <w:tcPr>
            <w:tcW w:w="3172" w:type="dxa"/>
            <w:noWrap w:val="0"/>
            <w:vAlign w:val="center"/>
          </w:tcPr>
          <w:p w14:paraId="1671C31B">
            <w:pPr>
              <w:jc w:val="left"/>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首次申报项目</w:t>
            </w:r>
          </w:p>
          <w:p w14:paraId="1BAFFB0B">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不予批准后再次申报项目</w:t>
            </w:r>
          </w:p>
          <w:p w14:paraId="449BDE56">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超五年重新审核项目</w:t>
            </w:r>
          </w:p>
          <w:p w14:paraId="0F83AE6F">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重大变动重新报批项目</w:t>
            </w:r>
          </w:p>
        </w:tc>
      </w:tr>
      <w:tr w14:paraId="1BF98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851" w:hRule="atLeast"/>
          <w:jc w:val="center"/>
        </w:trPr>
        <w:tc>
          <w:tcPr>
            <w:tcW w:w="1727" w:type="dxa"/>
            <w:gridSpan w:val="3"/>
            <w:noWrap w:val="0"/>
            <w:tcMar>
              <w:top w:w="16" w:type="dxa"/>
              <w:left w:w="16" w:type="dxa"/>
              <w:right w:w="16" w:type="dxa"/>
            </w:tcMar>
            <w:vAlign w:val="center"/>
          </w:tcPr>
          <w:p w14:paraId="21156C53">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项目审批（核准/</w:t>
            </w:r>
          </w:p>
          <w:p w14:paraId="45E3F277">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备案）部门</w:t>
            </w:r>
          </w:p>
        </w:tc>
        <w:tc>
          <w:tcPr>
            <w:tcW w:w="2186" w:type="dxa"/>
            <w:noWrap w:val="0"/>
            <w:vAlign w:val="center"/>
          </w:tcPr>
          <w:p w14:paraId="4EFC17FB">
            <w:pPr>
              <w:adjustRightInd w:val="0"/>
              <w:snapToGrid w:val="0"/>
              <w:jc w:val="center"/>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陕西省西咸新区</w:t>
            </w:r>
          </w:p>
          <w:p w14:paraId="69CD5BCB">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泾河新城管理委员会</w:t>
            </w:r>
          </w:p>
        </w:tc>
        <w:tc>
          <w:tcPr>
            <w:tcW w:w="1785" w:type="dxa"/>
            <w:noWrap w:val="0"/>
            <w:vAlign w:val="center"/>
          </w:tcPr>
          <w:p w14:paraId="0E8287F4">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项目审批（核准/备案）文号</w:t>
            </w:r>
          </w:p>
        </w:tc>
        <w:tc>
          <w:tcPr>
            <w:tcW w:w="3172" w:type="dxa"/>
            <w:noWrap w:val="0"/>
            <w:vAlign w:val="center"/>
          </w:tcPr>
          <w:p w14:paraId="47FFE42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r>
      <w:tr w14:paraId="269DD2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0789E08B">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总投资（万元）</w:t>
            </w:r>
          </w:p>
        </w:tc>
        <w:tc>
          <w:tcPr>
            <w:tcW w:w="2186" w:type="dxa"/>
            <w:noWrap w:val="0"/>
            <w:vAlign w:val="center"/>
          </w:tcPr>
          <w:p w14:paraId="2653D633">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200</w:t>
            </w:r>
            <w:r>
              <w:rPr>
                <w:rFonts w:hint="eastAsia" w:ascii="Times New Roman" w:hAnsi="Times New Roman" w:cs="Times New Roman"/>
                <w:color w:val="auto"/>
                <w:sz w:val="24"/>
                <w:szCs w:val="24"/>
                <w:highlight w:val="none"/>
                <w:lang w:val="en-US" w:eastAsia="zh-CN"/>
              </w:rPr>
              <w:t>0</w:t>
            </w:r>
          </w:p>
        </w:tc>
        <w:tc>
          <w:tcPr>
            <w:tcW w:w="1785" w:type="dxa"/>
            <w:noWrap w:val="0"/>
            <w:tcMar>
              <w:top w:w="16" w:type="dxa"/>
              <w:left w:w="16" w:type="dxa"/>
              <w:right w:w="16" w:type="dxa"/>
            </w:tcMar>
            <w:vAlign w:val="center"/>
          </w:tcPr>
          <w:p w14:paraId="57397939">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环保投资（万元）</w:t>
            </w:r>
          </w:p>
        </w:tc>
        <w:tc>
          <w:tcPr>
            <w:tcW w:w="3172" w:type="dxa"/>
            <w:noWrap w:val="0"/>
            <w:vAlign w:val="center"/>
          </w:tcPr>
          <w:p w14:paraId="2C67D12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35</w:t>
            </w:r>
          </w:p>
        </w:tc>
      </w:tr>
      <w:tr w14:paraId="3300D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90" w:hRule="atLeast"/>
          <w:jc w:val="center"/>
        </w:trPr>
        <w:tc>
          <w:tcPr>
            <w:tcW w:w="1727" w:type="dxa"/>
            <w:gridSpan w:val="3"/>
            <w:noWrap w:val="0"/>
            <w:tcMar>
              <w:top w:w="16" w:type="dxa"/>
              <w:left w:w="16" w:type="dxa"/>
              <w:right w:w="16" w:type="dxa"/>
            </w:tcMar>
            <w:vAlign w:val="center"/>
          </w:tcPr>
          <w:p w14:paraId="272A6503">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环保投资占比（%）</w:t>
            </w:r>
          </w:p>
        </w:tc>
        <w:tc>
          <w:tcPr>
            <w:tcW w:w="2186" w:type="dxa"/>
            <w:noWrap w:val="0"/>
            <w:vAlign w:val="center"/>
          </w:tcPr>
          <w:p w14:paraId="4BEE38D4">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1.75</w:t>
            </w:r>
          </w:p>
        </w:tc>
        <w:tc>
          <w:tcPr>
            <w:tcW w:w="1785" w:type="dxa"/>
            <w:noWrap w:val="0"/>
            <w:tcMar>
              <w:top w:w="16" w:type="dxa"/>
              <w:left w:w="16" w:type="dxa"/>
              <w:right w:w="16" w:type="dxa"/>
            </w:tcMar>
            <w:vAlign w:val="center"/>
          </w:tcPr>
          <w:p w14:paraId="08E97A04">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施工工期</w:t>
            </w:r>
          </w:p>
        </w:tc>
        <w:tc>
          <w:tcPr>
            <w:tcW w:w="3172" w:type="dxa"/>
            <w:noWrap w:val="0"/>
            <w:vAlign w:val="center"/>
          </w:tcPr>
          <w:p w14:paraId="58C8FC88">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个月</w:t>
            </w:r>
          </w:p>
        </w:tc>
      </w:tr>
      <w:tr w14:paraId="02BA1D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7DBD5E97">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是否开工建设</w:t>
            </w:r>
          </w:p>
        </w:tc>
        <w:tc>
          <w:tcPr>
            <w:tcW w:w="2186" w:type="dxa"/>
            <w:noWrap w:val="0"/>
            <w:vAlign w:val="center"/>
          </w:tcPr>
          <w:p w14:paraId="3A9B8086">
            <w:pPr>
              <w:adjustRightInd w:val="0"/>
              <w:snapToGrid w:val="0"/>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否</w:t>
            </w:r>
          </w:p>
          <w:p w14:paraId="4A655585">
            <w:pPr>
              <w:adjustRightInd w:val="0"/>
              <w:snapToGrid w:val="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是：</w:t>
            </w:r>
            <w:r>
              <w:rPr>
                <w:rFonts w:hint="default" w:ascii="Times New Roman" w:hAnsi="Times New Roman" w:cs="Times New Roman"/>
                <w:color w:val="auto"/>
                <w:sz w:val="24"/>
                <w:szCs w:val="24"/>
                <w:highlight w:val="none"/>
                <w:u w:val="single"/>
              </w:rPr>
              <w:t xml:space="preserve">          </w:t>
            </w:r>
          </w:p>
        </w:tc>
        <w:tc>
          <w:tcPr>
            <w:tcW w:w="1785" w:type="dxa"/>
            <w:noWrap w:val="0"/>
            <w:tcMar>
              <w:top w:w="16" w:type="dxa"/>
              <w:left w:w="16" w:type="dxa"/>
              <w:right w:w="16" w:type="dxa"/>
            </w:tcMar>
            <w:vAlign w:val="center"/>
          </w:tcPr>
          <w:p w14:paraId="1E347C93">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pacing w:val="-6"/>
                <w:sz w:val="24"/>
                <w:szCs w:val="24"/>
                <w:highlight w:val="none"/>
              </w:rPr>
              <w:t>用地面积（m</w:t>
            </w:r>
            <w:r>
              <w:rPr>
                <w:rFonts w:hint="default" w:ascii="Times New Roman" w:hAnsi="Times New Roman" w:cs="Times New Roman"/>
                <w:color w:val="auto"/>
                <w:spacing w:val="-6"/>
                <w:sz w:val="24"/>
                <w:szCs w:val="24"/>
                <w:highlight w:val="none"/>
                <w:vertAlign w:val="superscript"/>
              </w:rPr>
              <w:t>2</w:t>
            </w:r>
            <w:r>
              <w:rPr>
                <w:rFonts w:hint="default" w:ascii="Times New Roman" w:hAnsi="Times New Roman" w:cs="Times New Roman"/>
                <w:color w:val="auto"/>
                <w:spacing w:val="-6"/>
                <w:sz w:val="24"/>
                <w:szCs w:val="24"/>
                <w:highlight w:val="none"/>
              </w:rPr>
              <w:t>）</w:t>
            </w:r>
          </w:p>
        </w:tc>
        <w:tc>
          <w:tcPr>
            <w:tcW w:w="3172" w:type="dxa"/>
            <w:noWrap w:val="0"/>
            <w:vAlign w:val="center"/>
          </w:tcPr>
          <w:p w14:paraId="6A1BAC64">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3504</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2</w:t>
            </w:r>
          </w:p>
        </w:tc>
      </w:tr>
      <w:tr w14:paraId="189D0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676" w:hRule="atLeast"/>
          <w:jc w:val="center"/>
        </w:trPr>
        <w:tc>
          <w:tcPr>
            <w:tcW w:w="1727" w:type="dxa"/>
            <w:gridSpan w:val="3"/>
            <w:noWrap w:val="0"/>
            <w:vAlign w:val="center"/>
          </w:tcPr>
          <w:p w14:paraId="464B5343">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专项评价</w:t>
            </w:r>
          </w:p>
          <w:p w14:paraId="57E51708">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设置情况</w:t>
            </w:r>
          </w:p>
        </w:tc>
        <w:tc>
          <w:tcPr>
            <w:tcW w:w="7143" w:type="dxa"/>
            <w:gridSpan w:val="3"/>
            <w:noWrap w:val="0"/>
            <w:vAlign w:val="center"/>
          </w:tcPr>
          <w:p w14:paraId="0A27C667">
            <w:pPr>
              <w:autoSpaceDE w:val="0"/>
              <w:autoSpaceDN w:val="0"/>
              <w:adjustRightInd w:val="0"/>
              <w:snapToGrid w:val="0"/>
              <w:jc w:val="center"/>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无</w:t>
            </w:r>
          </w:p>
        </w:tc>
      </w:tr>
      <w:tr w14:paraId="5675E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021" w:hRule="atLeast"/>
          <w:jc w:val="center"/>
        </w:trPr>
        <w:tc>
          <w:tcPr>
            <w:tcW w:w="1727" w:type="dxa"/>
            <w:gridSpan w:val="3"/>
            <w:noWrap w:val="0"/>
            <w:vAlign w:val="center"/>
          </w:tcPr>
          <w:p w14:paraId="788EF7A9">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sz w:val="24"/>
                <w:szCs w:val="24"/>
                <w:highlight w:val="none"/>
              </w:rPr>
              <w:t>规划情况</w:t>
            </w:r>
          </w:p>
        </w:tc>
        <w:tc>
          <w:tcPr>
            <w:tcW w:w="7143" w:type="dxa"/>
            <w:gridSpan w:val="3"/>
            <w:noWrap w:val="0"/>
            <w:vAlign w:val="center"/>
          </w:tcPr>
          <w:p w14:paraId="3688E4EB">
            <w:pPr>
              <w:widowControl/>
              <w:spacing w:line="360" w:lineRule="auto"/>
              <w:jc w:val="left"/>
              <w:rPr>
                <w:rFonts w:hint="default" w:ascii="Times New Roman" w:hAnsi="Times New Roman" w:cs="Times New Roman"/>
                <w:color w:val="auto"/>
                <w:highlight w:val="none"/>
              </w:rPr>
            </w:pPr>
            <w:r>
              <w:rPr>
                <w:rFonts w:hint="default" w:ascii="Times New Roman" w:hAnsi="Times New Roman" w:cs="Times New Roman"/>
                <w:color w:val="auto"/>
                <w:kern w:val="0"/>
                <w:sz w:val="24"/>
                <w:highlight w:val="none"/>
                <w:lang w:val="en-US" w:eastAsia="zh-CN" w:bidi="ar"/>
              </w:rPr>
              <w:t>规划名称：</w:t>
            </w:r>
            <w:r>
              <w:rPr>
                <w:rFonts w:hint="default" w:ascii="Times New Roman" w:hAnsi="Times New Roman" w:cs="Times New Roman"/>
                <w:color w:val="auto"/>
                <w:kern w:val="0"/>
                <w:sz w:val="24"/>
                <w:highlight w:val="none"/>
                <w:lang w:bidi="ar"/>
              </w:rPr>
              <w:t>《</w:t>
            </w:r>
            <w:r>
              <w:rPr>
                <w:rFonts w:hint="default" w:ascii="Times New Roman" w:hAnsi="Times New Roman" w:cs="Times New Roman"/>
                <w:color w:val="auto"/>
                <w:kern w:val="0"/>
                <w:sz w:val="24"/>
                <w:highlight w:val="none"/>
                <w:lang w:val="en-US" w:eastAsia="zh-CN" w:bidi="ar"/>
              </w:rPr>
              <w:t>西咸新区</w:t>
            </w:r>
            <w:r>
              <w:rPr>
                <w:rFonts w:hint="eastAsia" w:cs="Times New Roman"/>
                <w:color w:val="auto"/>
                <w:kern w:val="0"/>
                <w:sz w:val="24"/>
                <w:highlight w:val="none"/>
                <w:lang w:val="en-US" w:eastAsia="zh-CN" w:bidi="ar"/>
              </w:rPr>
              <w:t>-</w:t>
            </w:r>
            <w:r>
              <w:rPr>
                <w:rFonts w:hint="default" w:ascii="Times New Roman" w:hAnsi="Times New Roman" w:cs="Times New Roman"/>
                <w:color w:val="auto"/>
                <w:kern w:val="0"/>
                <w:sz w:val="24"/>
                <w:highlight w:val="none"/>
                <w:lang w:val="en-US" w:eastAsia="zh-CN" w:bidi="ar"/>
              </w:rPr>
              <w:t>泾河新城分区规划修编</w:t>
            </w:r>
            <w:r>
              <w:rPr>
                <w:rFonts w:hint="default" w:ascii="Times New Roman" w:hAnsi="Times New Roman" w:cs="Times New Roman"/>
                <w:color w:val="auto"/>
                <w:kern w:val="0"/>
                <w:sz w:val="24"/>
                <w:highlight w:val="none"/>
                <w:lang w:bidi="ar"/>
              </w:rPr>
              <w:t>》</w:t>
            </w:r>
            <w:r>
              <w:rPr>
                <w:rFonts w:hint="default" w:ascii="Times New Roman" w:hAnsi="Times New Roman" w:cs="Times New Roman"/>
                <w:color w:val="auto"/>
                <w:kern w:val="0"/>
                <w:sz w:val="24"/>
                <w:highlight w:val="none"/>
                <w:lang w:eastAsia="zh-CN" w:bidi="ar"/>
              </w:rPr>
              <w:t>（</w:t>
            </w:r>
            <w:r>
              <w:rPr>
                <w:rFonts w:hint="default" w:ascii="Times New Roman" w:hAnsi="Times New Roman" w:cs="Times New Roman"/>
                <w:color w:val="auto"/>
                <w:kern w:val="0"/>
                <w:sz w:val="24"/>
                <w:highlight w:val="none"/>
                <w:lang w:val="en-US" w:eastAsia="zh-CN" w:bidi="ar"/>
              </w:rPr>
              <w:t>2016-2035年</w:t>
            </w:r>
            <w:r>
              <w:rPr>
                <w:rFonts w:hint="default" w:ascii="Times New Roman" w:hAnsi="Times New Roman" w:cs="Times New Roman"/>
                <w:color w:val="auto"/>
                <w:kern w:val="0"/>
                <w:sz w:val="24"/>
                <w:highlight w:val="none"/>
                <w:lang w:eastAsia="zh-CN" w:bidi="ar"/>
              </w:rPr>
              <w:t>）</w:t>
            </w:r>
          </w:p>
          <w:p w14:paraId="2E8C8D59">
            <w:pPr>
              <w:autoSpaceDE w:val="0"/>
              <w:autoSpaceDN w:val="0"/>
              <w:adjustRightInd w:val="0"/>
              <w:snapToGrid w:val="0"/>
              <w:spacing w:line="360" w:lineRule="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highlight w:val="none"/>
                <w:lang w:bidi="ar"/>
              </w:rPr>
              <w:t>规划审批机关</w:t>
            </w:r>
            <w:r>
              <w:rPr>
                <w:rFonts w:hint="default" w:ascii="Times New Roman" w:hAnsi="Times New Roman" w:cs="Times New Roman"/>
                <w:color w:val="auto"/>
                <w:kern w:val="0"/>
                <w:sz w:val="24"/>
                <w:highlight w:val="none"/>
                <w:lang w:eastAsia="zh-CN" w:bidi="ar"/>
              </w:rPr>
              <w:t>：</w:t>
            </w:r>
            <w:r>
              <w:rPr>
                <w:rFonts w:hint="default" w:ascii="Times New Roman" w:hAnsi="Times New Roman" w:cs="Times New Roman"/>
                <w:color w:val="auto"/>
                <w:kern w:val="0"/>
                <w:sz w:val="24"/>
                <w:highlight w:val="none"/>
                <w:lang w:val="en-US" w:eastAsia="zh-CN" w:bidi="ar"/>
              </w:rPr>
              <w:t>西咸新区开发建设管理委员会</w:t>
            </w:r>
          </w:p>
        </w:tc>
      </w:tr>
      <w:tr w14:paraId="17148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376" w:hRule="atLeast"/>
          <w:jc w:val="center"/>
        </w:trPr>
        <w:tc>
          <w:tcPr>
            <w:tcW w:w="1727" w:type="dxa"/>
            <w:gridSpan w:val="3"/>
            <w:noWrap w:val="0"/>
            <w:vAlign w:val="center"/>
          </w:tcPr>
          <w:p w14:paraId="64BA8737">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规划环境影响</w:t>
            </w:r>
          </w:p>
          <w:p w14:paraId="080FEAC1">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sz w:val="24"/>
                <w:szCs w:val="24"/>
                <w:highlight w:val="none"/>
              </w:rPr>
              <w:t>评价情况</w:t>
            </w:r>
          </w:p>
        </w:tc>
        <w:tc>
          <w:tcPr>
            <w:tcW w:w="7143" w:type="dxa"/>
            <w:gridSpan w:val="3"/>
            <w:noWrap w:val="0"/>
            <w:vAlign w:val="center"/>
          </w:tcPr>
          <w:p w14:paraId="6A82EC08">
            <w:pPr>
              <w:widowControl/>
              <w:spacing w:line="360" w:lineRule="auto"/>
              <w:jc w:val="left"/>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规划环境影响评价文件：《</w:t>
            </w:r>
            <w:r>
              <w:rPr>
                <w:rFonts w:hint="default" w:ascii="Times New Roman" w:hAnsi="Times New Roman" w:cs="Times New Roman"/>
                <w:color w:val="auto"/>
                <w:kern w:val="0"/>
                <w:sz w:val="24"/>
                <w:highlight w:val="none"/>
                <w:lang w:val="en-US" w:eastAsia="zh-CN" w:bidi="ar"/>
              </w:rPr>
              <w:t>陕西省西咸新区泾河新</w:t>
            </w:r>
            <w:r>
              <w:rPr>
                <w:rFonts w:hint="default" w:ascii="Times New Roman" w:hAnsi="Times New Roman" w:eastAsia="宋体" w:cs="Times New Roman"/>
                <w:color w:val="auto"/>
                <w:sz w:val="24"/>
                <w:szCs w:val="24"/>
                <w:highlight w:val="none"/>
                <w:lang w:val="en-US" w:eastAsia="zh-CN"/>
              </w:rPr>
              <w:t>城分区</w:t>
            </w:r>
            <w:r>
              <w:rPr>
                <w:rFonts w:hint="default" w:ascii="Times New Roman" w:hAnsi="Times New Roman" w:eastAsia="宋体" w:cs="Times New Roman"/>
                <w:color w:val="auto"/>
                <w:sz w:val="24"/>
                <w:szCs w:val="24"/>
                <w:highlight w:val="none"/>
              </w:rPr>
              <w:t>规划</w:t>
            </w:r>
            <w:r>
              <w:rPr>
                <w:rFonts w:hint="default" w:ascii="Times New Roman" w:hAnsi="Times New Roman" w:cs="Times New Roman"/>
                <w:color w:val="auto"/>
                <w:kern w:val="0"/>
                <w:sz w:val="24"/>
                <w:highlight w:val="none"/>
                <w:lang w:eastAsia="zh-CN" w:bidi="ar"/>
              </w:rPr>
              <w:t>（</w:t>
            </w:r>
            <w:r>
              <w:rPr>
                <w:rFonts w:hint="default" w:ascii="Times New Roman" w:hAnsi="Times New Roman" w:cs="Times New Roman"/>
                <w:color w:val="auto"/>
                <w:kern w:val="0"/>
                <w:sz w:val="24"/>
                <w:highlight w:val="none"/>
                <w:lang w:val="en-US" w:eastAsia="zh-CN" w:bidi="ar"/>
              </w:rPr>
              <w:t>2016-2035</w:t>
            </w:r>
            <w:r>
              <w:rPr>
                <w:rFonts w:hint="default" w:ascii="Times New Roman" w:hAnsi="Times New Roman" w:cs="Times New Roman"/>
                <w:color w:val="auto"/>
                <w:kern w:val="0"/>
                <w:sz w:val="24"/>
                <w:highlight w:val="none"/>
                <w:lang w:eastAsia="zh-CN" w:bidi="ar"/>
              </w:rPr>
              <w:t>）</w:t>
            </w:r>
            <w:r>
              <w:rPr>
                <w:rFonts w:hint="default" w:ascii="Times New Roman" w:hAnsi="Times New Roman" w:cs="Times New Roman"/>
                <w:color w:val="auto"/>
                <w:kern w:val="0"/>
                <w:sz w:val="24"/>
                <w:highlight w:val="none"/>
                <w:lang w:bidi="ar"/>
              </w:rPr>
              <w:t>环境影响报告书》</w:t>
            </w:r>
          </w:p>
          <w:p w14:paraId="49A1FE80">
            <w:pPr>
              <w:widowControl/>
              <w:spacing w:line="360" w:lineRule="auto"/>
              <w:jc w:val="left"/>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kern w:val="0"/>
                <w:sz w:val="24"/>
                <w:highlight w:val="none"/>
                <w:lang w:bidi="ar"/>
              </w:rPr>
              <w:t>召集审查机关：</w:t>
            </w:r>
            <w:r>
              <w:rPr>
                <w:rFonts w:hint="default" w:ascii="Times New Roman" w:hAnsi="Times New Roman" w:cs="Times New Roman"/>
                <w:color w:val="auto"/>
                <w:kern w:val="0"/>
                <w:sz w:val="24"/>
                <w:highlight w:val="none"/>
                <w:lang w:val="en-US" w:eastAsia="zh-CN" w:bidi="ar"/>
              </w:rPr>
              <w:t>陕西省西咸新区生态环境局</w:t>
            </w:r>
          </w:p>
          <w:p w14:paraId="6E912EB8">
            <w:pPr>
              <w:autoSpaceDE w:val="0"/>
              <w:autoSpaceDN w:val="0"/>
              <w:adjustRightInd w:val="0"/>
              <w:snapToGrid w:val="0"/>
              <w:spacing w:line="360" w:lineRule="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highlight w:val="none"/>
                <w:lang w:bidi="ar"/>
              </w:rPr>
              <w:t>审查文件名称及文号：</w:t>
            </w:r>
            <w:r>
              <w:rPr>
                <w:rFonts w:hint="default" w:ascii="Times New Roman" w:hAnsi="Times New Roman" w:cs="Times New Roman"/>
                <w:color w:val="auto"/>
                <w:kern w:val="0"/>
                <w:sz w:val="24"/>
                <w:szCs w:val="24"/>
                <w:highlight w:val="none"/>
              </w:rPr>
              <w:t>关于西咸新区泾河新城分区规划（2016</w:t>
            </w:r>
            <w:r>
              <w:rPr>
                <w:rFonts w:hint="default"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rPr>
              <w:t>2035）环境影响报告书审查意见的函（陕西咸环函</w:t>
            </w:r>
            <w:r>
              <w:rPr>
                <w:rFonts w:hint="default" w:ascii="Times New Roman" w:hAnsi="Times New Roman" w:eastAsia="宋体" w:cs="Times New Roman"/>
                <w:color w:val="auto"/>
                <w:kern w:val="0"/>
                <w:sz w:val="24"/>
                <w:szCs w:val="24"/>
                <w:highlight w:val="none"/>
              </w:rPr>
              <w:t>〔</w:t>
            </w:r>
            <w:r>
              <w:rPr>
                <w:rFonts w:hint="default" w:ascii="Times New Roman" w:hAnsi="Times New Roman" w:cs="Times New Roman"/>
                <w:color w:val="auto"/>
                <w:kern w:val="0"/>
                <w:sz w:val="24"/>
                <w:szCs w:val="24"/>
                <w:highlight w:val="none"/>
              </w:rPr>
              <w:t>2021</w:t>
            </w:r>
            <w:r>
              <w:rPr>
                <w:rFonts w:hint="default" w:ascii="Times New Roman" w:hAnsi="Times New Roman" w:eastAsia="宋体" w:cs="Times New Roman"/>
                <w:color w:val="auto"/>
                <w:kern w:val="0"/>
                <w:sz w:val="24"/>
                <w:szCs w:val="24"/>
                <w:highlight w:val="none"/>
              </w:rPr>
              <w:t>〕</w:t>
            </w:r>
            <w:r>
              <w:rPr>
                <w:rFonts w:hint="default" w:ascii="Times New Roman" w:hAnsi="Times New Roman" w:cs="Times New Roman"/>
                <w:color w:val="auto"/>
                <w:kern w:val="0"/>
                <w:sz w:val="24"/>
                <w:szCs w:val="24"/>
                <w:highlight w:val="none"/>
              </w:rPr>
              <w:t>41号）</w:t>
            </w:r>
          </w:p>
        </w:tc>
      </w:tr>
      <w:tr w14:paraId="4AF1F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1021" w:hRule="atLeast"/>
          <w:jc w:val="center"/>
        </w:trPr>
        <w:tc>
          <w:tcPr>
            <w:tcW w:w="706" w:type="dxa"/>
            <w:noWrap w:val="0"/>
            <w:vAlign w:val="center"/>
          </w:tcPr>
          <w:p w14:paraId="1826C802">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规划及规划环境影响评价符合性分析</w:t>
            </w:r>
          </w:p>
        </w:tc>
        <w:tc>
          <w:tcPr>
            <w:tcW w:w="8164" w:type="dxa"/>
            <w:gridSpan w:val="5"/>
            <w:noWrap w:val="0"/>
            <w:vAlign w:val="center"/>
          </w:tcPr>
          <w:p w14:paraId="5EF1E898">
            <w:pPr>
              <w:autoSpaceDE w:val="0"/>
              <w:autoSpaceDN w:val="0"/>
              <w:adjustRightInd w:val="0"/>
              <w:snapToGrid w:val="0"/>
              <w:spacing w:line="360" w:lineRule="auto"/>
              <w:ind w:firstLine="480" w:firstLineChars="200"/>
              <w:jc w:val="both"/>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与相关规划、规划环评结论及审查意见的符合性见下表。</w:t>
            </w:r>
          </w:p>
          <w:p w14:paraId="66FD7EBD">
            <w:pPr>
              <w:pStyle w:val="3"/>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kern w:val="0"/>
                <w:sz w:val="21"/>
                <w:szCs w:val="21"/>
                <w:highlight w:val="none"/>
                <w:lang w:val="en-US" w:eastAsia="zh-CN" w:bidi="ar"/>
              </w:rPr>
              <w:t>表1-1 与相关规划及规划环评符合性分析</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3628"/>
              <w:gridCol w:w="2536"/>
              <w:gridCol w:w="564"/>
            </w:tblGrid>
            <w:tr w14:paraId="6AA4B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noWrap w:val="0"/>
                  <w:vAlign w:val="center"/>
                </w:tcPr>
                <w:p w14:paraId="6D979691">
                  <w:pPr>
                    <w:widowControl/>
                    <w:jc w:val="center"/>
                    <w:rPr>
                      <w:rFonts w:hint="default" w:ascii="Times New Roman" w:hAnsi="Times New Roman" w:cs="Times New Roman"/>
                      <w:b/>
                      <w:bCs/>
                      <w:color w:val="auto"/>
                      <w:kern w:val="0"/>
                      <w:szCs w:val="21"/>
                      <w:highlight w:val="none"/>
                      <w:lang w:bidi="ar"/>
                    </w:rPr>
                  </w:pPr>
                  <w:bookmarkStart w:id="4" w:name="_Toc24745"/>
                  <w:r>
                    <w:rPr>
                      <w:rFonts w:hint="default" w:ascii="Times New Roman" w:hAnsi="Times New Roman" w:cs="Times New Roman"/>
                      <w:b/>
                      <w:bCs/>
                      <w:color w:val="auto"/>
                      <w:kern w:val="0"/>
                      <w:szCs w:val="21"/>
                      <w:highlight w:val="none"/>
                      <w:lang w:bidi="ar"/>
                    </w:rPr>
                    <w:t>名称</w:t>
                  </w:r>
                </w:p>
              </w:tc>
              <w:tc>
                <w:tcPr>
                  <w:tcW w:w="2286" w:type="pct"/>
                  <w:noWrap w:val="0"/>
                  <w:vAlign w:val="center"/>
                </w:tcPr>
                <w:p w14:paraId="1981AC40">
                  <w:pPr>
                    <w:widowControl/>
                    <w:jc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相关内容</w:t>
                  </w:r>
                </w:p>
              </w:tc>
              <w:tc>
                <w:tcPr>
                  <w:tcW w:w="1597" w:type="pct"/>
                  <w:noWrap w:val="0"/>
                  <w:vAlign w:val="center"/>
                </w:tcPr>
                <w:p w14:paraId="686EF7D3">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本项目情况</w:t>
                  </w:r>
                </w:p>
              </w:tc>
              <w:tc>
                <w:tcPr>
                  <w:tcW w:w="355" w:type="pct"/>
                  <w:noWrap w:val="0"/>
                  <w:vAlign w:val="center"/>
                </w:tcPr>
                <w:p w14:paraId="3B326DE0">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符合性</w:t>
                  </w:r>
                </w:p>
              </w:tc>
            </w:tr>
            <w:tr w14:paraId="1D933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noWrap w:val="0"/>
                  <w:vAlign w:val="center"/>
                </w:tcPr>
                <w:p w14:paraId="379740D0">
                  <w:pPr>
                    <w:keepNext w:val="0"/>
                    <w:keepLines w:val="0"/>
                    <w:pageBreakBefore w:val="0"/>
                    <w:widowControl/>
                    <w:kinsoku/>
                    <w:wordWrap w:val="0"/>
                    <w:overflowPunct w:val="0"/>
                    <w:topLinePunct w:val="0"/>
                    <w:autoSpaceDE/>
                    <w:autoSpaceDN/>
                    <w:bidi w:val="0"/>
                    <w:adjustRightInd/>
                    <w:snapToGrid/>
                    <w:jc w:val="center"/>
                    <w:textAlignment w:val="auto"/>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kern w:val="0"/>
                      <w:szCs w:val="21"/>
                      <w:highlight w:val="none"/>
                      <w:lang w:bidi="ar"/>
                    </w:rPr>
                    <w:t>《</w:t>
                  </w:r>
                  <w:r>
                    <w:rPr>
                      <w:rFonts w:hint="default" w:ascii="Times New Roman" w:hAnsi="Times New Roman" w:cs="Times New Roman"/>
                      <w:color w:val="auto"/>
                      <w:kern w:val="0"/>
                      <w:szCs w:val="21"/>
                      <w:highlight w:val="none"/>
                      <w:lang w:val="en-US" w:eastAsia="zh-CN" w:bidi="ar"/>
                    </w:rPr>
                    <w:t>西咸新区-泾河新城分区规划修编（2016-2035）</w:t>
                  </w:r>
                  <w:r>
                    <w:rPr>
                      <w:rFonts w:hint="default" w:ascii="Times New Roman" w:hAnsi="Times New Roman" w:cs="Times New Roman"/>
                      <w:color w:val="auto"/>
                      <w:kern w:val="0"/>
                      <w:szCs w:val="21"/>
                      <w:highlight w:val="none"/>
                      <w:lang w:bidi="ar"/>
                    </w:rPr>
                    <w:t>》</w:t>
                  </w:r>
                </w:p>
              </w:tc>
              <w:tc>
                <w:tcPr>
                  <w:tcW w:w="2286" w:type="pct"/>
                  <w:noWrap w:val="0"/>
                  <w:vAlign w:val="center"/>
                </w:tcPr>
                <w:p w14:paraId="22F9C9E6">
                  <w:pPr>
                    <w:widowControl/>
                    <w:jc w:val="both"/>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b w:val="0"/>
                      <w:bCs w:val="0"/>
                      <w:color w:val="auto"/>
                      <w:sz w:val="21"/>
                      <w:szCs w:val="21"/>
                      <w:highlight w:val="none"/>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597" w:type="pct"/>
                  <w:vMerge w:val="restart"/>
                  <w:noWrap w:val="0"/>
                  <w:vAlign w:val="center"/>
                </w:tcPr>
                <w:p w14:paraId="4D7E713B">
                  <w:pPr>
                    <w:widowControl/>
                    <w:jc w:val="both"/>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泾河新城范围内主要有隆基乐叶光伏科技（西咸新区）有限公司、西安聚能超导磁体科技有限公司、陕西圣奥动物药业有限公司、质子汽车科技有限公司等14.5万家企业；本项目</w:t>
                  </w:r>
                  <w:r>
                    <w:rPr>
                      <w:rFonts w:hint="default" w:ascii="Times New Roman" w:hAnsi="Times New Roman" w:eastAsia="宋体" w:cs="Times New Roman"/>
                      <w:color w:val="auto"/>
                      <w:kern w:val="0"/>
                      <w:sz w:val="21"/>
                      <w:szCs w:val="21"/>
                      <w:highlight w:val="none"/>
                      <w:lang w:val="en-US" w:eastAsia="zh-CN" w:bidi="ar"/>
                    </w:rPr>
                    <w:t>位于泾河新城永乐工业园</w:t>
                  </w:r>
                  <w:r>
                    <w:rPr>
                      <w:rFonts w:hint="eastAsia" w:ascii="Times New Roman" w:hAnsi="Times New Roman" w:eastAsia="宋体" w:cs="Times New Roman"/>
                      <w:color w:val="auto"/>
                      <w:kern w:val="0"/>
                      <w:sz w:val="21"/>
                      <w:szCs w:val="21"/>
                      <w:highlight w:val="none"/>
                      <w:lang w:val="en-US" w:eastAsia="zh-CN" w:bidi="ar"/>
                    </w:rPr>
                    <w:t>区陕西国坤时代科技有限公司2号厂房，建设一条</w:t>
                  </w:r>
                  <w:r>
                    <w:rPr>
                      <w:rFonts w:hint="eastAsia" w:ascii="Times New Roman" w:hAnsi="Times New Roman" w:eastAsia="宋体" w:cs="Times New Roman"/>
                      <w:color w:val="auto"/>
                      <w:kern w:val="0"/>
                      <w:sz w:val="21"/>
                      <w:szCs w:val="21"/>
                      <w:highlight w:val="none"/>
                      <w:lang w:val="zh-CN" w:eastAsia="zh-CN" w:bidi="ar"/>
                    </w:rPr>
                    <w:t>RDF固体废物衍生燃料</w:t>
                  </w:r>
                  <w:r>
                    <w:rPr>
                      <w:rFonts w:hint="eastAsia" w:ascii="Times New Roman" w:hAnsi="Times New Roman" w:eastAsia="宋体" w:cs="Times New Roman"/>
                      <w:color w:val="auto"/>
                      <w:kern w:val="0"/>
                      <w:sz w:val="21"/>
                      <w:szCs w:val="21"/>
                      <w:highlight w:val="none"/>
                      <w:lang w:val="en-US" w:eastAsia="zh-CN" w:bidi="ar"/>
                    </w:rPr>
                    <w:t>生产线，收集</w:t>
                  </w:r>
                  <w:r>
                    <w:rPr>
                      <w:rFonts w:hint="default" w:ascii="Times New Roman" w:hAnsi="Times New Roman" w:cs="Times New Roman"/>
                      <w:b w:val="0"/>
                      <w:bCs w:val="0"/>
                      <w:color w:val="auto"/>
                      <w:sz w:val="21"/>
                      <w:szCs w:val="21"/>
                      <w:highlight w:val="none"/>
                    </w:rPr>
                    <w:t>泾河新城</w:t>
                  </w:r>
                  <w:r>
                    <w:rPr>
                      <w:rFonts w:hint="eastAsia" w:cs="Times New Roman"/>
                      <w:b w:val="0"/>
                      <w:bCs w:val="0"/>
                      <w:color w:val="auto"/>
                      <w:sz w:val="21"/>
                      <w:szCs w:val="21"/>
                      <w:highlight w:val="none"/>
                      <w:lang w:val="en-US" w:eastAsia="zh-CN"/>
                    </w:rPr>
                    <w:t>及周边</w:t>
                  </w:r>
                  <w:r>
                    <w:rPr>
                      <w:rFonts w:hint="eastAsia" w:ascii="Times New Roman" w:hAnsi="Times New Roman" w:eastAsia="宋体" w:cs="Times New Roman"/>
                      <w:color w:val="auto"/>
                      <w:kern w:val="0"/>
                      <w:sz w:val="21"/>
                      <w:szCs w:val="21"/>
                      <w:highlight w:val="none"/>
                      <w:lang w:val="en-US" w:eastAsia="zh-CN" w:bidi="ar"/>
                    </w:rPr>
                    <w:t>企业生产运营过程中产生的一般固废</w:t>
                  </w:r>
                  <w:r>
                    <w:rPr>
                      <w:rFonts w:hint="default" w:ascii="Times New Roman" w:hAnsi="Times New Roman" w:eastAsia="宋体" w:cs="Times New Roman"/>
                      <w:color w:val="auto"/>
                      <w:kern w:val="0"/>
                      <w:sz w:val="21"/>
                      <w:szCs w:val="21"/>
                      <w:highlight w:val="none"/>
                      <w:lang w:val="en-US" w:eastAsia="zh-CN" w:bidi="ar"/>
                    </w:rPr>
                    <w:t>，</w:t>
                  </w:r>
                  <w:r>
                    <w:rPr>
                      <w:rFonts w:hint="eastAsia" w:cs="Times New Roman"/>
                      <w:b w:val="0"/>
                      <w:bCs w:val="0"/>
                      <w:color w:val="auto"/>
                      <w:sz w:val="21"/>
                      <w:szCs w:val="21"/>
                      <w:highlight w:val="none"/>
                      <w:lang w:val="en-US" w:eastAsia="zh-CN"/>
                    </w:rPr>
                    <w:t>为</w:t>
                  </w:r>
                  <w:r>
                    <w:rPr>
                      <w:rFonts w:hint="default" w:ascii="Times New Roman" w:hAnsi="Times New Roman" w:cs="Times New Roman"/>
                      <w:b w:val="0"/>
                      <w:bCs w:val="0"/>
                      <w:color w:val="auto"/>
                      <w:sz w:val="21"/>
                      <w:szCs w:val="21"/>
                      <w:highlight w:val="none"/>
                    </w:rPr>
                    <w:t>泾河新城</w:t>
                  </w:r>
                  <w:r>
                    <w:rPr>
                      <w:rFonts w:hint="eastAsia" w:cs="Times New Roman"/>
                      <w:b w:val="0"/>
                      <w:bCs w:val="0"/>
                      <w:color w:val="auto"/>
                      <w:sz w:val="21"/>
                      <w:szCs w:val="21"/>
                      <w:highlight w:val="none"/>
                      <w:lang w:val="en-US" w:eastAsia="zh-CN"/>
                    </w:rPr>
                    <w:t>企业配套的固废收集处置企业，</w:t>
                  </w:r>
                  <w:r>
                    <w:rPr>
                      <w:rFonts w:hint="default" w:ascii="Times New Roman" w:hAnsi="Times New Roman" w:eastAsia="宋体" w:cs="Times New Roman"/>
                      <w:color w:val="auto"/>
                      <w:kern w:val="0"/>
                      <w:sz w:val="21"/>
                      <w:szCs w:val="21"/>
                      <w:highlight w:val="none"/>
                      <w:lang w:val="en-US" w:eastAsia="zh-CN" w:bidi="ar"/>
                    </w:rPr>
                    <w:t>属于生产性服务，符合产业定位。</w:t>
                  </w:r>
                </w:p>
              </w:tc>
              <w:tc>
                <w:tcPr>
                  <w:tcW w:w="355" w:type="pct"/>
                  <w:noWrap w:val="0"/>
                  <w:vAlign w:val="center"/>
                </w:tcPr>
                <w:p w14:paraId="6EC971A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31A87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noWrap w:val="0"/>
                  <w:vAlign w:val="center"/>
                </w:tcPr>
                <w:p w14:paraId="408E0603">
                  <w:pPr>
                    <w:keepNext w:val="0"/>
                    <w:keepLines w:val="0"/>
                    <w:pageBreakBefore w:val="0"/>
                    <w:kinsoku/>
                    <w:wordWrap w:val="0"/>
                    <w:overflowPunct w:val="0"/>
                    <w:topLinePunct w:val="0"/>
                    <w:autoSpaceDE/>
                    <w:autoSpaceDN/>
                    <w:bidi w:val="0"/>
                    <w:adjustRightInd/>
                    <w:snapToGrid/>
                    <w:jc w:val="center"/>
                    <w:textAlignment w:val="auto"/>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《陕西省西咸新区泾河新城控制性详细规划（2016-2035）》</w:t>
                  </w:r>
                </w:p>
              </w:tc>
              <w:tc>
                <w:tcPr>
                  <w:tcW w:w="2286" w:type="pct"/>
                  <w:noWrap w:val="0"/>
                  <w:vAlign w:val="center"/>
                </w:tcPr>
                <w:p w14:paraId="6E1E6742">
                  <w:pPr>
                    <w:jc w:val="both"/>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597" w:type="pct"/>
                  <w:vMerge w:val="continue"/>
                  <w:noWrap w:val="0"/>
                  <w:vAlign w:val="center"/>
                </w:tcPr>
                <w:p w14:paraId="58E30627">
                  <w:pPr>
                    <w:widowControl/>
                    <w:jc w:val="both"/>
                    <w:rPr>
                      <w:rFonts w:hint="default" w:ascii="Times New Roman" w:hAnsi="Times New Roman" w:cs="Times New Roman"/>
                      <w:color w:val="auto"/>
                      <w:kern w:val="0"/>
                      <w:szCs w:val="21"/>
                      <w:highlight w:val="none"/>
                      <w:lang w:bidi="ar"/>
                    </w:rPr>
                  </w:pPr>
                </w:p>
              </w:tc>
              <w:tc>
                <w:tcPr>
                  <w:tcW w:w="355" w:type="pct"/>
                  <w:noWrap w:val="0"/>
                  <w:vAlign w:val="center"/>
                </w:tcPr>
                <w:p w14:paraId="560E6DD6">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符合</w:t>
                  </w:r>
                </w:p>
              </w:tc>
            </w:tr>
            <w:tr w14:paraId="5522D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restart"/>
                  <w:noWrap w:val="0"/>
                  <w:vAlign w:val="center"/>
                </w:tcPr>
                <w:p w14:paraId="75181526">
                  <w:pPr>
                    <w:keepNext w:val="0"/>
                    <w:keepLines w:val="0"/>
                    <w:pageBreakBefore w:val="0"/>
                    <w:widowControl/>
                    <w:kinsoku/>
                    <w:wordWrap w:val="0"/>
                    <w:overflowPunct w:val="0"/>
                    <w:topLinePunct w:val="0"/>
                    <w:autoSpaceDE/>
                    <w:autoSpaceDN/>
                    <w:bidi w:val="0"/>
                    <w:adjustRightInd/>
                    <w:snapToGrid/>
                    <w:jc w:val="center"/>
                    <w:textAlignment w:val="auto"/>
                    <w:rPr>
                      <w:rFonts w:hint="default" w:ascii="Times New Roman" w:hAnsi="Times New Roman" w:cs="Times New Roman"/>
                      <w:color w:val="auto"/>
                      <w:kern w:val="0"/>
                      <w:szCs w:val="21"/>
                      <w:highlight w:val="none"/>
                      <w:lang w:bidi="ar"/>
                    </w:rPr>
                  </w:pPr>
                  <w:r>
                    <w:rPr>
                      <w:rFonts w:hint="default" w:ascii="Times New Roman" w:hAnsi="Times New Roman" w:cs="Times New Roman"/>
                      <w:b w:val="0"/>
                      <w:bCs w:val="0"/>
                      <w:color w:val="auto"/>
                      <w:sz w:val="21"/>
                      <w:szCs w:val="21"/>
                      <w:highlight w:val="none"/>
                    </w:rPr>
                    <w:t>《陕西省西咸新区泾河新城分区规划（2016-2035）环境影响报告书》及审查意见</w:t>
                  </w:r>
                </w:p>
              </w:tc>
              <w:tc>
                <w:tcPr>
                  <w:tcW w:w="2286" w:type="pct"/>
                  <w:noWrap w:val="0"/>
                  <w:vAlign w:val="center"/>
                </w:tcPr>
                <w:p w14:paraId="5C0FE57E">
                  <w:pPr>
                    <w:jc w:val="both"/>
                    <w:rPr>
                      <w:rFonts w:hint="default" w:ascii="Times New Roman" w:hAnsi="Times New Roman"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21"/>
                      <w:highlight w:val="none"/>
                      <w:lang w:val="en-US" w:eastAsia="zh-CN"/>
                    </w:rPr>
                    <w:t>主管部门应严格管理，要求入住企业采用先进、成熟、可靠的工艺技术和清洁的原材料，对产生的废物进行合理的回用和治理，尽可能从源头上减少污染物排放；禁止利用渗坑、渗井、裂隙等排放污水和其他有害废弃物的行为；严格按照国家相关规范要求，对工艺、管道、设备、污水储存及处理构筑物采取相应的措施，以防止和降低污染物的跑、 冒、滴、漏，将污染物泄漏的环境风险事故降低到最低程度；加强雨污分流排水体制建设，避免雨污水混流后进入外环境，污染区域地下水质。</w:t>
                  </w:r>
                </w:p>
              </w:tc>
              <w:tc>
                <w:tcPr>
                  <w:tcW w:w="1597" w:type="pct"/>
                  <w:noWrap w:val="0"/>
                  <w:vAlign w:val="center"/>
                </w:tcPr>
                <w:p w14:paraId="20252AC2">
                  <w:pPr>
                    <w:jc w:val="both"/>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项目厂区雨污分流，雨水排至市政雨水管网；本项目为一般固废资源化利用项目，</w:t>
                  </w:r>
                  <w:r>
                    <w:rPr>
                      <w:rFonts w:hint="default" w:ascii="Times New Roman" w:hAnsi="Times New Roman" w:cs="Times New Roman"/>
                      <w:b w:val="0"/>
                      <w:bCs w:val="0"/>
                      <w:color w:val="auto"/>
                      <w:sz w:val="21"/>
                      <w:szCs w:val="21"/>
                      <w:highlight w:val="none"/>
                      <w:lang w:val="en-US" w:eastAsia="zh-CN"/>
                    </w:rPr>
                    <w:t>无生产废水</w:t>
                  </w:r>
                  <w:r>
                    <w:rPr>
                      <w:rFonts w:hint="eastAsia" w:ascii="Times New Roman" w:hAnsi="Times New Roman" w:cs="Times New Roman"/>
                      <w:b w:val="0"/>
                      <w:bCs w:val="0"/>
                      <w:color w:val="auto"/>
                      <w:sz w:val="21"/>
                      <w:szCs w:val="21"/>
                      <w:highlight w:val="none"/>
                      <w:lang w:val="en-US" w:eastAsia="zh-CN"/>
                    </w:rPr>
                    <w:t>排放</w:t>
                  </w:r>
                  <w:r>
                    <w:rPr>
                      <w:rFonts w:hint="default" w:ascii="Times New Roman" w:hAnsi="Times New Roman" w:cs="Times New Roman"/>
                      <w:b w:val="0"/>
                      <w:bCs w:val="0"/>
                      <w:color w:val="auto"/>
                      <w:sz w:val="21"/>
                      <w:szCs w:val="21"/>
                      <w:highlight w:val="none"/>
                      <w:lang w:val="en-US" w:eastAsia="zh-CN"/>
                    </w:rPr>
                    <w:t>，生活污水依托</w:t>
                  </w:r>
                  <w:r>
                    <w:rPr>
                      <w:rFonts w:hint="eastAsia" w:ascii="Times New Roman" w:hAnsi="Times New Roman" w:cs="Times New Roman"/>
                      <w:b w:val="0"/>
                      <w:bCs w:val="0"/>
                      <w:color w:val="auto"/>
                      <w:sz w:val="21"/>
                      <w:szCs w:val="21"/>
                      <w:highlight w:val="none"/>
                      <w:lang w:val="en-US" w:eastAsia="zh-CN"/>
                    </w:rPr>
                    <w:t>陕西国坤时代科技有限公司化粪池</w:t>
                  </w:r>
                  <w:r>
                    <w:rPr>
                      <w:rFonts w:hint="default" w:ascii="Times New Roman" w:hAnsi="Times New Roman" w:cs="Times New Roman"/>
                      <w:b w:val="0"/>
                      <w:bCs w:val="0"/>
                      <w:color w:val="auto"/>
                      <w:sz w:val="21"/>
                      <w:szCs w:val="21"/>
                      <w:highlight w:val="none"/>
                      <w:lang w:val="en-US" w:eastAsia="zh-CN"/>
                    </w:rPr>
                    <w:t>处理后经市政管网排入泾河新城第二污水处理厂。</w:t>
                  </w:r>
                </w:p>
                <w:p w14:paraId="437D1424">
                  <w:pPr>
                    <w:jc w:val="both"/>
                    <w:rPr>
                      <w:rFonts w:hint="default" w:ascii="Times New Roman" w:hAnsi="Times New Roman" w:cs="Times New Roman"/>
                      <w:b w:val="0"/>
                      <w:bCs w:val="0"/>
                      <w:color w:val="auto"/>
                      <w:kern w:val="2"/>
                      <w:sz w:val="21"/>
                      <w:szCs w:val="21"/>
                      <w:highlight w:val="none"/>
                      <w:lang w:val="en-US" w:eastAsia="zh-CN" w:bidi="ar-SA"/>
                    </w:rPr>
                  </w:pPr>
                </w:p>
              </w:tc>
              <w:tc>
                <w:tcPr>
                  <w:tcW w:w="355" w:type="pct"/>
                  <w:noWrap w:val="0"/>
                  <w:vAlign w:val="center"/>
                </w:tcPr>
                <w:p w14:paraId="15C7CCB2">
                  <w:pPr>
                    <w:widowControl/>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Cs w:val="21"/>
                      <w:highlight w:val="none"/>
                    </w:rPr>
                    <w:t>符合</w:t>
                  </w:r>
                </w:p>
              </w:tc>
            </w:tr>
            <w:tr w14:paraId="63D97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54E1D33F">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18A9204C">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21"/>
                      <w:highlight w:val="none"/>
                      <w:lang w:val="en-US" w:eastAsia="zh-CN"/>
                    </w:rPr>
                    <w:t>按照循环经济思想的指导，生产一般固废必须按照《一般工业固体废物贮存和填埋污染控制标准》（</w:t>
                  </w:r>
                  <w:r>
                    <w:rPr>
                      <w:rFonts w:hint="default" w:ascii="Times New Roman" w:hAnsi="Times New Roman" w:cs="Times New Roman"/>
                      <w:b w:val="0"/>
                      <w:bCs w:val="0"/>
                      <w:color w:val="auto"/>
                      <w:sz w:val="21"/>
                      <w:szCs w:val="21"/>
                      <w:highlight w:val="none"/>
                      <w:lang w:val="en-US" w:eastAsia="zh-CN"/>
                    </w:rPr>
                    <w:t>GB18599-2020</w:t>
                  </w:r>
                  <w:r>
                    <w:rPr>
                      <w:rFonts w:hint="eastAsia" w:ascii="Times New Roman" w:hAnsi="Times New Roman" w:cs="Times New Roman"/>
                      <w:b w:val="0"/>
                      <w:bCs w:val="0"/>
                      <w:color w:val="auto"/>
                      <w:sz w:val="21"/>
                      <w:szCs w:val="21"/>
                      <w:highlight w:val="none"/>
                      <w:lang w:val="en-US" w:eastAsia="zh-CN"/>
                    </w:rPr>
                    <w:t>）要求，进行贮存和处置；危废的产生和管理按照陕西省环境保护厅颁发的《危险废物转移联单管理办法》等有关规定文件的要求，收集后送往危废处理处置中心处置。</w:t>
                  </w:r>
                </w:p>
              </w:tc>
              <w:tc>
                <w:tcPr>
                  <w:tcW w:w="1597" w:type="pct"/>
                  <w:noWrap w:val="0"/>
                  <w:vAlign w:val="center"/>
                </w:tcPr>
                <w:p w14:paraId="0549ABDB">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sz w:val="21"/>
                      <w:szCs w:val="21"/>
                      <w:highlight w:val="none"/>
                      <w:lang w:val="en-US" w:eastAsia="zh-CN"/>
                    </w:rPr>
                    <w:t>生活垃圾交由环卫部门处置；</w:t>
                  </w:r>
                  <w:r>
                    <w:rPr>
                      <w:rFonts w:hint="default" w:ascii="Times New Roman" w:hAnsi="Times New Roman" w:cs="Times New Roman"/>
                      <w:b w:val="0"/>
                      <w:bCs w:val="0"/>
                      <w:color w:val="auto"/>
                      <w:sz w:val="21"/>
                      <w:szCs w:val="21"/>
                      <w:highlight w:val="none"/>
                      <w:lang w:val="en-US" w:eastAsia="zh-CN"/>
                    </w:rPr>
                    <w:t>废润滑油、</w:t>
                  </w:r>
                  <w:r>
                    <w:rPr>
                      <w:rFonts w:hint="eastAsia" w:ascii="Times New Roman" w:hAnsi="Times New Roman" w:cs="Times New Roman"/>
                      <w:b w:val="0"/>
                      <w:bCs w:val="0"/>
                      <w:color w:val="auto"/>
                      <w:sz w:val="21"/>
                      <w:szCs w:val="21"/>
                      <w:highlight w:val="none"/>
                      <w:lang w:val="en-US" w:eastAsia="zh-CN"/>
                    </w:rPr>
                    <w:t>废油桶和</w:t>
                  </w:r>
                  <w:r>
                    <w:rPr>
                      <w:rFonts w:hint="default" w:ascii="Times New Roman" w:hAnsi="Times New Roman" w:cs="Times New Roman"/>
                      <w:b w:val="0"/>
                      <w:bCs w:val="0"/>
                      <w:color w:val="auto"/>
                      <w:sz w:val="21"/>
                      <w:szCs w:val="21"/>
                      <w:highlight w:val="none"/>
                      <w:lang w:val="en-US" w:eastAsia="zh-CN"/>
                    </w:rPr>
                    <w:t>废含油抹布及手套</w:t>
                  </w:r>
                  <w:r>
                    <w:rPr>
                      <w:rFonts w:hint="eastAsia" w:ascii="Times New Roman" w:hAnsi="Times New Roman" w:cs="Times New Roman"/>
                      <w:b w:val="0"/>
                      <w:bCs w:val="0"/>
                      <w:color w:val="auto"/>
                      <w:sz w:val="21"/>
                      <w:szCs w:val="21"/>
                      <w:highlight w:val="none"/>
                      <w:lang w:val="en-US" w:eastAsia="zh-CN"/>
                    </w:rPr>
                    <w:t>收集于专用容器中，</w:t>
                  </w:r>
                  <w:r>
                    <w:rPr>
                      <w:rFonts w:hint="eastAsia" w:cs="Times New Roman"/>
                      <w:b w:val="0"/>
                      <w:bCs w:val="0"/>
                      <w:color w:val="auto"/>
                      <w:sz w:val="21"/>
                      <w:szCs w:val="21"/>
                      <w:highlight w:val="none"/>
                      <w:lang w:val="en-US" w:eastAsia="zh-CN"/>
                    </w:rPr>
                    <w:t>定期</w:t>
                  </w:r>
                  <w:r>
                    <w:rPr>
                      <w:rFonts w:hint="eastAsia" w:ascii="Times New Roman" w:hAnsi="Times New Roman" w:cs="Times New Roman"/>
                      <w:b w:val="0"/>
                      <w:bCs w:val="0"/>
                      <w:color w:val="auto"/>
                      <w:sz w:val="21"/>
                      <w:szCs w:val="21"/>
                      <w:highlight w:val="none"/>
                      <w:lang w:val="en-US" w:eastAsia="zh-CN"/>
                    </w:rPr>
                    <w:t>交由有资质单位处置。</w:t>
                  </w:r>
                </w:p>
              </w:tc>
              <w:tc>
                <w:tcPr>
                  <w:tcW w:w="355" w:type="pct"/>
                  <w:noWrap w:val="0"/>
                  <w:vAlign w:val="center"/>
                </w:tcPr>
                <w:p w14:paraId="0D258B88">
                  <w:pPr>
                    <w:widowControl/>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Cs w:val="21"/>
                      <w:highlight w:val="none"/>
                    </w:rPr>
                    <w:t>符合</w:t>
                  </w:r>
                </w:p>
              </w:tc>
            </w:tr>
            <w:tr w14:paraId="0DBAD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2A180107">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585367A5">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对于涉及危险废物的企业应建立危险废物暂存库并严格按照重点防渗区进行防渗处理，防止污染地下水，并定期及时交由有资质单位处置，应与有危险废物处置资质单位建立长期合作关系。</w:t>
                  </w:r>
                </w:p>
              </w:tc>
              <w:tc>
                <w:tcPr>
                  <w:tcW w:w="1597" w:type="pct"/>
                  <w:noWrap w:val="0"/>
                  <w:vAlign w:val="center"/>
                </w:tcPr>
                <w:p w14:paraId="381FE968">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本项目设有危险废物贮存库，储存库为混凝土浇筑地面，设防渗层</w:t>
                  </w:r>
                  <w:r>
                    <w:rPr>
                      <w:rFonts w:hint="eastAsia" w:cs="Times New Roman"/>
                      <w:b w:val="0"/>
                      <w:bCs w:val="0"/>
                      <w:color w:val="auto"/>
                      <w:sz w:val="21"/>
                      <w:szCs w:val="21"/>
                      <w:highlight w:val="none"/>
                      <w:lang w:val="en-US" w:eastAsia="zh-CN"/>
                    </w:rPr>
                    <w:t>；</w:t>
                  </w:r>
                  <w:r>
                    <w:rPr>
                      <w:rFonts w:hint="default" w:ascii="Times New Roman" w:hAnsi="Times New Roman" w:cs="Times New Roman"/>
                      <w:b w:val="0"/>
                      <w:bCs w:val="0"/>
                      <w:color w:val="auto"/>
                      <w:sz w:val="21"/>
                      <w:szCs w:val="21"/>
                      <w:highlight w:val="none"/>
                      <w:lang w:val="en-US" w:eastAsia="zh-CN"/>
                    </w:rPr>
                    <w:t>废润滑油、</w:t>
                  </w:r>
                  <w:r>
                    <w:rPr>
                      <w:rFonts w:hint="eastAsia" w:ascii="Times New Roman" w:hAnsi="Times New Roman" w:cs="Times New Roman"/>
                      <w:b w:val="0"/>
                      <w:bCs w:val="0"/>
                      <w:color w:val="auto"/>
                      <w:sz w:val="21"/>
                      <w:szCs w:val="21"/>
                      <w:highlight w:val="none"/>
                      <w:lang w:val="en-US" w:eastAsia="zh-CN"/>
                    </w:rPr>
                    <w:t>废油桶和</w:t>
                  </w:r>
                  <w:r>
                    <w:rPr>
                      <w:rFonts w:hint="default" w:ascii="Times New Roman" w:hAnsi="Times New Roman" w:cs="Times New Roman"/>
                      <w:b w:val="0"/>
                      <w:bCs w:val="0"/>
                      <w:color w:val="auto"/>
                      <w:sz w:val="21"/>
                      <w:szCs w:val="21"/>
                      <w:highlight w:val="none"/>
                      <w:lang w:val="en-US" w:eastAsia="zh-CN"/>
                    </w:rPr>
                    <w:t>废含油抹布及手套</w:t>
                  </w:r>
                  <w:r>
                    <w:rPr>
                      <w:rFonts w:hint="eastAsia" w:ascii="Times New Roman" w:hAnsi="Times New Roman" w:cs="Times New Roman"/>
                      <w:b w:val="0"/>
                      <w:bCs w:val="0"/>
                      <w:color w:val="auto"/>
                      <w:sz w:val="21"/>
                      <w:szCs w:val="21"/>
                      <w:highlight w:val="none"/>
                      <w:lang w:val="en-US" w:eastAsia="zh-CN"/>
                    </w:rPr>
                    <w:t>收集于专用容器中暂存于危废贮存库内</w:t>
                  </w:r>
                  <w:r>
                    <w:rPr>
                      <w:rFonts w:hint="eastAsia" w:cs="Times New Roman"/>
                      <w:b w:val="0"/>
                      <w:bCs w:val="0"/>
                      <w:color w:val="auto"/>
                      <w:sz w:val="21"/>
                      <w:szCs w:val="21"/>
                      <w:highlight w:val="none"/>
                      <w:lang w:val="en-US" w:eastAsia="zh-CN"/>
                    </w:rPr>
                    <w:t>，定期</w:t>
                  </w:r>
                  <w:r>
                    <w:rPr>
                      <w:rFonts w:hint="eastAsia" w:ascii="Times New Roman" w:hAnsi="Times New Roman" w:cs="Times New Roman"/>
                      <w:b w:val="0"/>
                      <w:bCs w:val="0"/>
                      <w:color w:val="auto"/>
                      <w:sz w:val="21"/>
                      <w:szCs w:val="21"/>
                      <w:highlight w:val="none"/>
                      <w:lang w:val="en-US" w:eastAsia="zh-CN"/>
                    </w:rPr>
                    <w:t>交由有资质单位处置。</w:t>
                  </w:r>
                </w:p>
              </w:tc>
              <w:tc>
                <w:tcPr>
                  <w:tcW w:w="355" w:type="pct"/>
                  <w:noWrap w:val="0"/>
                  <w:vAlign w:val="center"/>
                </w:tcPr>
                <w:p w14:paraId="7C9D0280">
                  <w:pPr>
                    <w:widowControl/>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Cs w:val="21"/>
                      <w:highlight w:val="none"/>
                    </w:rPr>
                    <w:t>符合</w:t>
                  </w:r>
                </w:p>
              </w:tc>
            </w:tr>
            <w:tr w14:paraId="319D8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449BD490">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642F0DD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提高入园企业大气污染物排放的清洁生产水平，引进企业必须采用先进、可靠的废气治理措施，确保废气排放满足《大气污染物综合排放标准》（</w:t>
                  </w:r>
                  <w:r>
                    <w:rPr>
                      <w:rFonts w:hint="default" w:ascii="Times New Roman" w:hAnsi="Times New Roman" w:cs="Times New Roman"/>
                      <w:b w:val="0"/>
                      <w:bCs w:val="0"/>
                      <w:color w:val="auto"/>
                      <w:sz w:val="21"/>
                      <w:szCs w:val="21"/>
                      <w:highlight w:val="none"/>
                      <w:lang w:val="en-US" w:eastAsia="zh-CN"/>
                    </w:rPr>
                    <w:t>GB16297-1996</w:t>
                  </w:r>
                  <w:r>
                    <w:rPr>
                      <w:rFonts w:hint="eastAsia" w:ascii="Times New Roman" w:hAnsi="Times New Roman" w:cs="Times New Roman"/>
                      <w:b w:val="0"/>
                      <w:bCs w:val="0"/>
                      <w:color w:val="auto"/>
                      <w:sz w:val="21"/>
                      <w:szCs w:val="21"/>
                      <w:highlight w:val="none"/>
                      <w:lang w:val="en-US" w:eastAsia="zh-CN"/>
                    </w:rPr>
                    <w:t>）二级标准或相应的行业标准要求。严格控制入区工业项目，采取总量控制的方式，</w:t>
                  </w:r>
                  <w:r>
                    <w:rPr>
                      <w:rFonts w:hint="eastAsia" w:cs="Times New Roman"/>
                      <w:b w:val="0"/>
                      <w:bCs w:val="0"/>
                      <w:color w:val="auto"/>
                      <w:sz w:val="21"/>
                      <w:szCs w:val="21"/>
                      <w:highlight w:val="none"/>
                      <w:lang w:val="en-US" w:eastAsia="zh-CN"/>
                    </w:rPr>
                    <w:t>限制</w:t>
                  </w:r>
                  <w:r>
                    <w:rPr>
                      <w:rFonts w:hint="eastAsia" w:ascii="Times New Roman" w:hAnsi="Times New Roman" w:cs="Times New Roman"/>
                      <w:b w:val="0"/>
                      <w:bCs w:val="0"/>
                      <w:color w:val="auto"/>
                      <w:sz w:val="21"/>
                      <w:szCs w:val="21"/>
                      <w:highlight w:val="none"/>
                      <w:lang w:val="en-US" w:eastAsia="zh-CN"/>
                    </w:rPr>
                    <w:t>大气污染物排放量大的项目入区。</w:t>
                  </w:r>
                </w:p>
              </w:tc>
              <w:tc>
                <w:tcPr>
                  <w:tcW w:w="1597" w:type="pct"/>
                  <w:vMerge w:val="restart"/>
                  <w:noWrap w:val="0"/>
                  <w:vAlign w:val="center"/>
                </w:tcPr>
                <w:p w14:paraId="115E6CF0">
                  <w:pPr>
                    <w:jc w:val="both"/>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本项目满足</w:t>
                  </w:r>
                  <w:r>
                    <w:rPr>
                      <w:rFonts w:hint="eastAsia"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三线一单</w:t>
                  </w:r>
                  <w:r>
                    <w:rPr>
                      <w:rFonts w:hint="eastAsia"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管控要求，项目不产生生产废水，</w:t>
                  </w:r>
                  <w:r>
                    <w:rPr>
                      <w:rFonts w:hint="default" w:ascii="Times New Roman" w:hAnsi="Times New Roman" w:cs="Times New Roman"/>
                      <w:b w:val="0"/>
                      <w:bCs w:val="0"/>
                      <w:color w:val="auto"/>
                      <w:sz w:val="21"/>
                      <w:szCs w:val="21"/>
                      <w:highlight w:val="none"/>
                      <w:lang w:val="en-US" w:eastAsia="zh-CN"/>
                    </w:rPr>
                    <w:t>生活污水依托</w:t>
                  </w:r>
                  <w:r>
                    <w:rPr>
                      <w:rFonts w:hint="eastAsia" w:ascii="Times New Roman" w:hAnsi="Times New Roman" w:cs="Times New Roman"/>
                      <w:b w:val="0"/>
                      <w:bCs w:val="0"/>
                      <w:color w:val="auto"/>
                      <w:sz w:val="21"/>
                      <w:szCs w:val="21"/>
                      <w:highlight w:val="none"/>
                      <w:lang w:val="en-US" w:eastAsia="zh-CN"/>
                    </w:rPr>
                    <w:t>陕西国坤时代科技有限公司化粪池</w:t>
                  </w:r>
                  <w:r>
                    <w:rPr>
                      <w:rFonts w:hint="default" w:ascii="Times New Roman" w:hAnsi="Times New Roman" w:cs="Times New Roman"/>
                      <w:b w:val="0"/>
                      <w:bCs w:val="0"/>
                      <w:color w:val="auto"/>
                      <w:sz w:val="21"/>
                      <w:szCs w:val="21"/>
                      <w:highlight w:val="none"/>
                      <w:lang w:val="en-US" w:eastAsia="zh-CN"/>
                    </w:rPr>
                    <w:t>处理后经市政管网排入泾河新城第二污水处理厂。</w:t>
                  </w:r>
                  <w:r>
                    <w:rPr>
                      <w:rFonts w:hint="eastAsia" w:ascii="Times New Roman" w:hAnsi="Times New Roman" w:cs="Times New Roman"/>
                      <w:b w:val="0"/>
                      <w:bCs w:val="0"/>
                      <w:color w:val="auto"/>
                      <w:sz w:val="21"/>
                      <w:szCs w:val="21"/>
                      <w:highlight w:val="none"/>
                      <w:lang w:val="en-US" w:eastAsia="zh-CN"/>
                    </w:rPr>
                    <w:t>废气仅为</w:t>
                  </w:r>
                  <w:r>
                    <w:rPr>
                      <w:rFonts w:hint="eastAsia" w:cs="Times New Roman"/>
                      <w:b w:val="0"/>
                      <w:bCs w:val="0"/>
                      <w:color w:val="auto"/>
                      <w:sz w:val="21"/>
                      <w:szCs w:val="21"/>
                      <w:highlight w:val="none"/>
                      <w:lang w:val="en-US" w:eastAsia="zh-CN"/>
                    </w:rPr>
                    <w:t>上料、破碎和打包</w:t>
                  </w:r>
                  <w:r>
                    <w:rPr>
                      <w:rFonts w:hint="eastAsia" w:ascii="Times New Roman" w:hAnsi="Times New Roman" w:cs="Times New Roman"/>
                      <w:b w:val="0"/>
                      <w:bCs w:val="0"/>
                      <w:color w:val="auto"/>
                      <w:sz w:val="21"/>
                      <w:szCs w:val="21"/>
                      <w:highlight w:val="none"/>
                      <w:lang w:val="en-US" w:eastAsia="zh-CN"/>
                    </w:rPr>
                    <w:t>工序产生的颗粒物，根据工程分析产生量极少，故本项目不属于大气污染物和水污染物排放量大的项目。</w:t>
                  </w:r>
                </w:p>
              </w:tc>
              <w:tc>
                <w:tcPr>
                  <w:tcW w:w="355" w:type="pct"/>
                  <w:noWrap w:val="0"/>
                  <w:vAlign w:val="center"/>
                </w:tcPr>
                <w:p w14:paraId="21EB98F7">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2F7D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30BFF803">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5DCBB39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严格控制入区工业项目，采取总量控制的方式，限制大气污染物排放量大的项目入区。</w:t>
                  </w:r>
                </w:p>
              </w:tc>
              <w:tc>
                <w:tcPr>
                  <w:tcW w:w="1597" w:type="pct"/>
                  <w:vMerge w:val="continue"/>
                  <w:noWrap w:val="0"/>
                  <w:vAlign w:val="center"/>
                </w:tcPr>
                <w:p w14:paraId="11782639">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auto"/>
                      <w:sz w:val="21"/>
                      <w:szCs w:val="21"/>
                      <w:highlight w:val="none"/>
                      <w:lang w:val="en-US" w:eastAsia="zh-CN"/>
                    </w:rPr>
                  </w:pPr>
                </w:p>
              </w:tc>
              <w:tc>
                <w:tcPr>
                  <w:tcW w:w="355" w:type="pct"/>
                  <w:noWrap w:val="0"/>
                  <w:vAlign w:val="center"/>
                </w:tcPr>
                <w:p w14:paraId="6A749200">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B847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360F9E19">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0E4C8A3C">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加强监督管理，确保入住企业的污水预处理设施</w:t>
                  </w:r>
                  <w:r>
                    <w:rPr>
                      <w:rFonts w:hint="eastAsia" w:cs="Times New Roman"/>
                      <w:b w:val="0"/>
                      <w:bCs w:val="0"/>
                      <w:color w:val="auto"/>
                      <w:sz w:val="21"/>
                      <w:szCs w:val="21"/>
                      <w:highlight w:val="none"/>
                      <w:lang w:val="en-US" w:eastAsia="zh-CN"/>
                    </w:rPr>
                    <w:t>正常</w:t>
                  </w:r>
                  <w:r>
                    <w:rPr>
                      <w:rFonts w:hint="eastAsia" w:ascii="Times New Roman" w:hAnsi="Times New Roman" w:cs="Times New Roman"/>
                      <w:b w:val="0"/>
                      <w:bCs w:val="0"/>
                      <w:color w:val="auto"/>
                      <w:sz w:val="21"/>
                      <w:szCs w:val="21"/>
                      <w:highlight w:val="none"/>
                      <w:lang w:val="en-US" w:eastAsia="zh-CN"/>
                    </w:rPr>
                    <w:t>运行，保证进入污水处理厂的污水水质满足污水处理厂设计水质的要求，特别是严格控制含有毒有害污染物的废水排放，应根据下游污水处理厂的污水处理工艺和尾水排放标准，从严考虑接管标准。</w:t>
                  </w:r>
                </w:p>
              </w:tc>
              <w:tc>
                <w:tcPr>
                  <w:tcW w:w="1597" w:type="pct"/>
                  <w:noWrap w:val="0"/>
                  <w:vAlign w:val="center"/>
                </w:tcPr>
                <w:p w14:paraId="2DA73798">
                  <w:pPr>
                    <w:jc w:val="both"/>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本项目厂区雨污分流，雨水排至市政雨水管网；项目不产生生产废水；本项目</w:t>
                  </w:r>
                  <w:r>
                    <w:rPr>
                      <w:rFonts w:hint="default" w:ascii="Times New Roman" w:hAnsi="Times New Roman" w:cs="Times New Roman"/>
                      <w:b w:val="0"/>
                      <w:bCs w:val="0"/>
                      <w:color w:val="auto"/>
                      <w:sz w:val="21"/>
                      <w:szCs w:val="21"/>
                      <w:highlight w:val="none"/>
                      <w:lang w:val="en-US" w:eastAsia="zh-CN"/>
                    </w:rPr>
                    <w:t>生活污水依托</w:t>
                  </w:r>
                  <w:r>
                    <w:rPr>
                      <w:rFonts w:hint="eastAsia" w:ascii="Times New Roman" w:hAnsi="Times New Roman" w:cs="Times New Roman"/>
                      <w:b w:val="0"/>
                      <w:bCs w:val="0"/>
                      <w:color w:val="auto"/>
                      <w:sz w:val="21"/>
                      <w:szCs w:val="21"/>
                      <w:highlight w:val="none"/>
                      <w:lang w:val="en-US" w:eastAsia="zh-CN"/>
                    </w:rPr>
                    <w:t>陕西国坤时代科技有限公司化粪池</w:t>
                  </w:r>
                  <w:r>
                    <w:rPr>
                      <w:rFonts w:hint="default" w:ascii="Times New Roman" w:hAnsi="Times New Roman" w:cs="Times New Roman"/>
                      <w:b w:val="0"/>
                      <w:bCs w:val="0"/>
                      <w:color w:val="auto"/>
                      <w:sz w:val="21"/>
                      <w:szCs w:val="21"/>
                      <w:highlight w:val="none"/>
                      <w:lang w:val="en-US" w:eastAsia="zh-CN"/>
                    </w:rPr>
                    <w:t>处理后经市政管网排入泾河新城第二污水处理厂。</w:t>
                  </w:r>
                </w:p>
              </w:tc>
              <w:tc>
                <w:tcPr>
                  <w:tcW w:w="355" w:type="pct"/>
                  <w:noWrap w:val="0"/>
                  <w:vAlign w:val="center"/>
                </w:tcPr>
                <w:p w14:paraId="49C0BF04">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7B64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75BBE239">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4785E587">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对饮食业、单位食堂等确保使用清洁能源和安装符合要求的油烟净化设施。</w:t>
                  </w:r>
                </w:p>
              </w:tc>
              <w:tc>
                <w:tcPr>
                  <w:tcW w:w="1597" w:type="pct"/>
                  <w:noWrap w:val="0"/>
                  <w:vAlign w:val="center"/>
                </w:tcPr>
                <w:p w14:paraId="4D0745B0">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本项目不涉及食堂。</w:t>
                  </w:r>
                </w:p>
              </w:tc>
              <w:tc>
                <w:tcPr>
                  <w:tcW w:w="355" w:type="pct"/>
                  <w:noWrap w:val="0"/>
                  <w:vAlign w:val="center"/>
                </w:tcPr>
                <w:p w14:paraId="01730AD5">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A01E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38697190">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6663BA73">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按照《陕西省大气污染防治条例》，在城镇规划区全面发展集中供热，泾河新城能源结构应采用天然气、电等清洁燃料。在燃气管网和集中供热管网覆盖的区域，不得新建、扩建燃料煤炭、重油、渣油的供热设施。同时，建议根据环境容量情况建设集中供热</w:t>
                  </w:r>
                  <w:r>
                    <w:rPr>
                      <w:rFonts w:hint="eastAsia" w:cs="Times New Roman"/>
                      <w:b w:val="0"/>
                      <w:bCs w:val="0"/>
                      <w:color w:val="auto"/>
                      <w:sz w:val="21"/>
                      <w:szCs w:val="21"/>
                      <w:highlight w:val="none"/>
                      <w:lang w:val="en-US" w:eastAsia="zh-CN"/>
                    </w:rPr>
                    <w:t>设施</w:t>
                  </w:r>
                  <w:r>
                    <w:rPr>
                      <w:rFonts w:hint="eastAsia" w:ascii="Times New Roman" w:hAnsi="Times New Roman" w:cs="Times New Roman"/>
                      <w:b w:val="0"/>
                      <w:bCs w:val="0"/>
                      <w:color w:val="auto"/>
                      <w:sz w:val="21"/>
                      <w:szCs w:val="21"/>
                      <w:highlight w:val="none"/>
                      <w:lang w:val="en-US" w:eastAsia="zh-CN"/>
                    </w:rPr>
                    <w:t>，鼓励采用地热、太阳能等清洁能源。</w:t>
                  </w:r>
                </w:p>
              </w:tc>
              <w:tc>
                <w:tcPr>
                  <w:tcW w:w="1597" w:type="pct"/>
                  <w:noWrap w:val="0"/>
                  <w:vAlign w:val="center"/>
                </w:tcPr>
                <w:p w14:paraId="67C9D688">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本项目使用能源为电，属于清洁能源。</w:t>
                  </w:r>
                </w:p>
              </w:tc>
              <w:tc>
                <w:tcPr>
                  <w:tcW w:w="355" w:type="pct"/>
                  <w:noWrap w:val="0"/>
                  <w:vAlign w:val="center"/>
                </w:tcPr>
                <w:p w14:paraId="18266779">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2CF2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0" w:type="pct"/>
                  <w:vMerge w:val="continue"/>
                  <w:noWrap w:val="0"/>
                  <w:vAlign w:val="center"/>
                </w:tcPr>
                <w:p w14:paraId="1D9DEF11">
                  <w:pPr>
                    <w:widowControl/>
                    <w:jc w:val="left"/>
                    <w:rPr>
                      <w:rFonts w:hint="default" w:ascii="Times New Roman" w:hAnsi="Times New Roman" w:cs="Times New Roman"/>
                      <w:color w:val="auto"/>
                      <w:kern w:val="0"/>
                      <w:szCs w:val="21"/>
                      <w:highlight w:val="none"/>
                      <w:lang w:bidi="ar"/>
                    </w:rPr>
                  </w:pPr>
                </w:p>
              </w:tc>
              <w:tc>
                <w:tcPr>
                  <w:tcW w:w="2286" w:type="pct"/>
                  <w:noWrap w:val="0"/>
                  <w:vAlign w:val="center"/>
                </w:tcPr>
                <w:p w14:paraId="4B3289E0">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严守环境质量底线，落实污染物总量管控要求。根据国家、陕西省、西咸新区有关大气、水、土壤污染防治行动计划相关要求，采取有效措施减少主要污染物排放总量，实现区域环境质量改善目标。</w:t>
                  </w:r>
                </w:p>
              </w:tc>
              <w:tc>
                <w:tcPr>
                  <w:tcW w:w="1597" w:type="pct"/>
                  <w:noWrap w:val="0"/>
                  <w:vAlign w:val="center"/>
                </w:tcPr>
                <w:p w14:paraId="0928B772">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项目不产生生产废水；上料和打包工序粉尘经2个集气罩收集</w:t>
                  </w:r>
                  <w:r>
                    <w:rPr>
                      <w:rFonts w:hint="eastAsia"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破碎粉尘经管道收集后，最终汇入一根主管道，经布袋除尘器处理后通过</w:t>
                  </w:r>
                  <w:r>
                    <w:rPr>
                      <w:rFonts w:hint="default" w:ascii="Times New Roman" w:hAnsi="Times New Roman" w:eastAsia="宋体" w:cs="Times New Roman"/>
                      <w:b w:val="0"/>
                      <w:bCs w:val="0"/>
                      <w:color w:val="auto"/>
                      <w:sz w:val="21"/>
                      <w:szCs w:val="21"/>
                      <w:highlight w:val="none"/>
                      <w:lang w:val="en-US" w:eastAsia="zh-CN"/>
                    </w:rPr>
                    <w:t>1</w:t>
                  </w:r>
                  <w:r>
                    <w:rPr>
                      <w:rFonts w:hint="eastAsia" w:ascii="Times New Roman" w:hAnsi="Times New Roman" w:eastAsia="宋体" w:cs="Times New Roman"/>
                      <w:b w:val="0"/>
                      <w:bCs w:val="0"/>
                      <w:color w:val="auto"/>
                      <w:sz w:val="21"/>
                      <w:szCs w:val="21"/>
                      <w:highlight w:val="none"/>
                      <w:lang w:val="en-US" w:eastAsia="zh-CN"/>
                    </w:rPr>
                    <w:t>根</w:t>
                  </w:r>
                  <w:r>
                    <w:rPr>
                      <w:rFonts w:hint="eastAsia" w:cs="Times New Roman"/>
                      <w:b w:val="0"/>
                      <w:bCs w:val="0"/>
                      <w:color w:val="auto"/>
                      <w:sz w:val="21"/>
                      <w:szCs w:val="21"/>
                      <w:highlight w:val="none"/>
                      <w:lang w:val="en-US" w:eastAsia="zh-CN"/>
                    </w:rPr>
                    <w:t>18</w:t>
                  </w:r>
                  <w:r>
                    <w:rPr>
                      <w:rFonts w:hint="default" w:ascii="Times New Roman" w:hAnsi="Times New Roman" w:eastAsia="宋体" w:cs="Times New Roman"/>
                      <w:b w:val="0"/>
                      <w:bCs w:val="0"/>
                      <w:color w:val="auto"/>
                      <w:sz w:val="21"/>
                      <w:szCs w:val="21"/>
                      <w:highlight w:val="none"/>
                      <w:lang w:val="en-US" w:eastAsia="zh-CN"/>
                    </w:rPr>
                    <w:t>m</w:t>
                  </w:r>
                  <w:r>
                    <w:rPr>
                      <w:rFonts w:hint="eastAsia" w:ascii="Times New Roman" w:hAnsi="Times New Roman" w:eastAsia="宋体" w:cs="Times New Roman"/>
                      <w:b w:val="0"/>
                      <w:bCs w:val="0"/>
                      <w:color w:val="auto"/>
                      <w:sz w:val="21"/>
                      <w:szCs w:val="21"/>
                      <w:highlight w:val="none"/>
                      <w:lang w:val="en-US" w:eastAsia="zh-CN"/>
                    </w:rPr>
                    <w:t>高排气筒排放。产生的颗粒物经处理后排放量较小。</w:t>
                  </w:r>
                </w:p>
              </w:tc>
              <w:tc>
                <w:tcPr>
                  <w:tcW w:w="355" w:type="pct"/>
                  <w:noWrap w:val="0"/>
                  <w:vAlign w:val="center"/>
                </w:tcPr>
                <w:p w14:paraId="2336E690">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bookmarkEnd w:id="4"/>
          </w:tbl>
          <w:p w14:paraId="32888C72">
            <w:pPr>
              <w:pStyle w:val="12"/>
              <w:rPr>
                <w:rFonts w:hint="default" w:ascii="Times New Roman" w:hAnsi="Times New Roman" w:cs="Times New Roman"/>
                <w:color w:val="auto"/>
                <w:highlight w:val="none"/>
                <w:lang w:val="en-US" w:eastAsia="zh-CN"/>
              </w:rPr>
            </w:pPr>
          </w:p>
        </w:tc>
      </w:tr>
      <w:tr w14:paraId="6E192B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1021" w:hRule="atLeast"/>
          <w:jc w:val="center"/>
        </w:trPr>
        <w:tc>
          <w:tcPr>
            <w:tcW w:w="706" w:type="dxa"/>
            <w:noWrap w:val="0"/>
            <w:vAlign w:val="center"/>
          </w:tcPr>
          <w:p w14:paraId="361E3240">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其他</w:t>
            </w:r>
          </w:p>
          <w:p w14:paraId="4BBF5D71">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符合性分析</w:t>
            </w:r>
          </w:p>
        </w:tc>
        <w:tc>
          <w:tcPr>
            <w:tcW w:w="8164" w:type="dxa"/>
            <w:gridSpan w:val="5"/>
            <w:noWrap w:val="0"/>
            <w:vAlign w:val="center"/>
          </w:tcPr>
          <w:p w14:paraId="7A57287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1、</w:t>
            </w:r>
            <w:r>
              <w:rPr>
                <w:rFonts w:hint="default" w:ascii="Times New Roman" w:hAnsi="Times New Roman" w:cs="Times New Roman"/>
                <w:b/>
                <w:bCs/>
                <w:color w:val="auto"/>
                <w:sz w:val="24"/>
                <w:szCs w:val="24"/>
                <w:highlight w:val="none"/>
                <w:lang w:val="en-US" w:eastAsia="zh-CN"/>
              </w:rPr>
              <w:t>产业政策符合性分析</w:t>
            </w:r>
          </w:p>
          <w:p w14:paraId="33C60C5E">
            <w:pPr>
              <w:numPr>
                <w:ilvl w:val="0"/>
                <w:numId w:val="0"/>
              </w:num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根据《产业结构调整指导目录（2024年本）》，本项目属于其中规定</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鼓励类</w:t>
            </w:r>
            <w:r>
              <w:rPr>
                <w:rFonts w:hint="eastAsia" w:ascii="Times New Roman" w:hAnsi="Times New Roman" w:eastAsia="宋体"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四十二、环境保护与资源节约综合利用</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8</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废弃物循环利用</w:t>
            </w:r>
            <w:r>
              <w:rPr>
                <w:rFonts w:hint="eastAsia" w:ascii="Times New Roman" w:hAnsi="Times New Roman" w:eastAsia="宋体" w:cs="Times New Roman"/>
                <w:b w:val="0"/>
                <w:bCs w:val="0"/>
                <w:color w:val="auto"/>
                <w:sz w:val="24"/>
                <w:szCs w:val="24"/>
                <w:highlight w:val="none"/>
                <w:lang w:val="en-US" w:eastAsia="zh-CN"/>
              </w:rPr>
              <w:t>”，符合国家相关产业政策的要求；</w:t>
            </w:r>
            <w:r>
              <w:rPr>
                <w:rFonts w:hint="default" w:ascii="Times New Roman" w:hAnsi="Times New Roman" w:eastAsia="宋体" w:cs="Times New Roman"/>
                <w:b w:val="0"/>
                <w:bCs w:val="0"/>
                <w:color w:val="auto"/>
                <w:sz w:val="24"/>
                <w:szCs w:val="24"/>
                <w:highlight w:val="none"/>
                <w:lang w:val="en-US" w:eastAsia="zh-CN"/>
              </w:rPr>
              <w:t>经查阅，本项目不属于《市场准入负面清单（2025年版）》中禁止或许可准入类。</w:t>
            </w:r>
          </w:p>
          <w:p w14:paraId="05A00965">
            <w:pPr>
              <w:numPr>
                <w:ilvl w:val="0"/>
                <w:numId w:val="0"/>
              </w:num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本项目已取得陕西省西咸新区泾河新城管理委员会备案确认书（项目代码：</w:t>
            </w:r>
            <w:r>
              <w:rPr>
                <w:rFonts w:hint="eastAsia" w:ascii="Times New Roman" w:hAnsi="Times New Roman" w:eastAsia="宋体" w:cs="Times New Roman"/>
                <w:b w:val="0"/>
                <w:bCs w:val="0"/>
                <w:color w:val="auto"/>
                <w:sz w:val="24"/>
                <w:szCs w:val="24"/>
                <w:highlight w:val="none"/>
                <w:lang w:val="en-US" w:eastAsia="zh-CN"/>
              </w:rPr>
              <w:t>2507-611206-04-05-601479</w:t>
            </w:r>
            <w:r>
              <w:rPr>
                <w:rFonts w:hint="default" w:ascii="Times New Roman" w:hAnsi="Times New Roman" w:eastAsia="宋体" w:cs="Times New Roman"/>
                <w:b w:val="0"/>
                <w:bCs w:val="0"/>
                <w:color w:val="auto"/>
                <w:sz w:val="24"/>
                <w:szCs w:val="24"/>
                <w:highlight w:val="none"/>
                <w:lang w:val="en-US" w:eastAsia="zh-CN"/>
              </w:rPr>
              <w:t>），见附件2。</w:t>
            </w:r>
          </w:p>
          <w:p w14:paraId="4AC3362B">
            <w:pPr>
              <w:numPr>
                <w:ilvl w:val="0"/>
                <w:numId w:val="0"/>
              </w:num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因此，本项目符合相关产业政策。</w:t>
            </w:r>
          </w:p>
          <w:p w14:paraId="3086685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2、</w:t>
            </w:r>
            <w:r>
              <w:rPr>
                <w:rFonts w:hint="default" w:ascii="Times New Roman" w:hAnsi="Times New Roman" w:cs="Times New Roman"/>
                <w:b/>
                <w:bCs/>
                <w:color w:val="auto"/>
                <w:sz w:val="24"/>
                <w:szCs w:val="24"/>
                <w:highlight w:val="none"/>
                <w:lang w:val="en-US" w:eastAsia="zh-CN"/>
              </w:rPr>
              <w:t>“三线一单”符合性分析</w:t>
            </w:r>
          </w:p>
          <w:p w14:paraId="7E5385D3">
            <w:pPr>
              <w:pStyle w:val="41"/>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本项目</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三线一单</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符合性分析表见表1-2。</w:t>
            </w:r>
          </w:p>
          <w:p w14:paraId="53740D1E">
            <w:pPr>
              <w:pStyle w:val="3"/>
              <w:spacing w:line="240" w:lineRule="auto"/>
              <w:jc w:val="center"/>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表1-2</w:t>
            </w:r>
            <w:r>
              <w:rPr>
                <w:rFonts w:hint="eastAsia" w:cs="Times New Roman"/>
                <w:b/>
                <w:bCs/>
                <w:color w:val="auto"/>
                <w:kern w:val="0"/>
                <w:sz w:val="21"/>
                <w:szCs w:val="21"/>
                <w:highlight w:val="none"/>
                <w:lang w:val="en-US" w:eastAsia="zh-CN" w:bidi="ar"/>
              </w:rPr>
              <w:t xml:space="preserve"> </w:t>
            </w:r>
            <w:r>
              <w:rPr>
                <w:rFonts w:hint="default" w:ascii="Times New Roman" w:hAnsi="Times New Roman" w:eastAsia="宋体" w:cs="Times New Roman"/>
                <w:b/>
                <w:bCs/>
                <w:color w:val="auto"/>
                <w:kern w:val="0"/>
                <w:sz w:val="21"/>
                <w:szCs w:val="21"/>
                <w:highlight w:val="none"/>
                <w:lang w:val="en-US" w:eastAsia="zh-CN" w:bidi="ar"/>
              </w:rPr>
              <w:t>本项目与</w:t>
            </w:r>
            <w:r>
              <w:rPr>
                <w:rFonts w:hint="default" w:ascii="Times New Roman" w:hAnsi="Times New Roman" w:eastAsia="宋体" w:cs="Times New Roman"/>
                <w:b/>
                <w:bCs/>
                <w:color w:val="auto"/>
                <w:kern w:val="0"/>
                <w:sz w:val="21"/>
                <w:szCs w:val="21"/>
                <w:highlight w:val="none"/>
                <w:lang w:val="en-GB" w:eastAsia="zh-CN" w:bidi="ar"/>
              </w:rPr>
              <w:t>“三线一单”</w:t>
            </w:r>
            <w:r>
              <w:rPr>
                <w:rFonts w:hint="default" w:ascii="Times New Roman" w:hAnsi="Times New Roman" w:eastAsia="宋体" w:cs="Times New Roman"/>
                <w:b/>
                <w:bCs/>
                <w:color w:val="auto"/>
                <w:kern w:val="0"/>
                <w:sz w:val="21"/>
                <w:szCs w:val="21"/>
                <w:highlight w:val="none"/>
                <w:lang w:val="en-US" w:eastAsia="zh-CN" w:bidi="ar"/>
              </w:rPr>
              <w:t>的符合性</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6221"/>
              <w:gridCol w:w="737"/>
            </w:tblGrid>
            <w:tr w14:paraId="1221D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1EB08DA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“三线</w:t>
                  </w:r>
                </w:p>
                <w:p w14:paraId="20D0FEF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一单”</w:t>
                  </w:r>
                </w:p>
              </w:tc>
              <w:tc>
                <w:tcPr>
                  <w:tcW w:w="3919" w:type="pct"/>
                  <w:noWrap w:val="0"/>
                  <w:vAlign w:val="center"/>
                </w:tcPr>
                <w:p w14:paraId="43A640C7">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符合性分析</w:t>
                  </w:r>
                </w:p>
              </w:tc>
              <w:tc>
                <w:tcPr>
                  <w:tcW w:w="464" w:type="pct"/>
                  <w:noWrap w:val="0"/>
                  <w:vAlign w:val="center"/>
                </w:tcPr>
                <w:p w14:paraId="5CCD95B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符合性</w:t>
                  </w:r>
                </w:p>
              </w:tc>
            </w:tr>
            <w:tr w14:paraId="144B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322867F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生态保护红线</w:t>
                  </w:r>
                </w:p>
              </w:tc>
              <w:tc>
                <w:tcPr>
                  <w:tcW w:w="3919" w:type="pct"/>
                  <w:noWrap w:val="0"/>
                  <w:vAlign w:val="center"/>
                </w:tcPr>
                <w:p w14:paraId="1970E0D6">
                  <w:pPr>
                    <w:keepNext w:val="0"/>
                    <w:keepLines w:val="0"/>
                    <w:pageBreakBefore w:val="0"/>
                    <w:widowControl w:val="0"/>
                    <w:kinsoku/>
                    <w:wordWrap/>
                    <w:overflowPunct/>
                    <w:topLinePunct w:val="0"/>
                    <w:autoSpaceDE/>
                    <w:autoSpaceDN/>
                    <w:bidi w:val="0"/>
                    <w:spacing w:line="264" w:lineRule="auto"/>
                    <w:jc w:val="left"/>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kern w:val="0"/>
                      <w:sz w:val="21"/>
                      <w:szCs w:val="21"/>
                      <w:highlight w:val="none"/>
                      <w:lang w:val="en-US" w:eastAsia="zh-CN"/>
                    </w:rPr>
                    <w:t>项目位于</w:t>
                  </w:r>
                  <w:r>
                    <w:rPr>
                      <w:rFonts w:hint="default" w:ascii="Times New Roman" w:hAnsi="Times New Roman" w:eastAsia="宋体" w:cs="Times New Roman"/>
                      <w:color w:val="auto"/>
                      <w:kern w:val="0"/>
                      <w:sz w:val="21"/>
                      <w:szCs w:val="21"/>
                      <w:highlight w:val="none"/>
                      <w:lang w:val="en-US" w:eastAsia="zh-CN"/>
                    </w:rPr>
                    <w:t>陕西省西咸新区泾河新城</w:t>
                  </w:r>
                  <w:r>
                    <w:rPr>
                      <w:rFonts w:hint="default" w:ascii="Times New Roman" w:hAnsi="Times New Roman" w:eastAsia="宋体" w:cs="Times New Roman"/>
                      <w:color w:val="auto"/>
                      <w:kern w:val="0"/>
                      <w:sz w:val="21"/>
                      <w:szCs w:val="21"/>
                      <w:highlight w:val="none"/>
                    </w:rPr>
                    <w:t>永乐工业园</w:t>
                  </w:r>
                  <w:r>
                    <w:rPr>
                      <w:rFonts w:hint="eastAsia"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rPr>
                    <w:t>项目地附近无自然保护区、风景名胜区、湿地、饮用水源地等各类保护区，项目</w:t>
                  </w:r>
                  <w:r>
                    <w:rPr>
                      <w:rFonts w:hint="eastAsia" w:ascii="Times New Roman" w:hAnsi="Times New Roman" w:eastAsia="宋体" w:cs="Times New Roman"/>
                      <w:color w:val="auto"/>
                      <w:kern w:val="0"/>
                      <w:sz w:val="21"/>
                      <w:szCs w:val="21"/>
                      <w:highlight w:val="none"/>
                      <w:lang w:val="en-US" w:eastAsia="zh-CN"/>
                    </w:rPr>
                    <w:t>地</w:t>
                  </w:r>
                  <w:r>
                    <w:rPr>
                      <w:rFonts w:hint="default" w:ascii="Times New Roman" w:hAnsi="Times New Roman" w:eastAsia="宋体" w:cs="Times New Roman"/>
                      <w:color w:val="auto"/>
                      <w:kern w:val="0"/>
                      <w:sz w:val="21"/>
                      <w:szCs w:val="21"/>
                      <w:highlight w:val="none"/>
                    </w:rPr>
                    <w:t>不在生态保护红线范围内。</w:t>
                  </w:r>
                </w:p>
              </w:tc>
              <w:tc>
                <w:tcPr>
                  <w:tcW w:w="464" w:type="pct"/>
                  <w:noWrap w:val="0"/>
                  <w:vAlign w:val="center"/>
                </w:tcPr>
                <w:p w14:paraId="2E9021A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15DE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B98CCEA">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环境质量底线</w:t>
                  </w:r>
                </w:p>
              </w:tc>
              <w:tc>
                <w:tcPr>
                  <w:tcW w:w="3919" w:type="pct"/>
                  <w:noWrap w:val="0"/>
                  <w:vAlign w:val="center"/>
                </w:tcPr>
                <w:p w14:paraId="165D807A">
                  <w:pPr>
                    <w:keepNext w:val="0"/>
                    <w:keepLines w:val="0"/>
                    <w:pageBreakBefore w:val="0"/>
                    <w:widowControl w:val="0"/>
                    <w:kinsoku/>
                    <w:wordWrap/>
                    <w:overflowPunct/>
                    <w:topLinePunct w:val="0"/>
                    <w:autoSpaceDE/>
                    <w:autoSpaceDN/>
                    <w:bidi w:val="0"/>
                    <w:spacing w:line="264" w:lineRule="auto"/>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kern w:val="0"/>
                      <w:sz w:val="21"/>
                      <w:szCs w:val="21"/>
                      <w:highlight w:val="none"/>
                    </w:rPr>
                    <w:t>根据《202</w:t>
                  </w:r>
                  <w:r>
                    <w:rPr>
                      <w:rFonts w:hint="default" w:ascii="Times New Roman" w:hAnsi="Times New Roman" w:cs="Times New Roman"/>
                      <w:color w:val="auto"/>
                      <w:kern w:val="0"/>
                      <w:sz w:val="21"/>
                      <w:szCs w:val="21"/>
                      <w:highlight w:val="none"/>
                      <w:lang w:val="en-US" w:eastAsia="zh-CN"/>
                    </w:rPr>
                    <w:t>4</w:t>
                  </w:r>
                  <w:r>
                    <w:rPr>
                      <w:rFonts w:hint="default" w:ascii="Times New Roman" w:hAnsi="Times New Roman" w:cs="Times New Roman"/>
                      <w:color w:val="auto"/>
                      <w:kern w:val="0"/>
                      <w:sz w:val="21"/>
                      <w:szCs w:val="21"/>
                      <w:highlight w:val="none"/>
                    </w:rPr>
                    <w:t>年12月及1~12月全省环境空气质量状况环保快报》，本项目所在区域SO</w:t>
                  </w:r>
                  <w:r>
                    <w:rPr>
                      <w:rFonts w:hint="default" w:ascii="Times New Roman" w:hAnsi="Times New Roman" w:cs="Times New Roman"/>
                      <w:color w:val="auto"/>
                      <w:kern w:val="0"/>
                      <w:sz w:val="21"/>
                      <w:szCs w:val="21"/>
                      <w:highlight w:val="none"/>
                      <w:vertAlign w:val="subscript"/>
                    </w:rPr>
                    <w:t>2</w:t>
                  </w:r>
                  <w:r>
                    <w:rPr>
                      <w:rFonts w:hint="default" w:ascii="Times New Roman" w:hAnsi="Times New Roman" w:cs="Times New Roman"/>
                      <w:color w:val="auto"/>
                      <w:kern w:val="0"/>
                      <w:sz w:val="21"/>
                      <w:szCs w:val="21"/>
                      <w:highlight w:val="none"/>
                    </w:rPr>
                    <w:t>年平均质量浓度、CO</w:t>
                  </w:r>
                  <w:r>
                    <w:rPr>
                      <w:rFonts w:hint="eastAsia" w:ascii="Times New Roman" w:hAnsi="Times New Roman" w:cs="Times New Roman"/>
                      <w:b w:val="0"/>
                      <w:bCs w:val="0"/>
                      <w:color w:val="auto"/>
                      <w:sz w:val="21"/>
                      <w:szCs w:val="21"/>
                      <w:highlight w:val="none"/>
                      <w:vertAlign w:val="baseline"/>
                      <w:lang w:val="en-US" w:eastAsia="zh-CN"/>
                    </w:rPr>
                    <w:t>第95</w:t>
                  </w:r>
                  <w:r>
                    <w:rPr>
                      <w:rFonts w:hint="default" w:ascii="Times New Roman" w:hAnsi="Times New Roman" w:cs="Times New Roman"/>
                      <w:b w:val="0"/>
                      <w:bCs w:val="0"/>
                      <w:color w:val="auto"/>
                      <w:sz w:val="21"/>
                      <w:szCs w:val="21"/>
                      <w:highlight w:val="none"/>
                      <w:vertAlign w:val="baseline"/>
                      <w:lang w:val="en-US" w:eastAsia="zh-CN"/>
                    </w:rPr>
                    <w:t>位百分浓度</w:t>
                  </w:r>
                  <w:r>
                    <w:rPr>
                      <w:rFonts w:hint="default" w:ascii="Times New Roman" w:hAnsi="Times New Roman" w:cs="Times New Roman"/>
                      <w:color w:val="auto"/>
                      <w:kern w:val="0"/>
                      <w:sz w:val="21"/>
                      <w:szCs w:val="21"/>
                      <w:highlight w:val="none"/>
                    </w:rPr>
                    <w:t>24小时平均浓度、NO</w:t>
                  </w:r>
                  <w:r>
                    <w:rPr>
                      <w:rFonts w:hint="default" w:ascii="Times New Roman" w:hAnsi="Times New Roman" w:cs="Times New Roman"/>
                      <w:color w:val="auto"/>
                      <w:kern w:val="0"/>
                      <w:sz w:val="21"/>
                      <w:szCs w:val="21"/>
                      <w:highlight w:val="none"/>
                      <w:vertAlign w:val="subscript"/>
                    </w:rPr>
                    <w:t>2</w:t>
                  </w:r>
                  <w:r>
                    <w:rPr>
                      <w:rFonts w:hint="default" w:ascii="Times New Roman" w:hAnsi="Times New Roman" w:cs="Times New Roman"/>
                      <w:color w:val="auto"/>
                      <w:kern w:val="0"/>
                      <w:sz w:val="21"/>
                      <w:szCs w:val="21"/>
                      <w:highlight w:val="none"/>
                    </w:rPr>
                    <w:t>年平均质量浓度达到《环境空气质量标准》（GB3095-2012）二级标准要求，PM</w:t>
                  </w:r>
                  <w:r>
                    <w:rPr>
                      <w:rFonts w:hint="default" w:ascii="Times New Roman" w:hAnsi="Times New Roman" w:cs="Times New Roman"/>
                      <w:color w:val="auto"/>
                      <w:kern w:val="0"/>
                      <w:sz w:val="21"/>
                      <w:szCs w:val="21"/>
                      <w:highlight w:val="none"/>
                      <w:vertAlign w:val="subscript"/>
                    </w:rPr>
                    <w:t>2.5</w:t>
                  </w:r>
                  <w:r>
                    <w:rPr>
                      <w:rFonts w:hint="default" w:ascii="Times New Roman" w:hAnsi="Times New Roman" w:cs="Times New Roman"/>
                      <w:color w:val="auto"/>
                      <w:kern w:val="0"/>
                      <w:sz w:val="21"/>
                      <w:szCs w:val="21"/>
                      <w:highlight w:val="none"/>
                    </w:rPr>
                    <w:t>年平均质量浓度、PM</w:t>
                  </w:r>
                  <w:r>
                    <w:rPr>
                      <w:rFonts w:hint="default" w:ascii="Times New Roman" w:hAnsi="Times New Roman" w:cs="Times New Roman"/>
                      <w:color w:val="auto"/>
                      <w:kern w:val="0"/>
                      <w:sz w:val="21"/>
                      <w:szCs w:val="21"/>
                      <w:highlight w:val="none"/>
                      <w:vertAlign w:val="subscript"/>
                    </w:rPr>
                    <w:t>10</w:t>
                  </w:r>
                  <w:r>
                    <w:rPr>
                      <w:rFonts w:hint="default" w:ascii="Times New Roman" w:hAnsi="Times New Roman" w:cs="Times New Roman"/>
                      <w:color w:val="auto"/>
                      <w:kern w:val="0"/>
                      <w:sz w:val="21"/>
                      <w:szCs w:val="21"/>
                      <w:highlight w:val="none"/>
                    </w:rPr>
                    <w:t>年平均质量浓度、O</w:t>
                  </w:r>
                  <w:r>
                    <w:rPr>
                      <w:rFonts w:hint="default" w:ascii="Times New Roman" w:hAnsi="Times New Roman" w:cs="Times New Roman"/>
                      <w:color w:val="auto"/>
                      <w:kern w:val="0"/>
                      <w:sz w:val="21"/>
                      <w:szCs w:val="21"/>
                      <w:highlight w:val="none"/>
                      <w:vertAlign w:val="subscript"/>
                    </w:rPr>
                    <w:t>3</w:t>
                  </w:r>
                  <w:r>
                    <w:rPr>
                      <w:rFonts w:hint="eastAsia" w:ascii="Times New Roman" w:hAnsi="Times New Roman" w:cs="Times New Roman"/>
                      <w:b w:val="0"/>
                      <w:bCs w:val="0"/>
                      <w:color w:val="auto"/>
                      <w:sz w:val="21"/>
                      <w:szCs w:val="21"/>
                      <w:highlight w:val="none"/>
                      <w:vertAlign w:val="baseline"/>
                      <w:lang w:val="en-US" w:eastAsia="zh-CN"/>
                    </w:rPr>
                    <w:t>第90</w:t>
                  </w:r>
                  <w:r>
                    <w:rPr>
                      <w:rFonts w:hint="default" w:ascii="Times New Roman" w:hAnsi="Times New Roman" w:cs="Times New Roman"/>
                      <w:b w:val="0"/>
                      <w:bCs w:val="0"/>
                      <w:color w:val="auto"/>
                      <w:sz w:val="21"/>
                      <w:szCs w:val="21"/>
                      <w:highlight w:val="none"/>
                      <w:vertAlign w:val="baseline"/>
                      <w:lang w:val="en-US" w:eastAsia="zh-CN"/>
                    </w:rPr>
                    <w:t>位百分浓度</w:t>
                  </w:r>
                  <w:r>
                    <w:rPr>
                      <w:rFonts w:hint="default" w:ascii="Times New Roman" w:hAnsi="Times New Roman" w:cs="Times New Roman"/>
                      <w:color w:val="auto"/>
                      <w:kern w:val="0"/>
                      <w:sz w:val="21"/>
                      <w:szCs w:val="21"/>
                      <w:highlight w:val="none"/>
                    </w:rPr>
                    <w:t>8小时平均浓度超过《环境空气质量标准》（GB3095-2012）二级标准要求</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kern w:val="0"/>
                      <w:sz w:val="21"/>
                      <w:szCs w:val="21"/>
                      <w:highlight w:val="none"/>
                    </w:rPr>
                    <w:t>因此，本项目所在评价区域为</w:t>
                  </w:r>
                  <w:r>
                    <w:rPr>
                      <w:rFonts w:hint="default" w:ascii="Times New Roman" w:hAnsi="Times New Roman" w:eastAsia="宋体" w:cs="Times New Roman"/>
                      <w:color w:val="auto"/>
                      <w:kern w:val="0"/>
                      <w:sz w:val="21"/>
                      <w:szCs w:val="21"/>
                      <w:highlight w:val="none"/>
                      <w:lang w:eastAsia="zh-CN"/>
                    </w:rPr>
                    <w:t>不</w:t>
                  </w:r>
                  <w:r>
                    <w:rPr>
                      <w:rFonts w:hint="default" w:ascii="Times New Roman" w:hAnsi="Times New Roman" w:eastAsia="宋体" w:cs="Times New Roman"/>
                      <w:color w:val="auto"/>
                      <w:kern w:val="0"/>
                      <w:sz w:val="21"/>
                      <w:szCs w:val="21"/>
                      <w:highlight w:val="none"/>
                    </w:rPr>
                    <w:t>达标区。</w:t>
                  </w:r>
                  <w:r>
                    <w:rPr>
                      <w:rFonts w:hint="default" w:ascii="Times New Roman" w:hAnsi="Times New Roman" w:cs="Times New Roman"/>
                      <w:color w:val="auto"/>
                      <w:kern w:val="0"/>
                      <w:sz w:val="21"/>
                      <w:szCs w:val="21"/>
                      <w:highlight w:val="none"/>
                    </w:rPr>
                    <w:t>本项目运营期在采取各项环境保护措施后，不会突破区域环境质量底线。</w:t>
                  </w:r>
                </w:p>
              </w:tc>
              <w:tc>
                <w:tcPr>
                  <w:tcW w:w="464" w:type="pct"/>
                  <w:noWrap w:val="0"/>
                  <w:vAlign w:val="center"/>
                </w:tcPr>
                <w:p w14:paraId="22B89C6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1031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477CFFC">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资源利用上线</w:t>
                  </w:r>
                </w:p>
              </w:tc>
              <w:tc>
                <w:tcPr>
                  <w:tcW w:w="3919" w:type="pct"/>
                  <w:noWrap w:val="0"/>
                  <w:vAlign w:val="center"/>
                </w:tcPr>
                <w:p w14:paraId="3DE53E48">
                  <w:pPr>
                    <w:keepNext w:val="0"/>
                    <w:keepLines w:val="0"/>
                    <w:pageBreakBefore w:val="0"/>
                    <w:widowControl w:val="0"/>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本项目主要能耗为水、电，项目所在区域电能和水资源供应充足。项目资源利用量相对区域资源利用总量占比较小，通过内部管理、设备选择、原材料的选用及管理、污染治理等多方面采取合理可行的措施，以</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节能、降耗、减污</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为目标，有效控制污染，不触及资源利用上线。</w:t>
                  </w:r>
                </w:p>
              </w:tc>
              <w:tc>
                <w:tcPr>
                  <w:tcW w:w="464" w:type="pct"/>
                  <w:noWrap w:val="0"/>
                  <w:vAlign w:val="center"/>
                </w:tcPr>
                <w:p w14:paraId="44FE2C5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26FCF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78086F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环境准入负面清单</w:t>
                  </w:r>
                </w:p>
              </w:tc>
              <w:tc>
                <w:tcPr>
                  <w:tcW w:w="3919" w:type="pct"/>
                  <w:noWrap w:val="0"/>
                  <w:vAlign w:val="center"/>
                </w:tcPr>
                <w:p w14:paraId="53BF63E6">
                  <w:pPr>
                    <w:keepNext w:val="0"/>
                    <w:keepLines w:val="0"/>
                    <w:pageBreakBefore w:val="0"/>
                    <w:widowControl w:val="0"/>
                    <w:kinsoku/>
                    <w:wordWrap/>
                    <w:overflowPunct/>
                    <w:topLinePunct w:val="0"/>
                    <w:autoSpaceDE/>
                    <w:autoSpaceDN/>
                    <w:bidi w:val="0"/>
                    <w:spacing w:line="264" w:lineRule="auto"/>
                    <w:jc w:val="left"/>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项目不属于</w:t>
                  </w:r>
                  <w:r>
                    <w:rPr>
                      <w:rFonts w:hint="default" w:ascii="Times New Roman" w:hAnsi="Times New Roman" w:cs="Times New Roman"/>
                      <w:color w:val="auto"/>
                      <w:sz w:val="21"/>
                      <w:szCs w:val="21"/>
                      <w:highlight w:val="none"/>
                      <w:lang w:val="en-US" w:eastAsia="zh-CN"/>
                    </w:rPr>
                    <w:t>《产业结构调整指导目录（2024年本）》中规定的鼓励类，限制类和淘汰类项目；经查阅，本项目不属于《市场准入负面清单（2025年版）》中禁止或许可准入类</w:t>
                  </w:r>
                  <w:r>
                    <w:rPr>
                      <w:rFonts w:hint="default" w:ascii="Times New Roman" w:hAnsi="Times New Roman" w:eastAsia="宋体" w:cs="Times New Roman"/>
                      <w:color w:val="auto"/>
                      <w:sz w:val="21"/>
                      <w:szCs w:val="21"/>
                      <w:highlight w:val="none"/>
                    </w:rPr>
                    <w:t>。项目</w:t>
                  </w:r>
                  <w:r>
                    <w:rPr>
                      <w:rFonts w:hint="default" w:ascii="Times New Roman" w:hAnsi="Times New Roman" w:cs="Times New Roman"/>
                      <w:color w:val="auto"/>
                      <w:sz w:val="21"/>
                      <w:szCs w:val="21"/>
                      <w:highlight w:val="none"/>
                    </w:rPr>
                    <w:t>所在地不在《陕西省国家重点生态功能区产业准入负面清单</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试行</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w:t>
                  </w:r>
                </w:p>
              </w:tc>
              <w:tc>
                <w:tcPr>
                  <w:tcW w:w="464" w:type="pct"/>
                  <w:noWrap w:val="0"/>
                  <w:vAlign w:val="center"/>
                </w:tcPr>
                <w:p w14:paraId="6DBC420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bl>
          <w:p w14:paraId="309CE2E8">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highlight w:val="none"/>
                <w:lang w:val="en-US" w:eastAsia="zh-CN"/>
              </w:rPr>
            </w:pPr>
            <w:r>
              <w:rPr>
                <w:rFonts w:hint="eastAsia"/>
                <w:color w:val="auto"/>
                <w:sz w:val="24"/>
                <w:highlight w:val="none"/>
                <w:lang w:val="en-US" w:eastAsia="zh-CN"/>
              </w:rPr>
              <w:t>根据</w:t>
            </w:r>
            <w:r>
              <w:rPr>
                <w:rFonts w:hint="eastAsia"/>
                <w:color w:val="auto"/>
                <w:sz w:val="24"/>
                <w:highlight w:val="none"/>
              </w:rPr>
              <w:t>《2023年陕西省生态环境分区管控成果动态更新实施方案》及《陕西省“</w:t>
            </w:r>
            <w:r>
              <w:rPr>
                <w:color w:val="auto"/>
                <w:sz w:val="24"/>
                <w:highlight w:val="none"/>
              </w:rPr>
              <w:t>三线一单</w:t>
            </w:r>
            <w:r>
              <w:rPr>
                <w:rFonts w:hint="eastAsia"/>
                <w:color w:val="auto"/>
                <w:sz w:val="24"/>
                <w:highlight w:val="none"/>
              </w:rPr>
              <w:t>”</w:t>
            </w:r>
            <w:r>
              <w:rPr>
                <w:color w:val="auto"/>
                <w:sz w:val="24"/>
                <w:highlight w:val="none"/>
              </w:rPr>
              <w:t>生态环境分区管控</w:t>
            </w:r>
            <w:r>
              <w:rPr>
                <w:rFonts w:hint="eastAsia"/>
                <w:color w:val="auto"/>
                <w:sz w:val="24"/>
                <w:highlight w:val="none"/>
              </w:rPr>
              <w:t>应用技术指南：环境影响评价（试行）》</w:t>
            </w:r>
            <w:r>
              <w:rPr>
                <w:rFonts w:hint="default" w:ascii="Times New Roman" w:hAnsi="Times New Roman" w:eastAsia="宋体" w:cs="Times New Roman"/>
                <w:color w:val="auto"/>
                <w:kern w:val="0"/>
                <w:sz w:val="24"/>
                <w:highlight w:val="none"/>
                <w:lang w:val="en-US" w:eastAsia="zh-CN"/>
              </w:rPr>
              <w:t>，环评文件涉及</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三线一单</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生态环境分区管控符合性分析采取</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一图一表一说明</w:t>
            </w:r>
            <w:r>
              <w:rPr>
                <w:rFonts w:hint="eastAsia"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的表达方式，对照分析结果，论证建设项目的符合性。</w:t>
            </w:r>
          </w:p>
          <w:p w14:paraId="45AE71E3">
            <w:pPr>
              <w:numPr>
                <w:ilvl w:val="0"/>
                <w:numId w:val="0"/>
              </w:numPr>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（1）一图</w:t>
            </w:r>
          </w:p>
          <w:p w14:paraId="48713D84">
            <w:pPr>
              <w:numPr>
                <w:ilvl w:val="0"/>
                <w:numId w:val="0"/>
              </w:numPr>
              <w:spacing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b w:val="0"/>
                <w:bCs w:val="0"/>
                <w:color w:val="auto"/>
                <w:sz w:val="24"/>
                <w:szCs w:val="24"/>
                <w:highlight w:val="none"/>
                <w:lang w:val="en-US" w:eastAsia="zh-CN"/>
              </w:rPr>
              <w:t>根据西安市生态环境保护委员会办公室关于印发《</w:t>
            </w:r>
            <w:r>
              <w:rPr>
                <w:rFonts w:hint="default" w:ascii="Times New Roman" w:hAnsi="Times New Roman" w:eastAsia="宋体" w:cs="Times New Roman"/>
                <w:color w:val="auto"/>
                <w:kern w:val="0"/>
                <w:sz w:val="24"/>
                <w:highlight w:val="none"/>
                <w:lang w:val="en-US" w:eastAsia="zh-CN"/>
              </w:rPr>
              <w:t>2023年西安市生态环境分区管控调整方案</w:t>
            </w:r>
            <w:r>
              <w:rPr>
                <w:rFonts w:hint="default" w:ascii="Times New Roman" w:hAnsi="Times New Roman" w:cs="Times New Roman"/>
                <w:b w:val="0"/>
                <w:bCs w:val="0"/>
                <w:color w:val="auto"/>
                <w:sz w:val="24"/>
                <w:szCs w:val="24"/>
                <w:highlight w:val="none"/>
                <w:lang w:val="en-US" w:eastAsia="zh-CN"/>
              </w:rPr>
              <w:t>》的通知（市生态委办发〔2024〕16号），本项目位于重点管控单元，本项目与陕西省</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三线一单</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生态环境管控单元对照</w:t>
            </w:r>
            <w:r>
              <w:rPr>
                <w:rFonts w:hint="eastAsia" w:ascii="Times New Roman" w:hAnsi="Times New Roman" w:cs="Times New Roman"/>
                <w:b w:val="0"/>
                <w:bCs w:val="0"/>
                <w:color w:val="auto"/>
                <w:sz w:val="24"/>
                <w:szCs w:val="24"/>
                <w:highlight w:val="none"/>
                <w:lang w:val="en-US" w:eastAsia="zh-CN"/>
              </w:rPr>
              <w:t>见图1-1。</w:t>
            </w:r>
          </w:p>
          <w:p w14:paraId="3E95A5D1">
            <w:pPr>
              <w:pStyle w:val="24"/>
              <w:ind w:left="0" w:leftChars="0" w:firstLine="0" w:firstLineChars="0"/>
              <w:jc w:val="center"/>
              <w:rPr>
                <w:color w:val="auto"/>
                <w:highlight w:val="none"/>
              </w:rPr>
            </w:pPr>
            <w:r>
              <w:rPr>
                <w:color w:val="auto"/>
                <w:highlight w:val="none"/>
              </w:rPr>
              <w:drawing>
                <wp:inline distT="0" distB="0" distL="114300" distR="114300">
                  <wp:extent cx="4040505" cy="6156325"/>
                  <wp:effectExtent l="0" t="0" r="17145" b="1587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srcRect b="2305"/>
                          <a:stretch>
                            <a:fillRect/>
                          </a:stretch>
                        </pic:blipFill>
                        <pic:spPr>
                          <a:xfrm>
                            <a:off x="0" y="0"/>
                            <a:ext cx="4040505" cy="6156325"/>
                          </a:xfrm>
                          <a:prstGeom prst="rect">
                            <a:avLst/>
                          </a:prstGeom>
                          <a:noFill/>
                          <a:ln>
                            <a:noFill/>
                          </a:ln>
                        </pic:spPr>
                      </pic:pic>
                    </a:graphicData>
                  </a:graphic>
                </wp:inline>
              </w:drawing>
            </w:r>
          </w:p>
          <w:p w14:paraId="3B5DAD98">
            <w:pPr>
              <w:spacing w:line="240" w:lineRule="auto"/>
              <w:jc w:val="center"/>
              <w:rPr>
                <w:rFonts w:hint="default"/>
                <w:color w:val="auto"/>
                <w:highlight w:val="none"/>
                <w:lang w:val="en-US" w:eastAsia="zh-CN"/>
              </w:rPr>
            </w:pPr>
            <w:r>
              <w:rPr>
                <w:rFonts w:hint="default" w:ascii="Times New Roman" w:hAnsi="Times New Roman" w:cs="Times New Roman"/>
                <w:b/>
                <w:bCs/>
                <w:color w:val="auto"/>
                <w:highlight w:val="none"/>
                <w:lang w:val="en-US" w:eastAsia="zh-CN"/>
              </w:rPr>
              <w:t>图1-</w:t>
            </w:r>
            <w:r>
              <w:rPr>
                <w:rFonts w:hint="eastAsia" w:ascii="Times New Roman" w:hAnsi="Times New Roman" w:cs="Times New Roman"/>
                <w:b/>
                <w:bCs/>
                <w:color w:val="auto"/>
                <w:highlight w:val="none"/>
                <w:lang w:val="en-US" w:eastAsia="zh-CN"/>
              </w:rPr>
              <w:t>1</w:t>
            </w:r>
            <w:r>
              <w:rPr>
                <w:rFonts w:hint="default" w:ascii="Times New Roman" w:hAnsi="Times New Roman" w:cs="Times New Roman"/>
                <w:b/>
                <w:bCs/>
                <w:color w:val="auto"/>
                <w:highlight w:val="none"/>
                <w:lang w:val="en-US" w:eastAsia="zh-CN"/>
              </w:rPr>
              <w:t xml:space="preserve"> </w:t>
            </w:r>
            <w:r>
              <w:rPr>
                <w:rFonts w:hint="eastAsia" w:ascii="Times New Roman" w:hAnsi="Times New Roman" w:cs="Times New Roman"/>
                <w:b/>
                <w:bCs/>
                <w:color w:val="auto"/>
                <w:highlight w:val="none"/>
                <w:lang w:val="en-US" w:eastAsia="zh-CN"/>
              </w:rPr>
              <w:t>本项目与</w:t>
            </w:r>
            <w:r>
              <w:rPr>
                <w:rFonts w:hint="default" w:ascii="Times New Roman" w:hAnsi="Times New Roman" w:cs="Times New Roman"/>
                <w:b/>
                <w:bCs/>
                <w:color w:val="auto"/>
                <w:highlight w:val="none"/>
                <w:lang w:val="en-US" w:eastAsia="zh-CN"/>
              </w:rPr>
              <w:t>陕西省“三线一单”生态环境管控单元对照</w:t>
            </w:r>
            <w:r>
              <w:rPr>
                <w:rFonts w:hint="eastAsia" w:ascii="Times New Roman" w:hAnsi="Times New Roman" w:cs="Times New Roman"/>
                <w:b/>
                <w:bCs/>
                <w:color w:val="auto"/>
                <w:highlight w:val="none"/>
                <w:lang w:val="en-US" w:eastAsia="zh-CN"/>
              </w:rPr>
              <w:t>图</w:t>
            </w:r>
          </w:p>
        </w:tc>
      </w:tr>
    </w:tbl>
    <w:p w14:paraId="6D370080">
      <w:pPr>
        <w:rPr>
          <w:color w:val="auto"/>
          <w:highlight w:val="none"/>
        </w:rPr>
        <w:sectPr>
          <w:footerReference r:id="rId6" w:type="default"/>
          <w:pgSz w:w="11906" w:h="16838"/>
          <w:pgMar w:top="1701" w:right="1531" w:bottom="1701" w:left="1531" w:header="851" w:footer="1077" w:gutter="0"/>
          <w:pgNumType w:fmt="decimal" w:start="1"/>
          <w:cols w:space="720" w:num="1"/>
          <w:docGrid w:linePitch="312" w:charSpace="0"/>
        </w:sectPr>
      </w:pPr>
    </w:p>
    <w:p w14:paraId="5A00B0A4">
      <w:pPr>
        <w:numPr>
          <w:ilvl w:val="0"/>
          <w:numId w:val="2"/>
        </w:numPr>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一表</w:t>
      </w:r>
    </w:p>
    <w:p w14:paraId="4DA48BF1">
      <w:pPr>
        <w:pStyle w:val="12"/>
        <w:numPr>
          <w:ilvl w:val="0"/>
          <w:numId w:val="0"/>
        </w:numPr>
        <w:spacing w:line="360" w:lineRule="auto"/>
        <w:ind w:firstLine="480" w:firstLineChars="200"/>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根据《</w:t>
      </w:r>
      <w:r>
        <w:rPr>
          <w:rFonts w:hint="default" w:ascii="Times New Roman" w:hAnsi="Times New Roman" w:eastAsia="宋体" w:cs="Times New Roman"/>
          <w:color w:val="auto"/>
          <w:kern w:val="0"/>
          <w:sz w:val="24"/>
          <w:highlight w:val="none"/>
          <w:lang w:val="en-US" w:eastAsia="zh-CN"/>
        </w:rPr>
        <w:t>2023年西安市生态环境分区管控调整方案</w:t>
      </w:r>
      <w:r>
        <w:rPr>
          <w:rFonts w:hint="default" w:ascii="Times New Roman" w:hAnsi="Times New Roman" w:cs="Times New Roman"/>
          <w:b w:val="0"/>
          <w:bCs w:val="0"/>
          <w:color w:val="auto"/>
          <w:sz w:val="24"/>
          <w:szCs w:val="24"/>
          <w:highlight w:val="none"/>
          <w:lang w:val="en-US" w:eastAsia="zh-CN"/>
        </w:rPr>
        <w:t>》（市生态委办发〔2024〕16号），本项目与西安市生态环境管控单元准入清单符合性分析见下表。</w:t>
      </w:r>
    </w:p>
    <w:p w14:paraId="7F233AAC">
      <w:pPr>
        <w:spacing w:line="240" w:lineRule="auto"/>
        <w:jc w:val="center"/>
        <w:outlineLvl w:val="9"/>
        <w:rPr>
          <w:rFonts w:hint="default" w:ascii="Times New Roman" w:hAnsi="Times New Roman" w:eastAsia="宋体" w:cs="Times New Roman"/>
          <w:b/>
          <w:bCs/>
          <w:color w:val="auto"/>
          <w:kern w:val="0"/>
          <w:sz w:val="21"/>
          <w:szCs w:val="21"/>
          <w:highlight w:val="none"/>
          <w:lang w:val="en-US" w:eastAsia="zh-CN" w:bidi="ar"/>
        </w:rPr>
      </w:pPr>
      <w:bookmarkStart w:id="5" w:name="_Toc28423"/>
      <w:r>
        <w:rPr>
          <w:rFonts w:hint="default" w:ascii="Times New Roman" w:hAnsi="Times New Roman" w:eastAsia="宋体" w:cs="Times New Roman"/>
          <w:b/>
          <w:bCs/>
          <w:color w:val="auto"/>
          <w:kern w:val="0"/>
          <w:sz w:val="21"/>
          <w:szCs w:val="21"/>
          <w:highlight w:val="none"/>
          <w:lang w:val="en-US" w:eastAsia="zh-CN" w:bidi="ar"/>
        </w:rPr>
        <w:t>表1-</w:t>
      </w:r>
      <w:r>
        <w:rPr>
          <w:rFonts w:hint="eastAsia" w:ascii="Times New Roman" w:hAnsi="Times New Roman" w:eastAsia="宋体" w:cs="Times New Roman"/>
          <w:b/>
          <w:bCs/>
          <w:color w:val="auto"/>
          <w:kern w:val="0"/>
          <w:sz w:val="21"/>
          <w:szCs w:val="21"/>
          <w:highlight w:val="none"/>
          <w:lang w:val="en-US" w:eastAsia="zh-CN" w:bidi="ar"/>
        </w:rPr>
        <w:t>3</w:t>
      </w:r>
      <w:r>
        <w:rPr>
          <w:rFonts w:hint="default" w:ascii="Times New Roman" w:hAnsi="Times New Roman" w:eastAsia="宋体" w:cs="Times New Roman"/>
          <w:b/>
          <w:bCs/>
          <w:color w:val="auto"/>
          <w:kern w:val="0"/>
          <w:sz w:val="21"/>
          <w:szCs w:val="21"/>
          <w:highlight w:val="none"/>
          <w:lang w:val="en-US" w:eastAsia="zh-CN" w:bidi="ar"/>
        </w:rPr>
        <w:t xml:space="preserve"> 本项目与西安市生态环境管控单元准入清单符合性分析</w:t>
      </w:r>
      <w:bookmarkEnd w:id="5"/>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784"/>
        <w:gridCol w:w="841"/>
        <w:gridCol w:w="7336"/>
        <w:gridCol w:w="885"/>
        <w:gridCol w:w="2053"/>
        <w:gridCol w:w="861"/>
      </w:tblGrid>
      <w:tr w14:paraId="32D77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noWrap w:val="0"/>
            <w:vAlign w:val="center"/>
          </w:tcPr>
          <w:p w14:paraId="2D6F11C0">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环境管控单元名称</w:t>
            </w:r>
          </w:p>
        </w:tc>
        <w:tc>
          <w:tcPr>
            <w:tcW w:w="287" w:type="pct"/>
            <w:noWrap w:val="0"/>
            <w:vAlign w:val="center"/>
          </w:tcPr>
          <w:p w14:paraId="6B7C11E2">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管控维度</w:t>
            </w:r>
          </w:p>
        </w:tc>
        <w:tc>
          <w:tcPr>
            <w:tcW w:w="2995" w:type="pct"/>
            <w:gridSpan w:val="2"/>
            <w:noWrap w:val="0"/>
            <w:vAlign w:val="center"/>
          </w:tcPr>
          <w:p w14:paraId="1117B68C">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管控要求</w:t>
            </w:r>
          </w:p>
        </w:tc>
        <w:tc>
          <w:tcPr>
            <w:tcW w:w="324" w:type="pct"/>
            <w:noWrap w:val="0"/>
            <w:vAlign w:val="center"/>
          </w:tcPr>
          <w:p w14:paraId="13E7DD3A">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面积</w:t>
            </w:r>
          </w:p>
          <w:p w14:paraId="3CF1CF1D">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/长度</w:t>
            </w:r>
          </w:p>
        </w:tc>
        <w:tc>
          <w:tcPr>
            <w:tcW w:w="752" w:type="pct"/>
            <w:noWrap w:val="0"/>
            <w:vAlign w:val="center"/>
          </w:tcPr>
          <w:p w14:paraId="03F76DCE">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本</w:t>
            </w:r>
            <w:r>
              <w:rPr>
                <w:rFonts w:hint="default" w:ascii="Times New Roman" w:hAnsi="Times New Roman" w:eastAsia="宋体" w:cs="Times New Roman"/>
                <w:b/>
                <w:bCs/>
                <w:color w:val="auto"/>
                <w:sz w:val="21"/>
                <w:szCs w:val="21"/>
                <w:highlight w:val="none"/>
                <w:lang w:eastAsia="zh-CN"/>
              </w:rPr>
              <w:t>项目情况</w:t>
            </w:r>
          </w:p>
        </w:tc>
        <w:tc>
          <w:tcPr>
            <w:tcW w:w="315" w:type="pct"/>
            <w:noWrap w:val="0"/>
            <w:vAlign w:val="center"/>
          </w:tcPr>
          <w:p w14:paraId="07620423">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符合性</w:t>
            </w:r>
          </w:p>
        </w:tc>
      </w:tr>
      <w:tr w14:paraId="7AF68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restart"/>
            <w:noWrap w:val="0"/>
            <w:vAlign w:val="center"/>
          </w:tcPr>
          <w:p w14:paraId="0BD7318B">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陕西省咸阳市泾阳县重点管控单元11（西咸新区）</w:t>
            </w:r>
          </w:p>
          <w:p w14:paraId="0A49CC64">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auto"/>
                <w:kern w:val="2"/>
                <w:sz w:val="21"/>
                <w:szCs w:val="21"/>
                <w:highlight w:val="none"/>
                <w:lang w:val="en-US" w:eastAsia="zh-CN" w:bidi="ar-SA"/>
              </w:rPr>
            </w:pPr>
          </w:p>
        </w:tc>
        <w:tc>
          <w:tcPr>
            <w:tcW w:w="287" w:type="pct"/>
            <w:vMerge w:val="restart"/>
            <w:noWrap w:val="0"/>
            <w:vAlign w:val="center"/>
          </w:tcPr>
          <w:p w14:paraId="06902486">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大气环境受体敏感重点管控区、</w:t>
            </w:r>
            <w:r>
              <w:rPr>
                <w:rFonts w:hint="default" w:ascii="Times New Roman" w:hAnsi="Times New Roman" w:eastAsia="宋体" w:cs="Times New Roman"/>
                <w:color w:val="auto"/>
                <w:sz w:val="21"/>
                <w:szCs w:val="21"/>
                <w:highlight w:val="none"/>
              </w:rPr>
              <w:t>水环境城镇生活污染重点管控区</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高污染燃料禁燃重点</w:t>
            </w:r>
            <w:r>
              <w:rPr>
                <w:rFonts w:hint="default" w:ascii="Times New Roman" w:hAnsi="Times New Roman" w:eastAsia="宋体" w:cs="Times New Roman"/>
                <w:color w:val="auto"/>
                <w:sz w:val="21"/>
                <w:szCs w:val="21"/>
                <w:highlight w:val="none"/>
                <w:lang w:val="en-US" w:eastAsia="zh-CN"/>
              </w:rPr>
              <w:t>管</w:t>
            </w:r>
            <w:r>
              <w:rPr>
                <w:rFonts w:hint="default" w:ascii="Times New Roman" w:hAnsi="Times New Roman" w:eastAsia="宋体" w:cs="Times New Roman"/>
                <w:color w:val="auto"/>
                <w:sz w:val="21"/>
                <w:szCs w:val="21"/>
                <w:highlight w:val="none"/>
              </w:rPr>
              <w:t>控区</w:t>
            </w:r>
          </w:p>
        </w:tc>
        <w:tc>
          <w:tcPr>
            <w:tcW w:w="308" w:type="pct"/>
            <w:noWrap w:val="0"/>
            <w:vAlign w:val="center"/>
          </w:tcPr>
          <w:p w14:paraId="7A022603">
            <w:pPr>
              <w:keepNext w:val="0"/>
              <w:keepLines w:val="0"/>
              <w:pageBreakBefore w:val="0"/>
              <w:widowControl w:val="0"/>
              <w:kinsoku/>
              <w:wordWrap/>
              <w:overflowPunct/>
              <w:topLinePunct w:val="0"/>
              <w:bidi w:val="0"/>
              <w:spacing w:line="264"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空间约束要求</w:t>
            </w:r>
          </w:p>
        </w:tc>
        <w:tc>
          <w:tcPr>
            <w:tcW w:w="2687" w:type="pct"/>
            <w:noWrap w:val="0"/>
            <w:vAlign w:val="center"/>
          </w:tcPr>
          <w:p w14:paraId="58FD2846">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大气环境受体敏感重点管控区：</w:t>
            </w:r>
          </w:p>
          <w:p w14:paraId="0620C140">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1.严格控制新增《陕西省</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两高</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项目管理暂行目录》行业项目（民生等项目除外，后续对</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两高</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范围国家如有新规定的，从其规定）。</w:t>
            </w:r>
          </w:p>
          <w:p w14:paraId="643A6979">
            <w:pPr>
              <w:keepNext w:val="0"/>
              <w:keepLines w:val="0"/>
              <w:pageBreakBefore w:val="0"/>
              <w:widowControl w:val="0"/>
              <w:kinsoku/>
              <w:wordWrap/>
              <w:overflowPunct/>
              <w:topLinePunct w:val="0"/>
              <w:bidi w:val="0"/>
              <w:spacing w:line="264"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Cs w:val="21"/>
                <w:highlight w:val="none"/>
                <w:lang w:val="en-US" w:eastAsia="zh-CN"/>
              </w:rPr>
              <w:t>2.推动重污染企业搬迁入园或依法关闭。</w:t>
            </w:r>
          </w:p>
        </w:tc>
        <w:tc>
          <w:tcPr>
            <w:tcW w:w="324" w:type="pct"/>
            <w:vMerge w:val="restart"/>
            <w:noWrap w:val="0"/>
            <w:vAlign w:val="center"/>
          </w:tcPr>
          <w:p w14:paraId="239275ED">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3504</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2</w:t>
            </w:r>
          </w:p>
        </w:tc>
        <w:tc>
          <w:tcPr>
            <w:tcW w:w="752" w:type="pct"/>
            <w:noWrap w:val="0"/>
            <w:vAlign w:val="center"/>
          </w:tcPr>
          <w:p w14:paraId="7FCFD7CB">
            <w:pPr>
              <w:keepNext w:val="0"/>
              <w:keepLines w:val="0"/>
              <w:pageBreakBefore w:val="0"/>
              <w:widowControl w:val="0"/>
              <w:numPr>
                <w:ilvl w:val="0"/>
                <w:numId w:val="0"/>
              </w:numPr>
              <w:kinsoku/>
              <w:wordWrap/>
              <w:overflowPunct/>
              <w:topLinePunct w:val="0"/>
              <w:autoSpaceDE w:val="0"/>
              <w:autoSpaceDN w:val="0"/>
              <w:bidi w:val="0"/>
              <w:spacing w:line="264" w:lineRule="auto"/>
              <w:jc w:val="both"/>
              <w:textAlignment w:val="auto"/>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1</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rPr>
              <w:t>本项目为</w:t>
            </w:r>
            <w:r>
              <w:rPr>
                <w:rFonts w:hint="default" w:ascii="Times New Roman" w:hAnsi="Times New Roman" w:eastAsia="宋体" w:cs="Times New Roman"/>
                <w:color w:val="auto"/>
                <w:kern w:val="0"/>
                <w:szCs w:val="21"/>
                <w:highlight w:val="none"/>
                <w:lang w:val="en-US" w:eastAsia="zh-CN"/>
              </w:rPr>
              <w:t>固体废物治理项目</w:t>
            </w:r>
            <w:r>
              <w:rPr>
                <w:rFonts w:hint="default" w:ascii="Times New Roman" w:hAnsi="Times New Roman" w:eastAsia="宋体" w:cs="Times New Roman"/>
                <w:color w:val="auto"/>
                <w:kern w:val="0"/>
                <w:szCs w:val="21"/>
                <w:highlight w:val="none"/>
              </w:rPr>
              <w:t>，不属于禁止类项目</w:t>
            </w:r>
            <w:r>
              <w:rPr>
                <w:rFonts w:hint="default" w:ascii="Times New Roman" w:hAnsi="Times New Roman" w:eastAsia="宋体" w:cs="Times New Roman"/>
                <w:color w:val="auto"/>
                <w:kern w:val="0"/>
                <w:szCs w:val="21"/>
                <w:highlight w:val="none"/>
                <w:lang w:eastAsia="zh-CN"/>
              </w:rPr>
              <w:t>；</w:t>
            </w:r>
          </w:p>
          <w:p w14:paraId="204A22D9">
            <w:pPr>
              <w:keepNext w:val="0"/>
              <w:keepLines w:val="0"/>
              <w:pageBreakBefore w:val="0"/>
              <w:widowControl w:val="0"/>
              <w:kinsoku/>
              <w:wordWrap/>
              <w:overflowPunct/>
              <w:topLinePunct w:val="0"/>
              <w:autoSpaceDE w:val="0"/>
              <w:autoSpaceDN w:val="0"/>
              <w:bidi w:val="0"/>
              <w:adjustRightInd w:val="0"/>
              <w:snapToGrid w:val="0"/>
              <w:spacing w:line="264"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r>
              <w:rPr>
                <w:rFonts w:hint="default" w:ascii="Times New Roman" w:hAnsi="Times New Roman" w:eastAsia="宋体" w:cs="Times New Roman"/>
                <w:color w:val="auto"/>
                <w:kern w:val="0"/>
                <w:szCs w:val="21"/>
                <w:highlight w:val="none"/>
              </w:rPr>
              <w:t>本项目不属于</w:t>
            </w:r>
            <w:r>
              <w:rPr>
                <w:rFonts w:hint="default" w:ascii="Times New Roman" w:hAnsi="Times New Roman" w:eastAsia="宋体" w:cs="Times New Roman"/>
                <w:color w:val="auto"/>
                <w:kern w:val="0"/>
                <w:szCs w:val="21"/>
                <w:highlight w:val="none"/>
                <w:lang w:val="en-US" w:eastAsia="zh-CN"/>
              </w:rPr>
              <w:t>重污染企业。</w:t>
            </w:r>
          </w:p>
        </w:tc>
        <w:tc>
          <w:tcPr>
            <w:tcW w:w="315" w:type="pct"/>
            <w:noWrap w:val="0"/>
            <w:vAlign w:val="center"/>
          </w:tcPr>
          <w:p w14:paraId="1C883F77">
            <w:pPr>
              <w:keepNext w:val="0"/>
              <w:keepLines w:val="0"/>
              <w:pageBreakBefore w:val="0"/>
              <w:widowControl w:val="0"/>
              <w:kinsoku/>
              <w:wordWrap/>
              <w:overflowPunct/>
              <w:topLinePunct w:val="0"/>
              <w:autoSpaceDE w:val="0"/>
              <w:autoSpaceDN w:val="0"/>
              <w:bidi w:val="0"/>
              <w:adjustRightInd w:val="0"/>
              <w:snapToGrid w:val="0"/>
              <w:spacing w:line="264"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r w14:paraId="49DB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continue"/>
            <w:noWrap w:val="0"/>
            <w:vAlign w:val="center"/>
          </w:tcPr>
          <w:p w14:paraId="70B35F5E">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auto"/>
                <w:sz w:val="21"/>
                <w:szCs w:val="21"/>
                <w:highlight w:val="none"/>
              </w:rPr>
            </w:pPr>
          </w:p>
        </w:tc>
        <w:tc>
          <w:tcPr>
            <w:tcW w:w="287" w:type="pct"/>
            <w:vMerge w:val="continue"/>
            <w:noWrap w:val="0"/>
            <w:vAlign w:val="center"/>
          </w:tcPr>
          <w:p w14:paraId="1D2123A9">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auto"/>
                <w:sz w:val="21"/>
                <w:szCs w:val="21"/>
                <w:highlight w:val="none"/>
              </w:rPr>
            </w:pPr>
          </w:p>
        </w:tc>
        <w:tc>
          <w:tcPr>
            <w:tcW w:w="308" w:type="pct"/>
            <w:noWrap w:val="0"/>
            <w:vAlign w:val="center"/>
          </w:tcPr>
          <w:p w14:paraId="146F6F9E">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2687" w:type="pct"/>
            <w:noWrap w:val="0"/>
            <w:vAlign w:val="center"/>
          </w:tcPr>
          <w:p w14:paraId="0726F01C">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Cs w:val="21"/>
                <w:highlight w:val="none"/>
                <w:lang w:val="en-US" w:eastAsia="zh-CN"/>
              </w:rPr>
              <w:t>大气环境受体敏感重点管控区：1.城市建成区产生油烟的餐饮服务单位全部安装油烟净化装置并保持正常运行和定期维护。2.持续因地制宜实施</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煤改气</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油改气</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电能、地热、生物质等清洁能源取暖措施。3.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24" w:type="pct"/>
            <w:vMerge w:val="continue"/>
            <w:noWrap w:val="0"/>
            <w:vAlign w:val="center"/>
          </w:tcPr>
          <w:p w14:paraId="383B6EAA">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auto"/>
                <w:sz w:val="21"/>
                <w:szCs w:val="21"/>
                <w:highlight w:val="none"/>
              </w:rPr>
            </w:pPr>
          </w:p>
        </w:tc>
        <w:tc>
          <w:tcPr>
            <w:tcW w:w="752" w:type="pct"/>
            <w:noWrap w:val="0"/>
            <w:vAlign w:val="center"/>
          </w:tcPr>
          <w:p w14:paraId="0C4BA2BC">
            <w:pPr>
              <w:keepNext w:val="0"/>
              <w:keepLines w:val="0"/>
              <w:pageBreakBefore w:val="0"/>
              <w:widowControl w:val="0"/>
              <w:numPr>
                <w:ilvl w:val="0"/>
                <w:numId w:val="0"/>
              </w:numPr>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1</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rPr>
              <w:t>本项目采用电</w:t>
            </w:r>
            <w:r>
              <w:rPr>
                <w:rFonts w:hint="eastAsia" w:ascii="Times New Roman" w:hAnsi="Times New Roman" w:eastAsia="宋体" w:cs="Times New Roman"/>
                <w:color w:val="auto"/>
                <w:kern w:val="0"/>
                <w:sz w:val="21"/>
                <w:szCs w:val="21"/>
                <w:highlight w:val="none"/>
                <w:lang w:val="en-US" w:eastAsia="zh-CN"/>
              </w:rPr>
              <w:t>作为</w:t>
            </w:r>
            <w:r>
              <w:rPr>
                <w:rFonts w:hint="default" w:ascii="Times New Roman" w:hAnsi="Times New Roman" w:eastAsia="宋体" w:cs="Times New Roman"/>
                <w:color w:val="auto"/>
                <w:kern w:val="0"/>
                <w:sz w:val="21"/>
                <w:szCs w:val="21"/>
                <w:highlight w:val="none"/>
                <w:lang w:val="en-US" w:eastAsia="zh-CN"/>
              </w:rPr>
              <w:t>能源</w:t>
            </w:r>
            <w:r>
              <w:rPr>
                <w:rFonts w:hint="default" w:ascii="Times New Roman" w:hAnsi="Times New Roman" w:eastAsia="宋体" w:cs="Times New Roman"/>
                <w:color w:val="auto"/>
                <w:kern w:val="0"/>
                <w:sz w:val="21"/>
                <w:szCs w:val="21"/>
                <w:highlight w:val="none"/>
                <w:lang w:eastAsia="zh-CN"/>
              </w:rPr>
              <w:t>；</w:t>
            </w:r>
          </w:p>
          <w:p w14:paraId="5EBC9C6D">
            <w:pPr>
              <w:keepNext w:val="0"/>
              <w:keepLines w:val="0"/>
              <w:pageBreakBefore w:val="0"/>
              <w:widowControl w:val="0"/>
              <w:numPr>
                <w:ilvl w:val="0"/>
                <w:numId w:val="0"/>
              </w:numPr>
              <w:kinsoku/>
              <w:wordWrap/>
              <w:overflowPunct/>
              <w:topLinePunct w:val="0"/>
              <w:autoSpaceDE w:val="0"/>
              <w:autoSpaceDN w:val="0"/>
              <w:bidi w:val="0"/>
              <w:spacing w:line="264" w:lineRule="auto"/>
              <w:ind w:left="0" w:leftChars="0" w:firstLine="0" w:firstLineChars="0"/>
              <w:jc w:val="left"/>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bidi="ar-SA"/>
              </w:rPr>
              <w:t>2</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eastAsia="宋体" w:cs="Times New Roman"/>
                <w:color w:val="auto"/>
                <w:kern w:val="0"/>
                <w:sz w:val="21"/>
                <w:szCs w:val="21"/>
                <w:highlight w:val="none"/>
                <w:lang w:val="en-US" w:eastAsia="zh-CN"/>
              </w:rPr>
              <w:t>本项目厂区内</w:t>
            </w:r>
            <w:r>
              <w:rPr>
                <w:rFonts w:hint="default" w:ascii="Times New Roman" w:hAnsi="Times New Roman" w:eastAsia="宋体" w:cs="Times New Roman"/>
                <w:color w:val="auto"/>
                <w:kern w:val="0"/>
                <w:sz w:val="21"/>
                <w:szCs w:val="21"/>
                <w:highlight w:val="none"/>
              </w:rPr>
              <w:t>非道路移动机械</w:t>
            </w:r>
            <w:r>
              <w:rPr>
                <w:rFonts w:hint="eastAsia" w:ascii="Times New Roman" w:hAnsi="Times New Roman" w:eastAsia="宋体" w:cs="Times New Roman"/>
                <w:color w:val="auto"/>
                <w:kern w:val="0"/>
                <w:sz w:val="21"/>
                <w:szCs w:val="21"/>
                <w:highlight w:val="none"/>
                <w:lang w:val="en-US" w:eastAsia="zh-CN"/>
              </w:rPr>
              <w:t>采</w:t>
            </w:r>
            <w:r>
              <w:rPr>
                <w:rFonts w:hint="eastAsia" w:ascii="Times New Roman" w:hAnsi="Times New Roman" w:eastAsia="宋体" w:cs="Times New Roman"/>
                <w:color w:val="auto"/>
                <w:kern w:val="0"/>
                <w:szCs w:val="21"/>
                <w:highlight w:val="none"/>
                <w:lang w:val="en-US" w:eastAsia="zh-CN"/>
              </w:rPr>
              <w:t>用</w:t>
            </w:r>
            <w:r>
              <w:rPr>
                <w:rFonts w:hint="eastAsia" w:ascii="Times New Roman" w:hAnsi="Times New Roman" w:eastAsia="宋体" w:cs="Times New Roman"/>
                <w:color w:val="auto"/>
                <w:kern w:val="0"/>
                <w:szCs w:val="21"/>
                <w:highlight w:val="none"/>
              </w:rPr>
              <w:t>清洁能源</w:t>
            </w:r>
            <w:r>
              <w:rPr>
                <w:rFonts w:hint="default" w:ascii="Times New Roman" w:hAnsi="Times New Roman" w:eastAsia="宋体" w:cs="Times New Roman"/>
                <w:color w:val="auto"/>
                <w:kern w:val="0"/>
                <w:sz w:val="21"/>
                <w:szCs w:val="21"/>
                <w:highlight w:val="none"/>
                <w:lang w:eastAsia="zh-CN"/>
              </w:rPr>
              <w:t>；</w:t>
            </w:r>
          </w:p>
          <w:p w14:paraId="15745934">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rPr>
              <w:t>3</w:t>
            </w:r>
            <w:r>
              <w:rPr>
                <w:rFonts w:hint="eastAsia"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lang w:val="en-US" w:eastAsia="zh-CN"/>
              </w:rPr>
              <w:t>本项目生活污水排入市政污水管网。</w:t>
            </w:r>
          </w:p>
        </w:tc>
        <w:tc>
          <w:tcPr>
            <w:tcW w:w="315" w:type="pct"/>
            <w:noWrap w:val="0"/>
            <w:vAlign w:val="center"/>
          </w:tcPr>
          <w:p w14:paraId="009FD2ED">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r w14:paraId="2DA94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continue"/>
            <w:noWrap w:val="0"/>
            <w:vAlign w:val="center"/>
          </w:tcPr>
          <w:p w14:paraId="328DE8A4">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auto"/>
                <w:sz w:val="21"/>
                <w:szCs w:val="21"/>
                <w:highlight w:val="none"/>
              </w:rPr>
            </w:pPr>
          </w:p>
        </w:tc>
        <w:tc>
          <w:tcPr>
            <w:tcW w:w="287" w:type="pct"/>
            <w:vMerge w:val="continue"/>
            <w:noWrap w:val="0"/>
            <w:vAlign w:val="center"/>
          </w:tcPr>
          <w:p w14:paraId="7BF3CEB9">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auto"/>
                <w:sz w:val="21"/>
                <w:szCs w:val="21"/>
                <w:highlight w:val="none"/>
              </w:rPr>
            </w:pPr>
          </w:p>
        </w:tc>
        <w:tc>
          <w:tcPr>
            <w:tcW w:w="308" w:type="pct"/>
            <w:noWrap w:val="0"/>
            <w:vAlign w:val="center"/>
          </w:tcPr>
          <w:p w14:paraId="694DD398">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环境风险防控</w:t>
            </w:r>
          </w:p>
        </w:tc>
        <w:tc>
          <w:tcPr>
            <w:tcW w:w="2687" w:type="pct"/>
            <w:noWrap w:val="0"/>
            <w:vAlign w:val="center"/>
          </w:tcPr>
          <w:p w14:paraId="12C7276D">
            <w:pPr>
              <w:keepNext w:val="0"/>
              <w:keepLines w:val="0"/>
              <w:pageBreakBefore w:val="0"/>
              <w:widowControl w:val="0"/>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w:t>
            </w:r>
          </w:p>
        </w:tc>
        <w:tc>
          <w:tcPr>
            <w:tcW w:w="324" w:type="pct"/>
            <w:vMerge w:val="continue"/>
            <w:noWrap w:val="0"/>
            <w:vAlign w:val="center"/>
          </w:tcPr>
          <w:p w14:paraId="4839745D">
            <w:pPr>
              <w:pStyle w:val="51"/>
              <w:keepNext w:val="0"/>
              <w:keepLines w:val="0"/>
              <w:pageBreakBefore w:val="0"/>
              <w:widowControl w:val="0"/>
              <w:kinsoku/>
              <w:wordWrap/>
              <w:overflowPunct/>
              <w:topLinePunct w:val="0"/>
              <w:bidi w:val="0"/>
              <w:spacing w:beforeLines="0" w:line="264" w:lineRule="auto"/>
              <w:jc w:val="center"/>
              <w:textAlignment w:val="auto"/>
              <w:rPr>
                <w:rFonts w:hint="default" w:ascii="Times New Roman" w:hAnsi="Times New Roman" w:eastAsia="宋体" w:cs="Times New Roman"/>
                <w:color w:val="auto"/>
                <w:sz w:val="21"/>
                <w:szCs w:val="21"/>
                <w:highlight w:val="none"/>
              </w:rPr>
            </w:pPr>
          </w:p>
        </w:tc>
        <w:tc>
          <w:tcPr>
            <w:tcW w:w="752" w:type="pct"/>
            <w:noWrap w:val="0"/>
            <w:vAlign w:val="center"/>
          </w:tcPr>
          <w:p w14:paraId="34F7A027">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w:t>
            </w:r>
          </w:p>
        </w:tc>
        <w:tc>
          <w:tcPr>
            <w:tcW w:w="315" w:type="pct"/>
            <w:noWrap w:val="0"/>
            <w:vAlign w:val="center"/>
          </w:tcPr>
          <w:p w14:paraId="2FF93E75">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r w14:paraId="1E376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continue"/>
            <w:noWrap w:val="0"/>
            <w:vAlign w:val="center"/>
          </w:tcPr>
          <w:p w14:paraId="35C8A2D6">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auto"/>
                <w:sz w:val="21"/>
                <w:szCs w:val="21"/>
                <w:highlight w:val="none"/>
              </w:rPr>
            </w:pPr>
          </w:p>
        </w:tc>
        <w:tc>
          <w:tcPr>
            <w:tcW w:w="287" w:type="pct"/>
            <w:vMerge w:val="continue"/>
            <w:noWrap w:val="0"/>
            <w:vAlign w:val="center"/>
          </w:tcPr>
          <w:p w14:paraId="2B3DC686">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auto"/>
                <w:sz w:val="21"/>
                <w:szCs w:val="21"/>
                <w:highlight w:val="none"/>
              </w:rPr>
            </w:pPr>
          </w:p>
        </w:tc>
        <w:tc>
          <w:tcPr>
            <w:tcW w:w="308" w:type="pct"/>
            <w:noWrap w:val="0"/>
            <w:vAlign w:val="center"/>
          </w:tcPr>
          <w:p w14:paraId="0B333BEC">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资源开发效率要求</w:t>
            </w:r>
          </w:p>
        </w:tc>
        <w:tc>
          <w:tcPr>
            <w:tcW w:w="2687" w:type="pct"/>
            <w:noWrap w:val="0"/>
            <w:vAlign w:val="center"/>
          </w:tcPr>
          <w:p w14:paraId="1EA76C43">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高污染燃料禁燃区：严格禁燃区管控。市区和南六县市全域及北五县市城镇周边划定为高污染燃料禁燃区，禁止销售、使用煤炭及其制品等高污染燃料（35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324" w:type="pct"/>
            <w:vMerge w:val="continue"/>
            <w:noWrap w:val="0"/>
            <w:vAlign w:val="center"/>
          </w:tcPr>
          <w:p w14:paraId="3DE7E394">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auto"/>
                <w:sz w:val="21"/>
                <w:szCs w:val="21"/>
                <w:highlight w:val="none"/>
              </w:rPr>
            </w:pPr>
          </w:p>
        </w:tc>
        <w:tc>
          <w:tcPr>
            <w:tcW w:w="752" w:type="pct"/>
            <w:noWrap w:val="0"/>
            <w:vAlign w:val="center"/>
          </w:tcPr>
          <w:p w14:paraId="441EFBB6">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w:t>
            </w:r>
            <w:r>
              <w:rPr>
                <w:rFonts w:hint="default" w:ascii="Times New Roman" w:hAnsi="Times New Roman" w:eastAsia="宋体" w:cs="Times New Roman"/>
                <w:color w:val="auto"/>
                <w:kern w:val="0"/>
                <w:sz w:val="21"/>
                <w:szCs w:val="21"/>
                <w:highlight w:val="none"/>
                <w:lang w:val="en-US" w:eastAsia="zh-CN"/>
              </w:rPr>
              <w:t>采用电</w:t>
            </w:r>
            <w:r>
              <w:rPr>
                <w:rFonts w:hint="eastAsia" w:ascii="Times New Roman" w:hAnsi="Times New Roman" w:eastAsia="宋体" w:cs="Times New Roman"/>
                <w:color w:val="auto"/>
                <w:kern w:val="0"/>
                <w:sz w:val="21"/>
                <w:szCs w:val="21"/>
                <w:highlight w:val="none"/>
                <w:lang w:val="en-US" w:eastAsia="zh-CN"/>
              </w:rPr>
              <w:t>作为</w:t>
            </w:r>
            <w:r>
              <w:rPr>
                <w:rFonts w:hint="default" w:ascii="Times New Roman" w:hAnsi="Times New Roman" w:eastAsia="宋体" w:cs="Times New Roman"/>
                <w:color w:val="auto"/>
                <w:kern w:val="0"/>
                <w:sz w:val="21"/>
                <w:szCs w:val="21"/>
                <w:highlight w:val="none"/>
                <w:lang w:val="en-US" w:eastAsia="zh-CN"/>
              </w:rPr>
              <w:t>能源，不涉及燃煤</w:t>
            </w:r>
            <w:r>
              <w:rPr>
                <w:rFonts w:hint="eastAsia" w:ascii="Times New Roman" w:hAnsi="Times New Roman" w:eastAsia="宋体" w:cs="Times New Roman"/>
                <w:color w:val="auto"/>
                <w:kern w:val="0"/>
                <w:sz w:val="21"/>
                <w:szCs w:val="21"/>
                <w:highlight w:val="none"/>
                <w:lang w:val="en-US" w:eastAsia="zh-CN"/>
              </w:rPr>
              <w:t>、生物质的</w:t>
            </w:r>
            <w:r>
              <w:rPr>
                <w:rFonts w:hint="default" w:ascii="Times New Roman" w:hAnsi="Times New Roman" w:eastAsia="宋体" w:cs="Times New Roman"/>
                <w:color w:val="auto"/>
                <w:kern w:val="0"/>
                <w:sz w:val="21"/>
                <w:szCs w:val="21"/>
                <w:highlight w:val="none"/>
                <w:lang w:val="en-US" w:eastAsia="zh-CN"/>
              </w:rPr>
              <w:t>使用。</w:t>
            </w:r>
          </w:p>
        </w:tc>
        <w:tc>
          <w:tcPr>
            <w:tcW w:w="315" w:type="pct"/>
            <w:noWrap w:val="0"/>
            <w:vAlign w:val="center"/>
          </w:tcPr>
          <w:p w14:paraId="1D2B2B0C">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bl>
    <w:p w14:paraId="7E9B74D1">
      <w:pPr>
        <w:numPr>
          <w:ilvl w:val="0"/>
          <w:numId w:val="2"/>
        </w:numPr>
        <w:spacing w:line="360" w:lineRule="auto"/>
        <w:ind w:left="0" w:leftChars="0"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一说明</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0"/>
        <w:gridCol w:w="6932"/>
        <w:gridCol w:w="2170"/>
      </w:tblGrid>
      <w:tr w14:paraId="449E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73E20709">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对照分析</w:t>
            </w:r>
          </w:p>
        </w:tc>
        <w:tc>
          <w:tcPr>
            <w:tcW w:w="6932" w:type="dxa"/>
            <w:noWrap w:val="0"/>
            <w:vAlign w:val="center"/>
          </w:tcPr>
          <w:p w14:paraId="6205712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本项目情况</w:t>
            </w:r>
          </w:p>
        </w:tc>
        <w:tc>
          <w:tcPr>
            <w:tcW w:w="2170" w:type="dxa"/>
            <w:noWrap w:val="0"/>
            <w:vAlign w:val="center"/>
          </w:tcPr>
          <w:p w14:paraId="526A63D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符合性</w:t>
            </w:r>
          </w:p>
        </w:tc>
      </w:tr>
      <w:tr w14:paraId="7719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2CE31930">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各类生态环境敏感区对照分析</w:t>
            </w:r>
          </w:p>
        </w:tc>
        <w:tc>
          <w:tcPr>
            <w:tcW w:w="6932" w:type="dxa"/>
            <w:noWrap w:val="0"/>
            <w:vAlign w:val="center"/>
          </w:tcPr>
          <w:p w14:paraId="1A5BBAA5">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根据</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一图</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可知，本项目不涉及生态环境敏感区。</w:t>
            </w:r>
          </w:p>
        </w:tc>
        <w:tc>
          <w:tcPr>
            <w:tcW w:w="2170" w:type="dxa"/>
            <w:noWrap w:val="0"/>
            <w:vAlign w:val="center"/>
          </w:tcPr>
          <w:p w14:paraId="0303E33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符合</w:t>
            </w:r>
          </w:p>
        </w:tc>
      </w:tr>
      <w:tr w14:paraId="685C5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4550" w:type="dxa"/>
            <w:noWrap w:val="0"/>
            <w:vAlign w:val="center"/>
          </w:tcPr>
          <w:p w14:paraId="7FDDAFA8">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环境管控单元对照分析</w:t>
            </w:r>
          </w:p>
        </w:tc>
        <w:tc>
          <w:tcPr>
            <w:tcW w:w="6932" w:type="dxa"/>
            <w:noWrap w:val="0"/>
            <w:vAlign w:val="center"/>
          </w:tcPr>
          <w:p w14:paraId="12D652C9">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根据</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一图</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可知，本项目位于重点管控单元</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根据</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一表</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可知本项目重点管控单元面积为</w:t>
            </w:r>
            <w:r>
              <w:rPr>
                <w:rFonts w:hint="eastAsia" w:cs="Times New Roman"/>
                <w:color w:val="auto"/>
                <w:sz w:val="21"/>
                <w:szCs w:val="21"/>
                <w:highlight w:val="none"/>
                <w:lang w:val="en-US" w:eastAsia="zh-CN"/>
              </w:rPr>
              <w:t>3504</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2</w:t>
            </w:r>
            <w:r>
              <w:rPr>
                <w:rFonts w:hint="default" w:ascii="Times New Roman" w:hAnsi="Times New Roman" w:cs="Times New Roman"/>
                <w:color w:val="auto"/>
                <w:sz w:val="21"/>
                <w:szCs w:val="21"/>
                <w:highlight w:val="none"/>
                <w:vertAlign w:val="baseline"/>
                <w:lang w:val="en-US" w:eastAsia="zh-CN"/>
              </w:rPr>
              <w:t>，同时满足重点管控单元管控措施要求。</w:t>
            </w:r>
          </w:p>
        </w:tc>
        <w:tc>
          <w:tcPr>
            <w:tcW w:w="2170" w:type="dxa"/>
            <w:noWrap w:val="0"/>
            <w:vAlign w:val="center"/>
          </w:tcPr>
          <w:p w14:paraId="4EEA1FE5">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符合</w:t>
            </w:r>
          </w:p>
        </w:tc>
      </w:tr>
      <w:tr w14:paraId="028D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3FF62A7D">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未纳入环境管控单元的要素分区对照分析</w:t>
            </w:r>
          </w:p>
        </w:tc>
        <w:tc>
          <w:tcPr>
            <w:tcW w:w="6932" w:type="dxa"/>
            <w:noWrap w:val="0"/>
            <w:vAlign w:val="center"/>
          </w:tcPr>
          <w:p w14:paraId="0A09D5EF">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不涉及</w:t>
            </w:r>
          </w:p>
        </w:tc>
        <w:tc>
          <w:tcPr>
            <w:tcW w:w="2170" w:type="dxa"/>
            <w:noWrap w:val="0"/>
            <w:vAlign w:val="center"/>
          </w:tcPr>
          <w:p w14:paraId="532DBDD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w:t>
            </w:r>
          </w:p>
        </w:tc>
      </w:tr>
      <w:tr w14:paraId="27EC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688B77E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其他对照分析</w:t>
            </w:r>
          </w:p>
        </w:tc>
        <w:tc>
          <w:tcPr>
            <w:tcW w:w="6932" w:type="dxa"/>
            <w:noWrap w:val="0"/>
            <w:vAlign w:val="center"/>
          </w:tcPr>
          <w:p w14:paraId="5CED69D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不涉及</w:t>
            </w:r>
          </w:p>
        </w:tc>
        <w:tc>
          <w:tcPr>
            <w:tcW w:w="2170" w:type="dxa"/>
            <w:noWrap w:val="0"/>
            <w:vAlign w:val="center"/>
          </w:tcPr>
          <w:p w14:paraId="5BBBD611">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w:t>
            </w:r>
          </w:p>
        </w:tc>
      </w:tr>
    </w:tbl>
    <w:p w14:paraId="712B9F12">
      <w:pPr>
        <w:spacing w:line="360" w:lineRule="auto"/>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lang w:val="en-US" w:eastAsia="zh-CN"/>
        </w:rPr>
        <w:t>综上所述，项目符合陕西省及</w:t>
      </w:r>
      <w:r>
        <w:rPr>
          <w:rFonts w:hint="eastAsia" w:ascii="Times New Roman" w:hAnsi="Times New Roman" w:cs="Times New Roman"/>
          <w:color w:val="auto"/>
          <w:sz w:val="24"/>
          <w:szCs w:val="24"/>
          <w:highlight w:val="none"/>
          <w:lang w:val="en-US" w:eastAsia="zh-CN"/>
        </w:rPr>
        <w:t>西安市“</w:t>
      </w:r>
      <w:r>
        <w:rPr>
          <w:rFonts w:hint="default" w:ascii="Times New Roman" w:hAnsi="Times New Roman" w:cs="Times New Roman"/>
          <w:color w:val="auto"/>
          <w:sz w:val="24"/>
          <w:szCs w:val="24"/>
          <w:highlight w:val="none"/>
          <w:lang w:val="en-US" w:eastAsia="zh-CN"/>
        </w:rPr>
        <w:t>三线一单</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分区管控方案要求。</w:t>
      </w:r>
    </w:p>
    <w:p w14:paraId="103C007A">
      <w:pPr>
        <w:rPr>
          <w:color w:val="auto"/>
          <w:highlight w:val="none"/>
        </w:rPr>
        <w:sectPr>
          <w:pgSz w:w="16838" w:h="11906" w:orient="landscape"/>
          <w:pgMar w:top="1531" w:right="1701" w:bottom="1531" w:left="1701" w:header="851" w:footer="1077" w:gutter="0"/>
          <w:pgNumType w:fmt="decimal"/>
          <w:cols w:space="720" w:num="1"/>
          <w:docGrid w:linePitch="312" w:charSpace="0"/>
        </w:sectPr>
      </w:pPr>
    </w:p>
    <w:p w14:paraId="29DCA7A0">
      <w:pPr>
        <w:rPr>
          <w:color w:val="auto"/>
          <w:highlight w:val="none"/>
        </w:r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235"/>
      </w:tblGrid>
      <w:tr w14:paraId="2F34A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35" w:type="dxa"/>
            <w:noWrap w:val="0"/>
            <w:vAlign w:val="center"/>
          </w:tcPr>
          <w:p w14:paraId="58DB61DD">
            <w:pPr>
              <w:autoSpaceDE w:val="0"/>
              <w:autoSpaceDN w:val="0"/>
              <w:adjustRightInd w:val="0"/>
              <w:snapToGrid w:val="0"/>
              <w:jc w:val="center"/>
              <w:rPr>
                <w:rFonts w:hint="default" w:ascii="Times New Roman" w:hAnsi="Times New Roman" w:cs="Times New Roman"/>
                <w:color w:val="auto"/>
                <w:kern w:val="0"/>
                <w:sz w:val="24"/>
                <w:szCs w:val="24"/>
                <w:highlight w:val="none"/>
              </w:rPr>
            </w:pPr>
          </w:p>
        </w:tc>
        <w:tc>
          <w:tcPr>
            <w:tcW w:w="8235" w:type="dxa"/>
            <w:noWrap w:val="0"/>
            <w:vAlign w:val="center"/>
          </w:tcPr>
          <w:p w14:paraId="6BC80FC3">
            <w:pPr>
              <w:numPr>
                <w:ilvl w:val="0"/>
                <w:numId w:val="0"/>
              </w:numPr>
              <w:spacing w:line="360" w:lineRule="auto"/>
              <w:ind w:left="0" w:leftChars="0" w:firstLine="0" w:firstLineChars="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3、</w:t>
            </w:r>
            <w:r>
              <w:rPr>
                <w:rFonts w:hint="default" w:ascii="Times New Roman" w:hAnsi="Times New Roman" w:cs="Times New Roman"/>
                <w:b/>
                <w:bCs/>
                <w:color w:val="auto"/>
                <w:sz w:val="24"/>
                <w:szCs w:val="24"/>
                <w:highlight w:val="none"/>
                <w:lang w:val="en-US" w:eastAsia="zh-CN"/>
              </w:rPr>
              <w:t>与相关环保政策符合性分析</w:t>
            </w:r>
          </w:p>
          <w:p w14:paraId="5262417D">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本项目与相关环保政策符合性分析见下表。</w:t>
            </w:r>
          </w:p>
          <w:p w14:paraId="7E8667EC">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表1-</w:t>
            </w:r>
            <w:r>
              <w:rPr>
                <w:rFonts w:hint="eastAsia" w:ascii="Times New Roman" w:hAnsi="Times New Roman"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lang w:val="en-US" w:eastAsia="zh-CN"/>
              </w:rPr>
              <w:t xml:space="preserve"> 本项目与相关环保政策符合性分析</w:t>
            </w:r>
          </w:p>
          <w:tbl>
            <w:tblPr>
              <w:tblStyle w:val="25"/>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06"/>
              <w:gridCol w:w="3604"/>
              <w:gridCol w:w="2340"/>
              <w:gridCol w:w="651"/>
            </w:tblGrid>
            <w:tr w14:paraId="3B1DD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11441FC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文件</w:t>
                  </w:r>
                </w:p>
              </w:tc>
              <w:tc>
                <w:tcPr>
                  <w:tcW w:w="2224" w:type="pct"/>
                  <w:noWrap w:val="0"/>
                  <w:vAlign w:val="center"/>
                </w:tcPr>
                <w:p w14:paraId="2EF629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政策要求</w:t>
                  </w:r>
                </w:p>
              </w:tc>
              <w:tc>
                <w:tcPr>
                  <w:tcW w:w="1444" w:type="pct"/>
                  <w:noWrap w:val="0"/>
                  <w:vAlign w:val="center"/>
                </w:tcPr>
                <w:p w14:paraId="0E79CDD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本项目情况</w:t>
                  </w:r>
                </w:p>
              </w:tc>
              <w:tc>
                <w:tcPr>
                  <w:tcW w:w="401" w:type="pct"/>
                  <w:noWrap w:val="0"/>
                  <w:vAlign w:val="center"/>
                </w:tcPr>
                <w:p w14:paraId="791F4EA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相符性</w:t>
                  </w:r>
                </w:p>
              </w:tc>
            </w:tr>
            <w:tr w14:paraId="1E853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DB96DAC">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《国务院办公厅关于加快构建废弃物循环利用体系的意见》国办发〔2024〕7号</w:t>
                  </w:r>
                </w:p>
                <w:p w14:paraId="7869F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4DF677F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eastAsia" w:ascii="Times New Roman" w:hAnsi="Times New Roman" w:cs="Times New Roman"/>
                      <w:bCs/>
                      <w:color w:val="auto"/>
                      <w:kern w:val="0"/>
                      <w:sz w:val="21"/>
                      <w:szCs w:val="21"/>
                      <w:highlight w:val="none"/>
                      <w:lang w:val="en-GB" w:eastAsia="zh-CN" w:bidi="ar-SA"/>
                    </w:rPr>
                    <w:t>工业</w:t>
                  </w:r>
                  <w:r>
                    <w:rPr>
                      <w:rFonts w:hint="default" w:ascii="Times New Roman" w:hAnsi="Times New Roman" w:eastAsia="宋体" w:cs="Times New Roman"/>
                      <w:bCs/>
                      <w:color w:val="auto"/>
                      <w:kern w:val="0"/>
                      <w:sz w:val="21"/>
                      <w:szCs w:val="21"/>
                      <w:highlight w:val="none"/>
                      <w:lang w:val="en-GB" w:eastAsia="zh-CN" w:bidi="ar-SA"/>
                    </w:rPr>
                    <w:t>产业链合理延伸。支持现有再生资源加工利用项目绿色化、机械化、智能化提质改造。鼓励企业和科研机构加强技术装备研发，支持先进技术推广应用</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73FBDD7C">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GB" w:eastAsia="zh-CN" w:bidi="ar-SA"/>
                    </w:rPr>
                    <w:t>项目采用最新RDF替代燃料技术</w:t>
                  </w:r>
                  <w:r>
                    <w:rPr>
                      <w:rFonts w:hint="eastAsia" w:ascii="Times New Roman" w:hAnsi="Times New Roman" w:eastAsia="宋体" w:cs="Times New Roman"/>
                      <w:bCs/>
                      <w:color w:val="auto"/>
                      <w:kern w:val="0"/>
                      <w:sz w:val="21"/>
                      <w:szCs w:val="21"/>
                      <w:highlight w:val="none"/>
                      <w:lang w:val="en-US" w:eastAsia="zh-CN" w:bidi="ar-SA"/>
                    </w:rPr>
                    <w:t>将</w:t>
                  </w:r>
                  <w:r>
                    <w:rPr>
                      <w:rFonts w:hint="eastAsia" w:ascii="Times New Roman" w:hAnsi="Times New Roman" w:cs="Times New Roman"/>
                      <w:bCs/>
                      <w:color w:val="auto"/>
                      <w:kern w:val="0"/>
                      <w:sz w:val="21"/>
                      <w:szCs w:val="21"/>
                      <w:highlight w:val="none"/>
                      <w:lang w:val="en-US" w:eastAsia="zh-CN" w:bidi="ar-SA"/>
                    </w:rPr>
                    <w:t>有热值的</w:t>
                  </w:r>
                  <w:r>
                    <w:rPr>
                      <w:rFonts w:hint="default" w:ascii="Times New Roman" w:hAnsi="Times New Roman" w:eastAsia="宋体" w:cs="Times New Roman"/>
                      <w:bCs/>
                      <w:color w:val="auto"/>
                      <w:kern w:val="0"/>
                      <w:sz w:val="21"/>
                      <w:szCs w:val="21"/>
                      <w:highlight w:val="none"/>
                      <w:lang w:val="en-GB" w:eastAsia="zh-CN" w:bidi="ar-SA"/>
                    </w:rPr>
                    <w:t>一般固废（工业固废、生活垃圾（废纸、废塑料、废纺织物、报废家具、园林垃圾、废包装物）、建筑垃圾中的轻浮物、农业固体废物）</w:t>
                  </w:r>
                  <w:r>
                    <w:rPr>
                      <w:rFonts w:hint="eastAsia" w:ascii="Times New Roman" w:hAnsi="Times New Roman" w:eastAsia="宋体" w:cs="Times New Roman"/>
                      <w:bCs/>
                      <w:color w:val="auto"/>
                      <w:kern w:val="0"/>
                      <w:sz w:val="21"/>
                      <w:szCs w:val="21"/>
                      <w:highlight w:val="none"/>
                      <w:lang w:val="en-US" w:eastAsia="zh-CN" w:bidi="ar-SA"/>
                    </w:rPr>
                    <w:t>加工成RDF燃料。</w:t>
                  </w:r>
                </w:p>
              </w:tc>
              <w:tc>
                <w:tcPr>
                  <w:tcW w:w="401" w:type="pct"/>
                  <w:noWrap w:val="0"/>
                  <w:vAlign w:val="center"/>
                </w:tcPr>
                <w:p w14:paraId="54AA21A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1E87E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41CD7203">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highlight w:val="none"/>
                      <w:lang w:val="en" w:eastAsia="zh-CN" w:bidi="ar-SA"/>
                    </w:rPr>
                  </w:pPr>
                  <w:r>
                    <w:rPr>
                      <w:rFonts w:hint="default" w:ascii="Times New Roman" w:hAnsi="Times New Roman" w:eastAsia="宋体" w:cs="Times New Roman"/>
                      <w:color w:val="auto"/>
                      <w:kern w:val="0"/>
                      <w:sz w:val="21"/>
                      <w:szCs w:val="21"/>
                      <w:highlight w:val="none"/>
                      <w:lang w:val="en-US" w:eastAsia="zh-CN" w:bidi="ar"/>
                    </w:rPr>
                    <w:t>生态环境部关于《进一步加强塑料污染治理的意见》（发改环资〔2020〕80号）</w:t>
                  </w:r>
                </w:p>
              </w:tc>
              <w:tc>
                <w:tcPr>
                  <w:tcW w:w="2224" w:type="pct"/>
                  <w:noWrap w:val="0"/>
                  <w:vAlign w:val="center"/>
                </w:tcPr>
                <w:p w14:paraId="0F9828B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color w:val="auto"/>
                      <w:kern w:val="0"/>
                      <w:sz w:val="21"/>
                      <w:szCs w:val="21"/>
                      <w:highlight w:val="none"/>
                      <w:lang w:val="en-US" w:eastAsia="zh-CN" w:bidi="ar"/>
                    </w:rPr>
                    <w:t>禁止、限制部分塑料制品的生产、销售和使用；规范塑料废弃物回收利用和处置。</w:t>
                  </w:r>
                </w:p>
              </w:tc>
              <w:tc>
                <w:tcPr>
                  <w:tcW w:w="1444" w:type="pct"/>
                  <w:noWrap w:val="0"/>
                  <w:vAlign w:val="center"/>
                </w:tcPr>
                <w:p w14:paraId="7AB29EB7">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color w:val="auto"/>
                      <w:sz w:val="21"/>
                      <w:szCs w:val="21"/>
                      <w:highlight w:val="none"/>
                      <w:lang w:val="en-US" w:eastAsia="zh-CN"/>
                    </w:rPr>
                    <w:t>本项目</w:t>
                  </w:r>
                  <w:r>
                    <w:rPr>
                      <w:rFonts w:hint="eastAsia" w:ascii="Times New Roman" w:hAnsi="Times New Roman" w:eastAsia="宋体" w:cs="Times New Roman"/>
                      <w:color w:val="auto"/>
                      <w:sz w:val="21"/>
                      <w:szCs w:val="21"/>
                      <w:highlight w:val="none"/>
                      <w:lang w:val="en-US" w:eastAsia="zh-CN"/>
                    </w:rPr>
                    <w:t>原料、产品</w:t>
                  </w:r>
                  <w:r>
                    <w:rPr>
                      <w:rFonts w:hint="default" w:ascii="Times New Roman" w:hAnsi="Times New Roman" w:eastAsia="宋体" w:cs="Times New Roman"/>
                      <w:color w:val="auto"/>
                      <w:sz w:val="21"/>
                      <w:szCs w:val="21"/>
                      <w:highlight w:val="none"/>
                      <w:lang w:val="en-US" w:eastAsia="zh-CN"/>
                    </w:rPr>
                    <w:t>均不属于禁止、限制塑料制品；</w:t>
                  </w:r>
                  <w:r>
                    <w:rPr>
                      <w:rFonts w:hint="eastAsia" w:ascii="Times New Roman" w:hAnsi="Times New Roman" w:eastAsia="宋体" w:cs="Times New Roman"/>
                      <w:color w:val="auto"/>
                      <w:sz w:val="21"/>
                      <w:szCs w:val="21"/>
                      <w:highlight w:val="none"/>
                      <w:lang w:val="en-US" w:eastAsia="zh-CN"/>
                    </w:rPr>
                    <w:t>项目运营期不产生</w:t>
                  </w:r>
                  <w:r>
                    <w:rPr>
                      <w:rFonts w:hint="default" w:ascii="Times New Roman" w:hAnsi="Times New Roman" w:eastAsia="宋体" w:cs="Times New Roman"/>
                      <w:color w:val="auto"/>
                      <w:kern w:val="0"/>
                      <w:sz w:val="21"/>
                      <w:szCs w:val="21"/>
                      <w:highlight w:val="none"/>
                      <w:lang w:val="en-US" w:eastAsia="zh-CN" w:bidi="ar"/>
                    </w:rPr>
                    <w:t>塑料废弃物</w:t>
                  </w:r>
                  <w:r>
                    <w:rPr>
                      <w:rFonts w:hint="default" w:ascii="Times New Roman" w:hAnsi="Times New Roman" w:eastAsia="宋体" w:cs="Times New Roman"/>
                      <w:color w:val="auto"/>
                      <w:sz w:val="21"/>
                      <w:szCs w:val="21"/>
                      <w:highlight w:val="none"/>
                      <w:lang w:val="en-US" w:eastAsia="zh-CN"/>
                    </w:rPr>
                    <w:t>。</w:t>
                  </w:r>
                </w:p>
              </w:tc>
              <w:tc>
                <w:tcPr>
                  <w:tcW w:w="401" w:type="pct"/>
                  <w:noWrap w:val="0"/>
                  <w:vAlign w:val="center"/>
                </w:tcPr>
                <w:p w14:paraId="1C88762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3DAD4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2FBF399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关于</w:t>
                  </w:r>
                  <w:r>
                    <w:rPr>
                      <w:rFonts w:hint="eastAsia" w:ascii="Times New Roman" w:hAnsi="Times New Roman" w:eastAsia="宋体" w:cs="Times New Roman"/>
                      <w:bCs/>
                      <w:color w:val="auto"/>
                      <w:kern w:val="0"/>
                      <w:sz w:val="21"/>
                      <w:szCs w:val="21"/>
                      <w:highlight w:val="none"/>
                      <w:lang w:val="en-GB" w:eastAsia="zh-CN" w:bidi="ar-SA"/>
                    </w:rPr>
                    <w:t>“</w:t>
                  </w:r>
                  <w:r>
                    <w:rPr>
                      <w:rFonts w:hint="default" w:ascii="Times New Roman" w:hAnsi="Times New Roman" w:eastAsia="宋体" w:cs="Times New Roman"/>
                      <w:bCs/>
                      <w:color w:val="auto"/>
                      <w:kern w:val="0"/>
                      <w:sz w:val="21"/>
                      <w:szCs w:val="21"/>
                      <w:highlight w:val="none"/>
                      <w:lang w:val="en-GB" w:eastAsia="zh-CN" w:bidi="ar-SA"/>
                    </w:rPr>
                    <w:t>十四五</w:t>
                  </w:r>
                  <w:r>
                    <w:rPr>
                      <w:rFonts w:hint="eastAsia" w:ascii="Times New Roman" w:hAnsi="Times New Roman" w:eastAsia="宋体" w:cs="Times New Roman"/>
                      <w:bCs/>
                      <w:color w:val="auto"/>
                      <w:kern w:val="0"/>
                      <w:sz w:val="21"/>
                      <w:szCs w:val="21"/>
                      <w:highlight w:val="none"/>
                      <w:lang w:val="en-GB" w:eastAsia="zh-CN" w:bidi="ar-SA"/>
                    </w:rPr>
                    <w:t>”</w:t>
                  </w:r>
                  <w:r>
                    <w:rPr>
                      <w:rFonts w:hint="default" w:ascii="Times New Roman" w:hAnsi="Times New Roman" w:eastAsia="宋体" w:cs="Times New Roman"/>
                      <w:bCs/>
                      <w:color w:val="auto"/>
                      <w:kern w:val="0"/>
                      <w:sz w:val="21"/>
                      <w:szCs w:val="21"/>
                      <w:highlight w:val="none"/>
                      <w:lang w:val="en-GB" w:eastAsia="zh-CN" w:bidi="ar-SA"/>
                    </w:rPr>
                    <w:t>大宗固体废弃物综合利用的指导意见（发改环资〔2021〕381号）</w:t>
                  </w:r>
                </w:p>
                <w:p w14:paraId="63CE27CA">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6F636A2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鼓励企业积极开展工业固体废物资源综合利用评价，不断健全评价机制，加强评价机构能力建设，规范评价机构运行管理，积极推动评价结果采信，引导企业提高资源综合利用产品质量</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00BD95A9">
                  <w:pPr>
                    <w:pStyle w:val="61"/>
                    <w:keepNext w:val="0"/>
                    <w:keepLines w:val="0"/>
                    <w:pageBreakBefore w:val="0"/>
                    <w:widowControl w:val="0"/>
                    <w:kinsoku/>
                    <w:wordWrap w:val="0"/>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GB" w:eastAsia="zh-CN" w:bidi="ar-SA"/>
                    </w:rPr>
                    <w:t>项目原料主要</w:t>
                  </w:r>
                  <w:r>
                    <w:rPr>
                      <w:rFonts w:hint="eastAsia" w:ascii="Times New Roman" w:hAnsi="Times New Roman" w:cs="Times New Roman"/>
                      <w:bCs/>
                      <w:color w:val="auto"/>
                      <w:kern w:val="0"/>
                      <w:sz w:val="21"/>
                      <w:szCs w:val="21"/>
                      <w:highlight w:val="none"/>
                      <w:lang w:val="en-US" w:eastAsia="zh-CN" w:bidi="ar-SA"/>
                    </w:rPr>
                    <w:t>为有热值的</w:t>
                  </w:r>
                  <w:r>
                    <w:rPr>
                      <w:rFonts w:hint="default" w:ascii="Times New Roman" w:hAnsi="Times New Roman" w:eastAsia="宋体" w:cs="Times New Roman"/>
                      <w:bCs/>
                      <w:color w:val="auto"/>
                      <w:kern w:val="0"/>
                      <w:sz w:val="21"/>
                      <w:szCs w:val="21"/>
                      <w:highlight w:val="none"/>
                      <w:lang w:val="en-GB" w:eastAsia="zh-CN" w:bidi="ar-SA"/>
                    </w:rPr>
                    <w:t>一般固废（工业固废、生活垃圾（废纸、废塑料、废纺织物、报废家具、园林垃圾、废包装物）、建筑垃圾中的轻浮物、农业固体废物）</w:t>
                  </w:r>
                  <w:r>
                    <w:rPr>
                      <w:rFonts w:hint="eastAsia" w:ascii="Times New Roman" w:hAnsi="Times New Roman" w:eastAsia="宋体" w:cs="Times New Roman"/>
                      <w:bCs/>
                      <w:color w:val="auto"/>
                      <w:kern w:val="0"/>
                      <w:sz w:val="21"/>
                      <w:szCs w:val="21"/>
                      <w:highlight w:val="none"/>
                      <w:lang w:val="en-GB" w:eastAsia="zh-CN" w:bidi="ar-SA"/>
                    </w:rPr>
                    <w:t>。</w:t>
                  </w:r>
                  <w:r>
                    <w:rPr>
                      <w:rFonts w:hint="eastAsia" w:ascii="Times New Roman" w:hAnsi="Times New Roman" w:eastAsia="宋体" w:cs="Times New Roman"/>
                      <w:bCs/>
                      <w:color w:val="auto"/>
                      <w:kern w:val="0"/>
                      <w:sz w:val="21"/>
                      <w:szCs w:val="21"/>
                      <w:highlight w:val="none"/>
                      <w:lang w:val="en-US" w:eastAsia="zh-CN" w:bidi="ar-SA"/>
                    </w:rPr>
                    <w:t>将可燃物</w:t>
                  </w:r>
                  <w:r>
                    <w:rPr>
                      <w:rFonts w:hint="default" w:ascii="Times New Roman" w:hAnsi="Times New Roman" w:eastAsia="宋体" w:cs="Times New Roman"/>
                      <w:bCs/>
                      <w:color w:val="auto"/>
                      <w:kern w:val="0"/>
                      <w:sz w:val="21"/>
                      <w:szCs w:val="21"/>
                      <w:highlight w:val="none"/>
                      <w:lang w:val="en-GB" w:eastAsia="zh-CN" w:bidi="ar-SA"/>
                    </w:rPr>
                    <w:t>采用最新RDF替代燃料技术，生产RDF替代燃料</w:t>
                  </w:r>
                  <w:r>
                    <w:rPr>
                      <w:rFonts w:hint="eastAsia" w:ascii="Times New Roman" w:hAnsi="Times New Roman" w:eastAsia="宋体" w:cs="Times New Roman"/>
                      <w:bCs/>
                      <w:color w:val="auto"/>
                      <w:kern w:val="0"/>
                      <w:sz w:val="21"/>
                      <w:szCs w:val="21"/>
                      <w:highlight w:val="none"/>
                      <w:lang w:val="en-GB" w:eastAsia="zh-CN" w:bidi="ar-SA"/>
                    </w:rPr>
                    <w:t>（</w:t>
                  </w:r>
                  <w:r>
                    <w:rPr>
                      <w:rFonts w:hint="eastAsia" w:ascii="Times New Roman" w:hAnsi="Times New Roman" w:eastAsia="宋体" w:cs="Times New Roman"/>
                      <w:bCs/>
                      <w:color w:val="auto"/>
                      <w:kern w:val="0"/>
                      <w:sz w:val="21"/>
                      <w:szCs w:val="21"/>
                      <w:highlight w:val="none"/>
                      <w:lang w:val="en-US" w:eastAsia="zh-CN" w:bidi="ar-SA"/>
                    </w:rPr>
                    <w:t>生产</w:t>
                  </w:r>
                  <w:r>
                    <w:rPr>
                      <w:rFonts w:hint="default" w:ascii="Times New Roman" w:hAnsi="Times New Roman" w:eastAsia="宋体" w:cs="Times New Roman"/>
                      <w:bCs/>
                      <w:color w:val="auto"/>
                      <w:kern w:val="0"/>
                      <w:sz w:val="21"/>
                      <w:szCs w:val="21"/>
                      <w:highlight w:val="none"/>
                      <w:lang w:val="en-GB" w:eastAsia="zh-CN" w:bidi="ar-SA"/>
                    </w:rPr>
                    <w:t>产品参照《固体替代燃料定义与分类》（T/CIC046-2021）和《固体替代燃料制备技术规范》（T/CIC47-2021）</w:t>
                  </w:r>
                  <w:r>
                    <w:rPr>
                      <w:rFonts w:hint="eastAsia" w:ascii="Times New Roman" w:hAnsi="Times New Roman" w:eastAsia="宋体" w:cs="Times New Roman"/>
                      <w:bCs/>
                      <w:color w:val="auto"/>
                      <w:kern w:val="0"/>
                      <w:sz w:val="21"/>
                      <w:szCs w:val="21"/>
                      <w:highlight w:val="none"/>
                      <w:lang w:val="en-GB" w:eastAsia="zh-CN" w:bidi="ar-SA"/>
                    </w:rPr>
                    <w:t>）</w:t>
                  </w:r>
                  <w:r>
                    <w:rPr>
                      <w:rFonts w:hint="eastAsia" w:ascii="Times New Roman" w:hAnsi="Times New Roman" w:cs="Times New Roman"/>
                      <w:bCs/>
                      <w:color w:val="auto"/>
                      <w:kern w:val="0"/>
                      <w:sz w:val="21"/>
                      <w:szCs w:val="21"/>
                      <w:highlight w:val="none"/>
                      <w:lang w:eastAsia="zh-CN"/>
                    </w:rPr>
                    <w:t>。</w:t>
                  </w:r>
                </w:p>
              </w:tc>
              <w:tc>
                <w:tcPr>
                  <w:tcW w:w="401" w:type="pct"/>
                  <w:noWrap w:val="0"/>
                  <w:vAlign w:val="center"/>
                </w:tcPr>
                <w:p w14:paraId="38F52E3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7B4B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4A428EDA">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《中华人民共和国固体废物污染环境防治法》</w:t>
                  </w:r>
                </w:p>
                <w:p w14:paraId="73FC0F88">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526A0312">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产生、收集、贮存、运输、利用、处置固体废物的单位和其他生产经营者，应当采取防扬散、防流失、防渗漏或者其他防止污染环境的措施，不得擅自倾倒、堆放、丢弃、遗撒固体废物</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43CD4F6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GB" w:eastAsia="zh-CN" w:bidi="ar-SA"/>
                    </w:rPr>
                    <w:t>项目</w:t>
                  </w:r>
                  <w:r>
                    <w:rPr>
                      <w:rFonts w:hint="eastAsia" w:ascii="Times New Roman" w:hAnsi="Times New Roman" w:eastAsia="宋体" w:cs="Times New Roman"/>
                      <w:bCs/>
                      <w:color w:val="auto"/>
                      <w:kern w:val="0"/>
                      <w:sz w:val="21"/>
                      <w:szCs w:val="21"/>
                      <w:highlight w:val="none"/>
                      <w:lang w:val="en-US" w:eastAsia="zh-CN" w:bidi="ar-SA"/>
                    </w:rPr>
                    <w:t>在</w:t>
                  </w:r>
                  <w:r>
                    <w:rPr>
                      <w:rFonts w:hint="default" w:ascii="Times New Roman" w:hAnsi="Times New Roman" w:eastAsia="宋体" w:cs="Times New Roman"/>
                      <w:bCs/>
                      <w:color w:val="auto"/>
                      <w:kern w:val="0"/>
                      <w:sz w:val="21"/>
                      <w:szCs w:val="21"/>
                      <w:highlight w:val="none"/>
                      <w:lang w:val="en-GB" w:eastAsia="zh-CN" w:bidi="ar-SA"/>
                    </w:rPr>
                    <w:t>收集、贮存、运输</w:t>
                  </w:r>
                  <w:r>
                    <w:rPr>
                      <w:rFonts w:hint="eastAsia" w:ascii="Times New Roman" w:hAnsi="Times New Roman" w:eastAsia="宋体" w:cs="Times New Roman"/>
                      <w:bCs/>
                      <w:color w:val="auto"/>
                      <w:kern w:val="0"/>
                      <w:sz w:val="21"/>
                      <w:szCs w:val="21"/>
                      <w:highlight w:val="none"/>
                      <w:lang w:val="en-US" w:eastAsia="zh-CN" w:bidi="ar-SA"/>
                    </w:rPr>
                    <w:t>一般固体过程中做好</w:t>
                  </w:r>
                  <w:r>
                    <w:rPr>
                      <w:rFonts w:hint="default" w:ascii="Times New Roman" w:hAnsi="Times New Roman" w:eastAsia="宋体" w:cs="Times New Roman"/>
                      <w:bCs/>
                      <w:color w:val="auto"/>
                      <w:kern w:val="0"/>
                      <w:sz w:val="21"/>
                      <w:szCs w:val="21"/>
                      <w:highlight w:val="none"/>
                      <w:lang w:val="en-GB" w:eastAsia="zh-CN" w:bidi="ar-SA"/>
                    </w:rPr>
                    <w:t>防扬散、防流失、防渗漏</w:t>
                  </w:r>
                  <w:r>
                    <w:rPr>
                      <w:rFonts w:hint="eastAsia" w:ascii="Times New Roman" w:hAnsi="Times New Roman" w:eastAsia="宋体" w:cs="Times New Roman"/>
                      <w:bCs/>
                      <w:color w:val="auto"/>
                      <w:kern w:val="0"/>
                      <w:sz w:val="21"/>
                      <w:szCs w:val="21"/>
                      <w:highlight w:val="none"/>
                      <w:lang w:val="en-US" w:eastAsia="zh-CN" w:bidi="ar-SA"/>
                    </w:rPr>
                    <w:t>等措施。</w:t>
                  </w:r>
                </w:p>
              </w:tc>
              <w:tc>
                <w:tcPr>
                  <w:tcW w:w="401" w:type="pct"/>
                  <w:noWrap w:val="0"/>
                  <w:vAlign w:val="center"/>
                </w:tcPr>
                <w:p w14:paraId="68428EB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3DC3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5065EABB">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20979EB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在生态保护红线区域、永久基本农田集中区域和其他需要特别保护的区域内，禁止建设工业固体废物、危险废物集中贮存、利用、处置的设施、场所和生活垃圾填埋场</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56BCF371">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根据</w:t>
                  </w:r>
                  <w:r>
                    <w:rPr>
                      <w:rFonts w:hint="eastAsia" w:ascii="Times New Roman" w:hAnsi="Times New Roman" w:eastAsia="宋体" w:cs="Times New Roman"/>
                      <w:bCs/>
                      <w:color w:val="auto"/>
                      <w:kern w:val="0"/>
                      <w:sz w:val="21"/>
                      <w:szCs w:val="21"/>
                      <w:highlight w:val="none"/>
                      <w:lang w:val="en-GB" w:eastAsia="zh-CN" w:bidi="ar-SA"/>
                    </w:rPr>
                    <w:t>“</w:t>
                  </w:r>
                  <w:r>
                    <w:rPr>
                      <w:rFonts w:hint="default" w:ascii="Times New Roman" w:hAnsi="Times New Roman" w:eastAsia="宋体" w:cs="Times New Roman"/>
                      <w:bCs/>
                      <w:color w:val="auto"/>
                      <w:kern w:val="0"/>
                      <w:sz w:val="21"/>
                      <w:szCs w:val="21"/>
                      <w:highlight w:val="none"/>
                      <w:lang w:val="en-GB" w:eastAsia="zh-CN" w:bidi="ar-SA"/>
                    </w:rPr>
                    <w:t>三线一单</w:t>
                  </w:r>
                  <w:r>
                    <w:rPr>
                      <w:rFonts w:hint="eastAsia" w:ascii="Times New Roman" w:hAnsi="Times New Roman" w:eastAsia="宋体" w:cs="Times New Roman"/>
                      <w:bCs/>
                      <w:color w:val="auto"/>
                      <w:kern w:val="0"/>
                      <w:sz w:val="21"/>
                      <w:szCs w:val="21"/>
                      <w:highlight w:val="none"/>
                      <w:lang w:val="en-GB" w:eastAsia="zh-CN" w:bidi="ar-SA"/>
                    </w:rPr>
                    <w:t>”</w:t>
                  </w:r>
                  <w:r>
                    <w:rPr>
                      <w:rFonts w:hint="default" w:ascii="Times New Roman" w:hAnsi="Times New Roman" w:eastAsia="宋体" w:cs="Times New Roman"/>
                      <w:bCs/>
                      <w:color w:val="auto"/>
                      <w:kern w:val="0"/>
                      <w:sz w:val="21"/>
                      <w:szCs w:val="21"/>
                      <w:highlight w:val="none"/>
                      <w:lang w:val="en-GB" w:eastAsia="zh-CN" w:bidi="ar-SA"/>
                    </w:rPr>
                    <w:t>可知，本项目位于</w:t>
                  </w:r>
                  <w:r>
                    <w:rPr>
                      <w:rFonts w:hint="eastAsia" w:ascii="Times New Roman" w:hAnsi="Times New Roman" w:eastAsia="宋体" w:cs="Times New Roman"/>
                      <w:bCs/>
                      <w:color w:val="auto"/>
                      <w:kern w:val="0"/>
                      <w:sz w:val="21"/>
                      <w:szCs w:val="21"/>
                      <w:highlight w:val="none"/>
                      <w:lang w:val="en-US" w:eastAsia="zh-CN" w:bidi="ar-SA"/>
                    </w:rPr>
                    <w:t>重点</w:t>
                  </w:r>
                  <w:r>
                    <w:rPr>
                      <w:rFonts w:hint="default" w:ascii="Times New Roman" w:hAnsi="Times New Roman" w:eastAsia="宋体" w:cs="Times New Roman"/>
                      <w:bCs/>
                      <w:color w:val="auto"/>
                      <w:kern w:val="0"/>
                      <w:sz w:val="21"/>
                      <w:szCs w:val="21"/>
                      <w:highlight w:val="none"/>
                      <w:lang w:val="en-GB" w:eastAsia="zh-CN" w:bidi="ar-SA"/>
                    </w:rPr>
                    <w:t>管控单元。项目用地为工业用地，不在生态保护红线区域、永久基本农田集中区域和其他需要特别保护的区域内</w:t>
                  </w:r>
                  <w:r>
                    <w:rPr>
                      <w:rFonts w:hint="eastAsia" w:ascii="Times New Roman" w:hAnsi="Times New Roman" w:eastAsia="宋体" w:cs="Times New Roman"/>
                      <w:bCs/>
                      <w:color w:val="auto"/>
                      <w:kern w:val="0"/>
                      <w:sz w:val="21"/>
                      <w:szCs w:val="21"/>
                      <w:highlight w:val="none"/>
                      <w:lang w:val="en-GB" w:eastAsia="zh-CN" w:bidi="ar-SA"/>
                    </w:rPr>
                    <w:t>。</w:t>
                  </w:r>
                </w:p>
              </w:tc>
              <w:tc>
                <w:tcPr>
                  <w:tcW w:w="401" w:type="pct"/>
                  <w:noWrap w:val="0"/>
                  <w:vAlign w:val="center"/>
                </w:tcPr>
                <w:p w14:paraId="57BCE51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5D02D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33821AC3">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5577777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转移固体废物出省、自治区、直辖市行政区域贮存、处置的，应当向固体废物移出地的省、自治区、直辖市人民政府生态环境主管部门提出申请。移出地的省、自治区、直辖市人民政府生态环境主管部门应当及时经接受地的省、自治区、直辖市人民政府生态环境主管部门同意后，在规定期限内批准转移该固体废物出省、自治区、直辖市行政区域。未经批准的，不得转移</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0C6D4AF8">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本项目</w:t>
                  </w:r>
                  <w:r>
                    <w:rPr>
                      <w:rFonts w:hint="eastAsia" w:ascii="Times New Roman" w:hAnsi="Times New Roman" w:eastAsia="宋体" w:cs="Times New Roman"/>
                      <w:bCs/>
                      <w:color w:val="auto"/>
                      <w:kern w:val="0"/>
                      <w:sz w:val="21"/>
                      <w:szCs w:val="21"/>
                      <w:highlight w:val="none"/>
                      <w:lang w:val="en-US" w:eastAsia="zh-CN" w:bidi="ar-SA"/>
                    </w:rPr>
                    <w:t>原料</w:t>
                  </w:r>
                  <w:r>
                    <w:rPr>
                      <w:rFonts w:hint="default" w:ascii="Times New Roman" w:hAnsi="Times New Roman" w:eastAsia="宋体" w:cs="Times New Roman"/>
                      <w:bCs/>
                      <w:color w:val="auto"/>
                      <w:kern w:val="0"/>
                      <w:sz w:val="21"/>
                      <w:szCs w:val="21"/>
                      <w:highlight w:val="none"/>
                      <w:lang w:val="en-GB" w:eastAsia="zh-CN" w:bidi="ar-SA"/>
                    </w:rPr>
                    <w:t>为一般固体废物，</w:t>
                  </w:r>
                  <w:r>
                    <w:rPr>
                      <w:rFonts w:hint="eastAsia"/>
                      <w:color w:val="auto"/>
                      <w:sz w:val="21"/>
                      <w:szCs w:val="21"/>
                      <w:lang w:val="en-US" w:eastAsia="zh-CN"/>
                    </w:rPr>
                    <w:t>来自泾河新城及周边地区</w:t>
                  </w:r>
                  <w:r>
                    <w:rPr>
                      <w:rFonts w:hint="eastAsia" w:ascii="Times New Roman" w:hAnsi="Times New Roman" w:eastAsia="宋体" w:cs="Times New Roman"/>
                      <w:bCs/>
                      <w:color w:val="auto"/>
                      <w:kern w:val="0"/>
                      <w:sz w:val="21"/>
                      <w:szCs w:val="21"/>
                      <w:highlight w:val="none"/>
                      <w:lang w:val="en-GB" w:eastAsia="zh-CN" w:bidi="ar-SA"/>
                    </w:rPr>
                    <w:t>企业。</w:t>
                  </w:r>
                </w:p>
              </w:tc>
              <w:tc>
                <w:tcPr>
                  <w:tcW w:w="401" w:type="pct"/>
                  <w:noWrap w:val="0"/>
                  <w:vAlign w:val="center"/>
                </w:tcPr>
                <w:p w14:paraId="1A38781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61EF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6519EE02">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GB" w:eastAsia="zh-CN" w:bidi="ar-SA"/>
                    </w:rPr>
                    <w:t>《陕西省固体废物污染环境防治条例》</w:t>
                  </w:r>
                  <w:r>
                    <w:rPr>
                      <w:rFonts w:hint="eastAsia" w:ascii="Times New Roman" w:hAnsi="Times New Roman" w:eastAsia="宋体" w:cs="Times New Roman"/>
                      <w:bCs/>
                      <w:color w:val="auto"/>
                      <w:kern w:val="0"/>
                      <w:sz w:val="21"/>
                      <w:szCs w:val="21"/>
                      <w:highlight w:val="none"/>
                      <w:lang w:val="en-US" w:eastAsia="zh-CN" w:bidi="ar-SA"/>
                    </w:rPr>
                    <w:t>2021年修订</w:t>
                  </w:r>
                </w:p>
              </w:tc>
              <w:tc>
                <w:tcPr>
                  <w:tcW w:w="2224" w:type="pct"/>
                  <w:noWrap w:val="0"/>
                  <w:vAlign w:val="center"/>
                </w:tcPr>
                <w:p w14:paraId="37CBE02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产生、收集、贮存、运输、利用、处置固体废物的单位，应当采取符合技术规范、合格有效的防扬散、防流失、防渗漏或者其他防止污染环境的措施</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7264675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项目</w:t>
                  </w:r>
                  <w:r>
                    <w:rPr>
                      <w:rFonts w:hint="eastAsia" w:ascii="Times New Roman" w:hAnsi="Times New Roman" w:eastAsia="宋体" w:cs="Times New Roman"/>
                      <w:bCs/>
                      <w:color w:val="auto"/>
                      <w:kern w:val="0"/>
                      <w:sz w:val="21"/>
                      <w:szCs w:val="21"/>
                      <w:highlight w:val="none"/>
                      <w:lang w:val="en-US" w:eastAsia="zh-CN" w:bidi="ar-SA"/>
                    </w:rPr>
                    <w:t>在</w:t>
                  </w:r>
                  <w:r>
                    <w:rPr>
                      <w:rFonts w:hint="default" w:ascii="Times New Roman" w:hAnsi="Times New Roman" w:eastAsia="宋体" w:cs="Times New Roman"/>
                      <w:bCs/>
                      <w:color w:val="auto"/>
                      <w:kern w:val="0"/>
                      <w:sz w:val="21"/>
                      <w:szCs w:val="21"/>
                      <w:highlight w:val="none"/>
                      <w:lang w:val="en-GB" w:eastAsia="zh-CN" w:bidi="ar-SA"/>
                    </w:rPr>
                    <w:t>收集、贮存、运输</w:t>
                  </w:r>
                  <w:r>
                    <w:rPr>
                      <w:rFonts w:hint="eastAsia" w:ascii="Times New Roman" w:hAnsi="Times New Roman" w:eastAsia="宋体" w:cs="Times New Roman"/>
                      <w:bCs/>
                      <w:color w:val="auto"/>
                      <w:kern w:val="0"/>
                      <w:sz w:val="21"/>
                      <w:szCs w:val="21"/>
                      <w:highlight w:val="none"/>
                      <w:lang w:val="en-US" w:eastAsia="zh-CN" w:bidi="ar-SA"/>
                    </w:rPr>
                    <w:t>一般固体</w:t>
                  </w:r>
                  <w:r>
                    <w:rPr>
                      <w:rFonts w:hint="eastAsia" w:ascii="Times New Roman" w:hAnsi="Times New Roman" w:cs="Times New Roman"/>
                      <w:bCs/>
                      <w:color w:val="auto"/>
                      <w:kern w:val="0"/>
                      <w:sz w:val="21"/>
                      <w:szCs w:val="21"/>
                      <w:highlight w:val="none"/>
                      <w:lang w:val="en-US" w:eastAsia="zh-CN" w:bidi="ar-SA"/>
                    </w:rPr>
                    <w:t>废物</w:t>
                  </w:r>
                  <w:r>
                    <w:rPr>
                      <w:rFonts w:hint="eastAsia" w:ascii="Times New Roman" w:hAnsi="Times New Roman" w:eastAsia="宋体" w:cs="Times New Roman"/>
                      <w:bCs/>
                      <w:color w:val="auto"/>
                      <w:kern w:val="0"/>
                      <w:sz w:val="21"/>
                      <w:szCs w:val="21"/>
                      <w:highlight w:val="none"/>
                      <w:lang w:val="en-US" w:eastAsia="zh-CN" w:bidi="ar-SA"/>
                    </w:rPr>
                    <w:t>过程中做好</w:t>
                  </w:r>
                  <w:r>
                    <w:rPr>
                      <w:rFonts w:hint="default" w:ascii="Times New Roman" w:hAnsi="Times New Roman" w:eastAsia="宋体" w:cs="Times New Roman"/>
                      <w:bCs/>
                      <w:color w:val="auto"/>
                      <w:kern w:val="0"/>
                      <w:sz w:val="21"/>
                      <w:szCs w:val="21"/>
                      <w:highlight w:val="none"/>
                      <w:lang w:val="en-GB" w:eastAsia="zh-CN" w:bidi="ar-SA"/>
                    </w:rPr>
                    <w:t>防扬散、防流失、防渗漏</w:t>
                  </w:r>
                  <w:r>
                    <w:rPr>
                      <w:rFonts w:hint="eastAsia" w:ascii="Times New Roman" w:hAnsi="Times New Roman" w:eastAsia="宋体" w:cs="Times New Roman"/>
                      <w:bCs/>
                      <w:color w:val="auto"/>
                      <w:kern w:val="0"/>
                      <w:sz w:val="21"/>
                      <w:szCs w:val="21"/>
                      <w:highlight w:val="none"/>
                      <w:lang w:val="en-US" w:eastAsia="zh-CN" w:bidi="ar-SA"/>
                    </w:rPr>
                    <w:t>等措施。</w:t>
                  </w:r>
                </w:p>
              </w:tc>
              <w:tc>
                <w:tcPr>
                  <w:tcW w:w="401" w:type="pct"/>
                  <w:noWrap w:val="0"/>
                  <w:vAlign w:val="center"/>
                </w:tcPr>
                <w:p w14:paraId="2C3E09F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4499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76D7370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3BE44A5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产生工业固体废物的单位应当向县级生态环境行政主管部门提供工业固体废物的种类、数量、流向、贮存、利用、处置等有关资料，以及减少工业固体废物产生、促进综合利用的具体措施，并执行排污许可管理制度的相关规定</w:t>
                  </w:r>
                  <w:r>
                    <w:rPr>
                      <w:rFonts w:hint="eastAsia" w:ascii="Times New Roman" w:hAnsi="Times New Roman" w:eastAsia="宋体" w:cs="Times New Roman"/>
                      <w:bCs/>
                      <w:color w:val="auto"/>
                      <w:kern w:val="0"/>
                      <w:sz w:val="21"/>
                      <w:szCs w:val="21"/>
                      <w:highlight w:val="none"/>
                      <w:lang w:val="en-GB" w:eastAsia="zh-CN" w:bidi="ar-SA"/>
                    </w:rPr>
                    <w:t>。</w:t>
                  </w:r>
                </w:p>
              </w:tc>
              <w:tc>
                <w:tcPr>
                  <w:tcW w:w="1444" w:type="pct"/>
                  <w:noWrap w:val="0"/>
                  <w:vAlign w:val="center"/>
                </w:tcPr>
                <w:p w14:paraId="50BA3E40">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GB" w:eastAsia="zh-CN" w:bidi="ar-SA"/>
                    </w:rPr>
                    <w:t>企业建立健全</w:t>
                  </w:r>
                  <w:r>
                    <w:rPr>
                      <w:rFonts w:hint="eastAsia" w:ascii="Times New Roman" w:hAnsi="Times New Roman" w:eastAsia="宋体" w:cs="Times New Roman"/>
                      <w:bCs/>
                      <w:color w:val="auto"/>
                      <w:kern w:val="0"/>
                      <w:sz w:val="21"/>
                      <w:szCs w:val="21"/>
                      <w:highlight w:val="none"/>
                      <w:lang w:val="en-GB" w:eastAsia="zh-CN" w:bidi="ar-SA"/>
                    </w:rPr>
                    <w:t>了</w:t>
                  </w:r>
                  <w:r>
                    <w:rPr>
                      <w:rFonts w:hint="eastAsia" w:ascii="Times New Roman" w:hAnsi="Times New Roman" w:cs="Times New Roman"/>
                      <w:bCs/>
                      <w:color w:val="auto"/>
                      <w:kern w:val="0"/>
                      <w:sz w:val="21"/>
                      <w:szCs w:val="21"/>
                      <w:highlight w:val="none"/>
                      <w:lang w:val="en-US" w:eastAsia="zh-CN" w:bidi="ar-SA"/>
                    </w:rPr>
                    <w:t>一般</w:t>
                  </w:r>
                  <w:r>
                    <w:rPr>
                      <w:rFonts w:hint="default" w:ascii="Times New Roman" w:hAnsi="Times New Roman" w:eastAsia="宋体" w:cs="Times New Roman"/>
                      <w:bCs/>
                      <w:color w:val="auto"/>
                      <w:kern w:val="0"/>
                      <w:sz w:val="21"/>
                      <w:szCs w:val="21"/>
                      <w:highlight w:val="none"/>
                      <w:lang w:val="en-GB" w:eastAsia="zh-CN" w:bidi="ar-SA"/>
                    </w:rPr>
                    <w:t>固体废物收集、贮存、运输、利用、处置全过程的污染环境防治责任制度，建立</w:t>
                  </w:r>
                  <w:r>
                    <w:rPr>
                      <w:rFonts w:hint="eastAsia" w:ascii="Times New Roman" w:hAnsi="Times New Roman" w:cs="Times New Roman"/>
                      <w:bCs/>
                      <w:color w:val="auto"/>
                      <w:kern w:val="0"/>
                      <w:sz w:val="21"/>
                      <w:szCs w:val="21"/>
                      <w:highlight w:val="none"/>
                      <w:lang w:val="en-US" w:eastAsia="zh-CN" w:bidi="ar-SA"/>
                    </w:rPr>
                    <w:t>一般</w:t>
                  </w:r>
                  <w:r>
                    <w:rPr>
                      <w:rFonts w:hint="default" w:ascii="Times New Roman" w:hAnsi="Times New Roman" w:eastAsia="宋体" w:cs="Times New Roman"/>
                      <w:bCs/>
                      <w:color w:val="auto"/>
                      <w:kern w:val="0"/>
                      <w:sz w:val="21"/>
                      <w:szCs w:val="21"/>
                      <w:highlight w:val="none"/>
                      <w:lang w:val="en-GB" w:eastAsia="zh-CN" w:bidi="ar-SA"/>
                    </w:rPr>
                    <w:t>固体废物管理台账</w:t>
                  </w:r>
                  <w:r>
                    <w:rPr>
                      <w:rFonts w:hint="eastAsia" w:ascii="Times New Roman" w:hAnsi="Times New Roman" w:eastAsia="宋体" w:cs="Times New Roman"/>
                      <w:bCs/>
                      <w:color w:val="auto"/>
                      <w:kern w:val="0"/>
                      <w:sz w:val="21"/>
                      <w:szCs w:val="21"/>
                      <w:highlight w:val="none"/>
                      <w:lang w:val="en-GB" w:eastAsia="zh-CN" w:bidi="ar-SA"/>
                    </w:rPr>
                    <w:t>。</w:t>
                  </w:r>
                </w:p>
              </w:tc>
              <w:tc>
                <w:tcPr>
                  <w:tcW w:w="401" w:type="pct"/>
                  <w:noWrap w:val="0"/>
                  <w:vAlign w:val="center"/>
                </w:tcPr>
                <w:p w14:paraId="468655F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7CEF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2EF474E7">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highlight w:val="none"/>
                      <w:lang w:val="en" w:eastAsia="zh-CN" w:bidi="ar-SA"/>
                    </w:rPr>
                  </w:pPr>
                  <w:r>
                    <w:rPr>
                      <w:rFonts w:hint="default" w:ascii="Times New Roman" w:hAnsi="Times New Roman" w:eastAsia="宋体" w:cs="Times New Roman"/>
                      <w:color w:val="auto"/>
                      <w:kern w:val="0"/>
                      <w:sz w:val="21"/>
                      <w:szCs w:val="21"/>
                      <w:highlight w:val="none"/>
                      <w:lang w:val="en-US" w:eastAsia="zh-CN" w:bidi="ar"/>
                    </w:rPr>
                    <w:t>关于印发《陕西省进一步加强塑料污染治理实施方案》的通知（陕发改环资〔2020〕1184号）</w:t>
                  </w:r>
                </w:p>
              </w:tc>
              <w:tc>
                <w:tcPr>
                  <w:tcW w:w="2224" w:type="pct"/>
                  <w:noWrap w:val="0"/>
                  <w:vAlign w:val="center"/>
                </w:tcPr>
                <w:p w14:paraId="0BCA821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color w:val="auto"/>
                      <w:kern w:val="0"/>
                      <w:sz w:val="21"/>
                      <w:szCs w:val="21"/>
                      <w:highlight w:val="none"/>
                      <w:lang w:val="en-US" w:eastAsia="zh-CN" w:bidi="ar"/>
                    </w:rPr>
                    <w:t>禁止、限制部分塑料制品的生产、销售和使用</w:t>
                  </w:r>
                  <w:r>
                    <w:rPr>
                      <w:rFonts w:hint="default" w:ascii="Times New Roman" w:hAnsi="Times New Roman" w:cs="Times New Roman"/>
                      <w:color w:val="auto"/>
                      <w:kern w:val="0"/>
                      <w:sz w:val="21"/>
                      <w:szCs w:val="21"/>
                      <w:highlight w:val="none"/>
                      <w:lang w:val="en-US" w:eastAsia="zh-CN" w:bidi="ar"/>
                    </w:rPr>
                    <w:t>；规范塑料废弃物回收利用和处置。</w:t>
                  </w:r>
                </w:p>
              </w:tc>
              <w:tc>
                <w:tcPr>
                  <w:tcW w:w="1444" w:type="pct"/>
                  <w:noWrap w:val="0"/>
                  <w:vAlign w:val="center"/>
                </w:tcPr>
                <w:p w14:paraId="659A07CF">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color w:val="auto"/>
                      <w:sz w:val="21"/>
                      <w:szCs w:val="21"/>
                      <w:highlight w:val="none"/>
                      <w:lang w:val="en-US" w:eastAsia="zh-CN"/>
                    </w:rPr>
                    <w:t>本项目</w:t>
                  </w:r>
                  <w:r>
                    <w:rPr>
                      <w:rFonts w:hint="eastAsia" w:ascii="Times New Roman" w:hAnsi="Times New Roman" w:eastAsia="宋体" w:cs="Times New Roman"/>
                      <w:color w:val="auto"/>
                      <w:sz w:val="21"/>
                      <w:szCs w:val="21"/>
                      <w:highlight w:val="none"/>
                      <w:lang w:val="en-US" w:eastAsia="zh-CN"/>
                    </w:rPr>
                    <w:t>原料、产品</w:t>
                  </w:r>
                  <w:r>
                    <w:rPr>
                      <w:rFonts w:hint="default" w:ascii="Times New Roman" w:hAnsi="Times New Roman" w:eastAsia="宋体" w:cs="Times New Roman"/>
                      <w:color w:val="auto"/>
                      <w:sz w:val="21"/>
                      <w:szCs w:val="21"/>
                      <w:highlight w:val="none"/>
                      <w:lang w:val="en-US" w:eastAsia="zh-CN"/>
                    </w:rPr>
                    <w:t>均不属于禁止、限制塑料制品；</w:t>
                  </w:r>
                  <w:r>
                    <w:rPr>
                      <w:rFonts w:hint="eastAsia" w:ascii="Times New Roman" w:hAnsi="Times New Roman" w:eastAsia="宋体" w:cs="Times New Roman"/>
                      <w:color w:val="auto"/>
                      <w:sz w:val="21"/>
                      <w:szCs w:val="21"/>
                      <w:highlight w:val="none"/>
                      <w:lang w:val="en-US" w:eastAsia="zh-CN"/>
                    </w:rPr>
                    <w:t>项目运营期不产生</w:t>
                  </w:r>
                  <w:r>
                    <w:rPr>
                      <w:rFonts w:hint="default" w:ascii="Times New Roman" w:hAnsi="Times New Roman" w:eastAsia="宋体" w:cs="Times New Roman"/>
                      <w:color w:val="auto"/>
                      <w:kern w:val="0"/>
                      <w:sz w:val="21"/>
                      <w:szCs w:val="21"/>
                      <w:highlight w:val="none"/>
                      <w:lang w:val="en-US" w:eastAsia="zh-CN" w:bidi="ar"/>
                    </w:rPr>
                    <w:t>塑料废弃物</w:t>
                  </w:r>
                  <w:r>
                    <w:rPr>
                      <w:rFonts w:hint="default" w:ascii="Times New Roman" w:hAnsi="Times New Roman" w:eastAsia="宋体" w:cs="Times New Roman"/>
                      <w:color w:val="auto"/>
                      <w:sz w:val="21"/>
                      <w:szCs w:val="21"/>
                      <w:highlight w:val="none"/>
                      <w:lang w:val="en-US" w:eastAsia="zh-CN"/>
                    </w:rPr>
                    <w:t>。</w:t>
                  </w:r>
                </w:p>
              </w:tc>
              <w:tc>
                <w:tcPr>
                  <w:tcW w:w="401" w:type="pct"/>
                  <w:noWrap w:val="0"/>
                  <w:vAlign w:val="center"/>
                </w:tcPr>
                <w:p w14:paraId="7322741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01424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6D91ADE7">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 w:eastAsia="zh-CN" w:bidi="ar-SA"/>
                    </w:rPr>
                  </w:pPr>
                  <w:r>
                    <w:rPr>
                      <w:rFonts w:hint="default" w:ascii="Times New Roman" w:hAnsi="Times New Roman" w:eastAsia="宋体" w:cs="Times New Roman"/>
                      <w:bCs/>
                      <w:color w:val="auto"/>
                      <w:kern w:val="0"/>
                      <w:sz w:val="21"/>
                      <w:szCs w:val="21"/>
                      <w:highlight w:val="none"/>
                      <w:lang w:val="en" w:eastAsia="zh-CN" w:bidi="ar-SA"/>
                    </w:rPr>
                    <w:t>陕西省</w:t>
                  </w:r>
                  <w:r>
                    <w:rPr>
                      <w:rFonts w:hint="eastAsia" w:ascii="Times New Roman" w:hAnsi="Times New Roman"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十四五</w:t>
                  </w:r>
                  <w:r>
                    <w:rPr>
                      <w:rFonts w:hint="eastAsia" w:ascii="Times New Roman" w:hAnsi="Times New Roman"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生态环境保护规划（陕政办发</w:t>
                  </w:r>
                  <w:r>
                    <w:rPr>
                      <w:rFonts w:hint="eastAsia" w:ascii="Times New Roman" w:hAnsi="Times New Roman" w:cs="Times New Roman"/>
                      <w:bCs/>
                      <w:color w:val="auto"/>
                      <w:kern w:val="0"/>
                      <w:sz w:val="21"/>
                      <w:szCs w:val="21"/>
                      <w:highlight w:val="none"/>
                      <w:lang w:val="en" w:eastAsia="zh-CN" w:bidi="ar-SA"/>
                    </w:rPr>
                    <w:t>〔2021〕25号</w:t>
                  </w:r>
                  <w:r>
                    <w:rPr>
                      <w:rFonts w:hint="default" w:ascii="Times New Roman" w:hAnsi="Times New Roman" w:eastAsia="宋体" w:cs="Times New Roman"/>
                      <w:bCs/>
                      <w:color w:val="auto"/>
                      <w:kern w:val="0"/>
                      <w:sz w:val="21"/>
                      <w:szCs w:val="21"/>
                      <w:highlight w:val="none"/>
                      <w:lang w:val="en" w:eastAsia="zh-CN" w:bidi="ar-SA"/>
                    </w:rPr>
                    <w:t>）</w:t>
                  </w:r>
                </w:p>
              </w:tc>
              <w:tc>
                <w:tcPr>
                  <w:tcW w:w="2224" w:type="pct"/>
                  <w:noWrap w:val="0"/>
                  <w:vAlign w:val="center"/>
                </w:tcPr>
                <w:p w14:paraId="2EB4C427">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eastAsia="宋体" w:cs="Times New Roman"/>
                      <w:bCs/>
                      <w:color w:val="auto"/>
                      <w:kern w:val="0"/>
                      <w:sz w:val="21"/>
                      <w:szCs w:val="21"/>
                      <w:highlight w:val="none"/>
                      <w:lang w:val="en" w:eastAsia="zh-CN" w:bidi="ar-SA"/>
                    </w:rPr>
                    <w:t>建立健全生态环境分区管控体系。建立以</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三线一单</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为核心的全省生态环境分区管控体系。加强</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三线一单</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在规划编制、政策制定、环境准入、园区管理、执法监管等方面的应用，将环境质量底线作为硬约束。建立常规调整和动态调整相结合的更新管理机制，实施全省</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三线一单</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的动态管理，适时更新调整</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三线一单</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成果</w:t>
                  </w:r>
                  <w:r>
                    <w:rPr>
                      <w:rFonts w:hint="eastAsia" w:ascii="Times New Roman" w:hAnsi="Times New Roman" w:eastAsia="宋体" w:cs="Times New Roman"/>
                      <w:bCs/>
                      <w:color w:val="auto"/>
                      <w:kern w:val="0"/>
                      <w:sz w:val="21"/>
                      <w:szCs w:val="21"/>
                      <w:highlight w:val="none"/>
                      <w:lang w:val="en" w:eastAsia="zh-CN" w:bidi="ar-SA"/>
                    </w:rPr>
                    <w:t>。</w:t>
                  </w:r>
                </w:p>
              </w:tc>
              <w:tc>
                <w:tcPr>
                  <w:tcW w:w="1444" w:type="pct"/>
                  <w:noWrap w:val="0"/>
                  <w:vAlign w:val="center"/>
                </w:tcPr>
                <w:p w14:paraId="2A0643A5">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default" w:ascii="Times New Roman" w:hAnsi="Times New Roman" w:cs="Times New Roman"/>
                      <w:color w:val="auto"/>
                      <w:kern w:val="21"/>
                      <w:sz w:val="21"/>
                      <w:szCs w:val="21"/>
                      <w:highlight w:val="none"/>
                      <w:lang w:val="en-US" w:eastAsia="zh-CN"/>
                    </w:rPr>
                    <w:t>项目符合</w:t>
                  </w:r>
                  <w:r>
                    <w:rPr>
                      <w:rFonts w:hint="eastAsia" w:ascii="Times New Roman" w:hAnsi="Times New Roman" w:cs="Times New Roman"/>
                      <w:color w:val="auto"/>
                      <w:kern w:val="21"/>
                      <w:sz w:val="21"/>
                      <w:szCs w:val="21"/>
                      <w:highlight w:val="none"/>
                      <w:lang w:val="en-US" w:eastAsia="zh-CN"/>
                    </w:rPr>
                    <w:t>“</w:t>
                  </w:r>
                  <w:r>
                    <w:rPr>
                      <w:rFonts w:hint="default" w:ascii="Times New Roman" w:hAnsi="Times New Roman" w:cs="Times New Roman"/>
                      <w:color w:val="auto"/>
                      <w:kern w:val="21"/>
                      <w:sz w:val="21"/>
                      <w:szCs w:val="21"/>
                      <w:highlight w:val="none"/>
                      <w:lang w:val="en-US" w:eastAsia="zh-CN"/>
                    </w:rPr>
                    <w:t>三线一单</w:t>
                  </w:r>
                  <w:r>
                    <w:rPr>
                      <w:rFonts w:hint="eastAsia" w:ascii="Times New Roman" w:hAnsi="Times New Roman" w:cs="Times New Roman"/>
                      <w:color w:val="auto"/>
                      <w:kern w:val="21"/>
                      <w:sz w:val="21"/>
                      <w:szCs w:val="21"/>
                      <w:highlight w:val="none"/>
                      <w:lang w:val="en-US" w:eastAsia="zh-CN"/>
                    </w:rPr>
                    <w:t>”</w:t>
                  </w:r>
                  <w:r>
                    <w:rPr>
                      <w:rFonts w:hint="default" w:ascii="Times New Roman" w:hAnsi="Times New Roman" w:cs="Times New Roman"/>
                      <w:color w:val="auto"/>
                      <w:kern w:val="21"/>
                      <w:sz w:val="21"/>
                      <w:szCs w:val="21"/>
                      <w:highlight w:val="none"/>
                      <w:lang w:val="en-US" w:eastAsia="zh-CN"/>
                    </w:rPr>
                    <w:t>生态环境分区管控中的相关要求。</w:t>
                  </w:r>
                </w:p>
              </w:tc>
              <w:tc>
                <w:tcPr>
                  <w:tcW w:w="401" w:type="pct"/>
                  <w:noWrap w:val="0"/>
                  <w:vAlign w:val="center"/>
                </w:tcPr>
                <w:p w14:paraId="624E9EF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345F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18BFFD39">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auto"/>
                      <w:kern w:val="0"/>
                      <w:sz w:val="21"/>
                      <w:szCs w:val="21"/>
                      <w:highlight w:val="none"/>
                      <w:lang w:val="en" w:eastAsia="zh-CN" w:bidi="ar-SA"/>
                    </w:rPr>
                  </w:pPr>
                </w:p>
              </w:tc>
              <w:tc>
                <w:tcPr>
                  <w:tcW w:w="2224" w:type="pct"/>
                  <w:noWrap w:val="0"/>
                  <w:vAlign w:val="center"/>
                </w:tcPr>
                <w:p w14:paraId="68E6B1CF">
                  <w:pPr>
                    <w:keepNext w:val="0"/>
                    <w:keepLines w:val="0"/>
                    <w:pageBreakBefore w:val="0"/>
                    <w:widowControl/>
                    <w:suppressLineNumbers w:val="0"/>
                    <w:kinsoku/>
                    <w:overflowPunct/>
                    <w:topLinePunct w:val="0"/>
                    <w:autoSpaceDE/>
                    <w:autoSpaceDN/>
                    <w:bidi w:val="0"/>
                    <w:spacing w:line="240" w:lineRule="auto"/>
                    <w:jc w:val="both"/>
                    <w:textAlignment w:val="auto"/>
                    <w:rPr>
                      <w:rFonts w:hint="default" w:ascii="Times New Roman" w:hAnsi="Times New Roman" w:eastAsia="宋体" w:cs="Times New Roman"/>
                      <w:bCs/>
                      <w:color w:val="auto"/>
                      <w:kern w:val="0"/>
                      <w:sz w:val="21"/>
                      <w:szCs w:val="21"/>
                      <w:highlight w:val="none"/>
                      <w:lang w:val="en-GB" w:eastAsia="zh-CN" w:bidi="ar-SA"/>
                    </w:rPr>
                  </w:pPr>
                  <w:r>
                    <w:rPr>
                      <w:rFonts w:hint="eastAsia" w:ascii="Times New Roman" w:hAnsi="Times New Roman" w:eastAsia="宋体" w:cs="Times New Roman"/>
                      <w:bCs/>
                      <w:color w:val="auto"/>
                      <w:kern w:val="0"/>
                      <w:sz w:val="21"/>
                      <w:szCs w:val="21"/>
                      <w:highlight w:val="none"/>
                      <w:lang w:val="en-US" w:eastAsia="zh-CN" w:bidi="ar-SA"/>
                    </w:rPr>
                    <w:t>深入推进大宗固体废物污染防治。</w:t>
                  </w:r>
                  <w:r>
                    <w:rPr>
                      <w:rFonts w:hint="default" w:ascii="Times New Roman" w:hAnsi="Times New Roman" w:eastAsia="宋体" w:cs="Times New Roman"/>
                      <w:bCs/>
                      <w:color w:val="auto"/>
                      <w:kern w:val="0"/>
                      <w:sz w:val="21"/>
                      <w:szCs w:val="21"/>
                      <w:highlight w:val="none"/>
                      <w:lang w:val="en" w:eastAsia="zh-CN" w:bidi="ar-SA"/>
                    </w:rPr>
                    <w:t>加强固体废物源头减量和资源化利用，推广固体废物资源化、无害化处理处置新技术，创新大宗固体废物协同利用机制，最大限度减少填埋量。建立健全固体废物信息化监管体系，加大固体废物走私打击力度。</w:t>
                  </w:r>
                </w:p>
              </w:tc>
              <w:tc>
                <w:tcPr>
                  <w:tcW w:w="1444" w:type="pct"/>
                  <w:noWrap w:val="0"/>
                  <w:vAlign w:val="center"/>
                </w:tcPr>
                <w:p w14:paraId="6B7ACC2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 w:eastAsia="zh-CN" w:bidi="ar-SA"/>
                    </w:rPr>
                    <w:t>本项目属于固体废物资源化利用项目，</w:t>
                  </w:r>
                  <w:r>
                    <w:rPr>
                      <w:rFonts w:hint="eastAsia" w:ascii="Times New Roman" w:hAnsi="Times New Roman" w:eastAsia="宋体" w:cs="Times New Roman"/>
                      <w:bCs/>
                      <w:color w:val="auto"/>
                      <w:kern w:val="0"/>
                      <w:sz w:val="21"/>
                      <w:szCs w:val="21"/>
                      <w:highlight w:val="none"/>
                      <w:lang w:val="en-US" w:eastAsia="zh-CN" w:bidi="ar-SA"/>
                    </w:rPr>
                    <w:t>生产工艺</w:t>
                  </w:r>
                  <w:r>
                    <w:rPr>
                      <w:rFonts w:hint="default" w:ascii="Times New Roman" w:hAnsi="Times New Roman" w:eastAsia="宋体" w:cs="Times New Roman"/>
                      <w:bCs/>
                      <w:color w:val="auto"/>
                      <w:kern w:val="0"/>
                      <w:sz w:val="21"/>
                      <w:szCs w:val="21"/>
                      <w:highlight w:val="none"/>
                      <w:lang w:val="en-GB" w:eastAsia="zh-CN" w:bidi="ar-SA"/>
                    </w:rPr>
                    <w:t>采用最新RDF替代燃料技术</w:t>
                  </w:r>
                  <w:r>
                    <w:rPr>
                      <w:rFonts w:hint="eastAsia" w:ascii="Times New Roman" w:hAnsi="Times New Roman" w:eastAsia="宋体" w:cs="Times New Roman"/>
                      <w:bCs/>
                      <w:color w:val="auto"/>
                      <w:kern w:val="0"/>
                      <w:sz w:val="21"/>
                      <w:szCs w:val="21"/>
                      <w:highlight w:val="none"/>
                      <w:lang w:val="en" w:eastAsia="zh-CN" w:bidi="ar-SA"/>
                    </w:rPr>
                    <w:t>；</w:t>
                  </w:r>
                  <w:r>
                    <w:rPr>
                      <w:rFonts w:hint="default" w:ascii="Times New Roman" w:hAnsi="Times New Roman" w:eastAsia="宋体" w:cs="Times New Roman"/>
                      <w:bCs/>
                      <w:color w:val="auto"/>
                      <w:kern w:val="0"/>
                      <w:sz w:val="21"/>
                      <w:szCs w:val="21"/>
                      <w:highlight w:val="none"/>
                      <w:lang w:val="en" w:eastAsia="zh-CN" w:bidi="ar-SA"/>
                    </w:rPr>
                    <w:t>建立健全固体废物</w:t>
                  </w:r>
                  <w:r>
                    <w:rPr>
                      <w:rFonts w:hint="eastAsia" w:ascii="Times New Roman" w:hAnsi="Times New Roman" w:eastAsia="宋体" w:cs="Times New Roman"/>
                      <w:bCs/>
                      <w:color w:val="auto"/>
                      <w:kern w:val="0"/>
                      <w:sz w:val="21"/>
                      <w:szCs w:val="21"/>
                      <w:highlight w:val="none"/>
                      <w:lang w:val="en-US" w:eastAsia="zh-CN" w:bidi="ar-SA"/>
                    </w:rPr>
                    <w:t>收集和转运台账。</w:t>
                  </w:r>
                </w:p>
              </w:tc>
              <w:tc>
                <w:tcPr>
                  <w:tcW w:w="401" w:type="pct"/>
                  <w:noWrap w:val="0"/>
                  <w:vAlign w:val="center"/>
                </w:tcPr>
                <w:p w14:paraId="41B8429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符合</w:t>
                  </w:r>
                </w:p>
              </w:tc>
            </w:tr>
            <w:tr w14:paraId="50413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9" w:hRule="atLeast"/>
                <w:jc w:val="center"/>
              </w:trPr>
              <w:tc>
                <w:tcPr>
                  <w:tcW w:w="929" w:type="pct"/>
                  <w:noWrap w:val="0"/>
                  <w:vAlign w:val="center"/>
                </w:tcPr>
                <w:p w14:paraId="7E02FD2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color w:val="auto"/>
                      <w:kern w:val="21"/>
                      <w:sz w:val="21"/>
                      <w:szCs w:val="21"/>
                      <w:highlight w:val="none"/>
                      <w:lang w:val="en"/>
                    </w:rPr>
                    <w:t>《陕西省</w:t>
                  </w:r>
                  <w:r>
                    <w:rPr>
                      <w:rFonts w:hint="eastAsia" w:ascii="Times New Roman" w:hAnsi="Times New Roman" w:eastAsia="宋体" w:cs="Times New Roman"/>
                      <w:color w:val="auto"/>
                      <w:kern w:val="21"/>
                      <w:sz w:val="21"/>
                      <w:szCs w:val="21"/>
                      <w:highlight w:val="none"/>
                      <w:lang w:val="en" w:eastAsia="zh-CN"/>
                    </w:rPr>
                    <w:t>“</w:t>
                  </w:r>
                  <w:r>
                    <w:rPr>
                      <w:rFonts w:hint="default" w:ascii="Times New Roman" w:hAnsi="Times New Roman" w:eastAsia="宋体" w:cs="Times New Roman"/>
                      <w:color w:val="auto"/>
                      <w:kern w:val="21"/>
                      <w:sz w:val="21"/>
                      <w:szCs w:val="21"/>
                      <w:highlight w:val="none"/>
                      <w:lang w:val="en"/>
                    </w:rPr>
                    <w:t>十四五</w:t>
                  </w:r>
                  <w:r>
                    <w:rPr>
                      <w:rFonts w:hint="eastAsia" w:ascii="Times New Roman" w:hAnsi="Times New Roman" w:eastAsia="宋体" w:cs="Times New Roman"/>
                      <w:color w:val="auto"/>
                      <w:kern w:val="21"/>
                      <w:sz w:val="21"/>
                      <w:szCs w:val="21"/>
                      <w:highlight w:val="none"/>
                      <w:lang w:val="en" w:eastAsia="zh-CN"/>
                    </w:rPr>
                    <w:t>”</w:t>
                  </w:r>
                  <w:r>
                    <w:rPr>
                      <w:rFonts w:hint="default" w:ascii="Times New Roman" w:hAnsi="Times New Roman" w:eastAsia="宋体" w:cs="Times New Roman"/>
                      <w:color w:val="auto"/>
                      <w:kern w:val="21"/>
                      <w:sz w:val="21"/>
                      <w:szCs w:val="21"/>
                      <w:highlight w:val="none"/>
                      <w:lang w:val="en"/>
                    </w:rPr>
                    <w:t>生态环境保护规划》（陕政办发〔2021〕25号）</w:t>
                  </w:r>
                </w:p>
              </w:tc>
              <w:tc>
                <w:tcPr>
                  <w:tcW w:w="2224" w:type="pct"/>
                  <w:noWrap w:val="0"/>
                  <w:vAlign w:val="center"/>
                </w:tcPr>
                <w:p w14:paraId="5E3E1B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21"/>
                      <w:sz w:val="21"/>
                      <w:szCs w:val="21"/>
                      <w:highlight w:val="none"/>
                    </w:rPr>
                  </w:pPr>
                  <w:r>
                    <w:rPr>
                      <w:rFonts w:hint="default" w:ascii="Times New Roman" w:hAnsi="Times New Roman" w:eastAsia="宋体" w:cs="Times New Roman"/>
                      <w:bCs/>
                      <w:color w:val="auto"/>
                      <w:kern w:val="0"/>
                      <w:sz w:val="21"/>
                      <w:szCs w:val="21"/>
                      <w:highlight w:val="none"/>
                      <w:lang w:val="en-GB"/>
                    </w:rPr>
                    <w:t>深化落实环评制度。不断健全环境影响评价等生态源头预防体系，对重点区域、重点流域、重点行业依法开展规划环境影响评价，严格建设项目生态环境准入。</w:t>
                  </w:r>
                </w:p>
              </w:tc>
              <w:tc>
                <w:tcPr>
                  <w:tcW w:w="1444" w:type="pct"/>
                  <w:noWrap w:val="0"/>
                  <w:vAlign w:val="center"/>
                </w:tcPr>
                <w:p w14:paraId="005775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21"/>
                      <w:sz w:val="21"/>
                      <w:szCs w:val="21"/>
                      <w:highlight w:val="none"/>
                    </w:rPr>
                  </w:pPr>
                  <w:r>
                    <w:rPr>
                      <w:rFonts w:hint="eastAsia" w:ascii="Times New Roman" w:hAnsi="Times New Roman" w:eastAsia="宋体" w:cs="Times New Roman"/>
                      <w:bCs/>
                      <w:color w:val="auto"/>
                      <w:kern w:val="0"/>
                      <w:sz w:val="21"/>
                      <w:szCs w:val="21"/>
                      <w:highlight w:val="none"/>
                      <w:lang w:val="en-US" w:eastAsia="zh-CN"/>
                    </w:rPr>
                    <w:t>本</w:t>
                  </w:r>
                  <w:r>
                    <w:rPr>
                      <w:rFonts w:hint="default" w:ascii="Times New Roman" w:hAnsi="Times New Roman" w:eastAsia="宋体" w:cs="Times New Roman"/>
                      <w:bCs/>
                      <w:color w:val="auto"/>
                      <w:kern w:val="0"/>
                      <w:sz w:val="21"/>
                      <w:szCs w:val="21"/>
                      <w:highlight w:val="none"/>
                      <w:lang w:val="en-GB" w:eastAsia="zh-CN"/>
                    </w:rPr>
                    <w:t>项目位于陕西省</w:t>
                  </w:r>
                  <w:r>
                    <w:rPr>
                      <w:rFonts w:hint="default" w:ascii="Times New Roman" w:hAnsi="Times New Roman" w:eastAsia="宋体" w:cs="Times New Roman"/>
                      <w:bCs/>
                      <w:color w:val="auto"/>
                      <w:kern w:val="0"/>
                      <w:sz w:val="21"/>
                      <w:szCs w:val="21"/>
                      <w:highlight w:val="none"/>
                      <w:lang w:val="en-US" w:eastAsia="zh-CN"/>
                    </w:rPr>
                    <w:t>西咸新区泾河新城</w:t>
                  </w:r>
                  <w:r>
                    <w:rPr>
                      <w:rFonts w:hint="default" w:ascii="Times New Roman" w:hAnsi="Times New Roman" w:eastAsia="宋体" w:cs="Times New Roman"/>
                      <w:bCs/>
                      <w:color w:val="auto"/>
                      <w:kern w:val="0"/>
                      <w:sz w:val="21"/>
                      <w:szCs w:val="21"/>
                      <w:highlight w:val="none"/>
                      <w:lang w:val="en-GB" w:eastAsia="zh-CN"/>
                    </w:rPr>
                    <w:t>永乐工业园，租用</w:t>
                  </w:r>
                  <w:r>
                    <w:rPr>
                      <w:rFonts w:hint="eastAsia" w:ascii="Times New Roman" w:hAnsi="Times New Roman" w:eastAsia="宋体" w:cs="Times New Roman"/>
                      <w:bCs/>
                      <w:color w:val="auto"/>
                      <w:kern w:val="0"/>
                      <w:sz w:val="21"/>
                      <w:szCs w:val="21"/>
                      <w:highlight w:val="none"/>
                      <w:lang w:val="en-GB" w:eastAsia="zh-CN"/>
                    </w:rPr>
                    <w:t>陕西国坤时代科技有限公司</w:t>
                  </w:r>
                  <w:r>
                    <w:rPr>
                      <w:rFonts w:hint="default" w:ascii="Times New Roman" w:hAnsi="Times New Roman" w:eastAsia="宋体" w:cs="Times New Roman"/>
                      <w:bCs/>
                      <w:color w:val="auto"/>
                      <w:kern w:val="0"/>
                      <w:sz w:val="21"/>
                      <w:szCs w:val="21"/>
                      <w:highlight w:val="none"/>
                      <w:lang w:val="en-US" w:eastAsia="zh-CN"/>
                    </w:rPr>
                    <w:t>已建成厂房</w:t>
                  </w:r>
                  <w:r>
                    <w:rPr>
                      <w:rFonts w:hint="default" w:ascii="Times New Roman" w:hAnsi="Times New Roman" w:eastAsia="宋体" w:cs="Times New Roman"/>
                      <w:bCs/>
                      <w:color w:val="auto"/>
                      <w:kern w:val="0"/>
                      <w:sz w:val="21"/>
                      <w:szCs w:val="21"/>
                      <w:highlight w:val="none"/>
                      <w:lang w:val="en-GB" w:eastAsia="zh-CN"/>
                    </w:rPr>
                    <w:t>，目前</w:t>
                  </w:r>
                  <w:r>
                    <w:rPr>
                      <w:rFonts w:hint="eastAsia" w:cs="Times New Roman"/>
                      <w:bCs/>
                      <w:color w:val="auto"/>
                      <w:kern w:val="0"/>
                      <w:sz w:val="21"/>
                      <w:szCs w:val="21"/>
                      <w:highlight w:val="none"/>
                      <w:lang w:val="en-US" w:eastAsia="zh-CN"/>
                    </w:rPr>
                    <w:t>正</w:t>
                  </w:r>
                  <w:r>
                    <w:rPr>
                      <w:rFonts w:hint="default" w:ascii="Times New Roman" w:hAnsi="Times New Roman" w:eastAsia="宋体" w:cs="Times New Roman"/>
                      <w:bCs/>
                      <w:color w:val="auto"/>
                      <w:kern w:val="0"/>
                      <w:sz w:val="21"/>
                      <w:szCs w:val="21"/>
                      <w:highlight w:val="none"/>
                      <w:lang w:val="en-GB" w:eastAsia="zh-CN"/>
                    </w:rPr>
                    <w:t>在开展相关的环评手续。</w:t>
                  </w:r>
                </w:p>
              </w:tc>
              <w:tc>
                <w:tcPr>
                  <w:tcW w:w="401" w:type="pct"/>
                  <w:noWrap w:val="0"/>
                  <w:vAlign w:val="center"/>
                </w:tcPr>
                <w:p w14:paraId="5816999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 w:val="21"/>
                      <w:szCs w:val="21"/>
                      <w:highlight w:val="none"/>
                    </w:rPr>
                  </w:pPr>
                  <w:r>
                    <w:rPr>
                      <w:rFonts w:hint="default" w:ascii="Times New Roman" w:hAnsi="Times New Roman" w:eastAsia="宋体" w:cs="Times New Roman"/>
                      <w:color w:val="auto"/>
                      <w:kern w:val="0"/>
                      <w:sz w:val="21"/>
                      <w:szCs w:val="21"/>
                      <w:highlight w:val="none"/>
                    </w:rPr>
                    <w:t>符合</w:t>
                  </w:r>
                </w:p>
              </w:tc>
            </w:tr>
            <w:tr w14:paraId="33B95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B954EC5">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《陕西省大气污染防治条例》</w:t>
                  </w:r>
                  <w:r>
                    <w:rPr>
                      <w:rFonts w:hint="eastAsia" w:ascii="Times New Roman" w:hAnsi="Times New Roman" w:eastAsia="宋体" w:cs="Times New Roman"/>
                      <w:bCs/>
                      <w:color w:val="auto"/>
                      <w:kern w:val="0"/>
                      <w:sz w:val="21"/>
                      <w:szCs w:val="21"/>
                      <w:highlight w:val="none"/>
                      <w:lang w:val="en-US" w:eastAsia="zh-CN" w:bidi="ar-SA"/>
                    </w:rPr>
                    <w:t>2023</w:t>
                  </w:r>
                  <w:r>
                    <w:rPr>
                      <w:rFonts w:hint="eastAsia" w:ascii="Times New Roman" w:hAnsi="Times New Roman" w:cs="Times New Roman"/>
                      <w:bCs/>
                      <w:color w:val="auto"/>
                      <w:kern w:val="0"/>
                      <w:sz w:val="21"/>
                      <w:szCs w:val="21"/>
                      <w:highlight w:val="none"/>
                      <w:lang w:val="en-US" w:eastAsia="zh-CN" w:bidi="ar-SA"/>
                    </w:rPr>
                    <w:t>年</w:t>
                  </w:r>
                  <w:r>
                    <w:rPr>
                      <w:rFonts w:hint="eastAsia" w:ascii="Times New Roman" w:hAnsi="Times New Roman" w:eastAsia="宋体" w:cs="Times New Roman"/>
                      <w:bCs/>
                      <w:color w:val="auto"/>
                      <w:kern w:val="0"/>
                      <w:sz w:val="21"/>
                      <w:szCs w:val="21"/>
                      <w:highlight w:val="none"/>
                      <w:lang w:val="en-US" w:eastAsia="zh-CN" w:bidi="ar-SA"/>
                    </w:rPr>
                    <w:t>修订</w:t>
                  </w:r>
                </w:p>
              </w:tc>
              <w:tc>
                <w:tcPr>
                  <w:tcW w:w="2224" w:type="pct"/>
                  <w:noWrap w:val="0"/>
                  <w:vAlign w:val="center"/>
                </w:tcPr>
                <w:p w14:paraId="744D48C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GB" w:eastAsia="zh-CN" w:bidi="ar-SA"/>
                    </w:rPr>
                  </w:pPr>
                  <w:r>
                    <w:rPr>
                      <w:rFonts w:hint="default" w:ascii="Times New Roman" w:hAnsi="Times New Roman" w:eastAsia="宋体" w:cs="Times New Roman"/>
                      <w:color w:val="auto"/>
                      <w:kern w:val="0"/>
                      <w:sz w:val="21"/>
                      <w:szCs w:val="21"/>
                      <w:highlight w:val="none"/>
                      <w:lang w:val="en-US" w:eastAsia="zh-CN" w:bidi="ar"/>
                    </w:rPr>
                    <w:t>企业应当优先采用能源和原材料利用效率高、污染物排放量少的清洁生产技术、工艺和装备，减少大气污染物的产生和排放。</w:t>
                  </w:r>
                </w:p>
              </w:tc>
              <w:tc>
                <w:tcPr>
                  <w:tcW w:w="1444" w:type="pct"/>
                  <w:noWrap w:val="0"/>
                  <w:vAlign w:val="center"/>
                </w:tcPr>
                <w:p w14:paraId="64BF68E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lang w:val="en-GB" w:eastAsia="zh-CN" w:bidi="ar-SA"/>
                    </w:rPr>
                  </w:pPr>
                  <w:r>
                    <w:rPr>
                      <w:rFonts w:hint="default" w:ascii="Times New Roman" w:hAnsi="Times New Roman" w:eastAsia="宋体" w:cs="Times New Roman"/>
                      <w:color w:val="auto"/>
                      <w:kern w:val="0"/>
                      <w:sz w:val="21"/>
                      <w:szCs w:val="21"/>
                      <w:highlight w:val="none"/>
                      <w:lang w:val="en-US" w:eastAsia="zh-CN" w:bidi="ar"/>
                    </w:rPr>
                    <w:t>项目生产工</w:t>
                  </w:r>
                  <w:r>
                    <w:rPr>
                      <w:rFonts w:hint="default" w:ascii="Times New Roman" w:hAnsi="Times New Roman" w:cs="Times New Roman"/>
                      <w:color w:val="auto"/>
                      <w:kern w:val="0"/>
                      <w:sz w:val="21"/>
                      <w:szCs w:val="21"/>
                      <w:highlight w:val="none"/>
                      <w:lang w:val="en-US" w:eastAsia="zh-CN" w:bidi="ar"/>
                    </w:rPr>
                    <w:t>序</w:t>
                  </w:r>
                  <w:r>
                    <w:rPr>
                      <w:rFonts w:hint="default" w:ascii="Times New Roman" w:hAnsi="Times New Roman" w:eastAsia="宋体" w:cs="Times New Roman"/>
                      <w:color w:val="auto"/>
                      <w:kern w:val="0"/>
                      <w:sz w:val="21"/>
                      <w:szCs w:val="21"/>
                      <w:highlight w:val="none"/>
                      <w:lang w:val="en-US" w:eastAsia="zh-CN" w:bidi="ar"/>
                    </w:rPr>
                    <w:t>均使用电能。</w:t>
                  </w:r>
                </w:p>
              </w:tc>
              <w:tc>
                <w:tcPr>
                  <w:tcW w:w="401" w:type="pct"/>
                  <w:noWrap w:val="0"/>
                  <w:vAlign w:val="center"/>
                </w:tcPr>
                <w:p w14:paraId="1D45B600">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符合</w:t>
                  </w:r>
                </w:p>
              </w:tc>
            </w:tr>
            <w:tr w14:paraId="1DD3C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9" w:hRule="atLeast"/>
                <w:jc w:val="center"/>
              </w:trPr>
              <w:tc>
                <w:tcPr>
                  <w:tcW w:w="929" w:type="pct"/>
                  <w:vMerge w:val="restart"/>
                  <w:noWrap w:val="0"/>
                  <w:vAlign w:val="center"/>
                </w:tcPr>
                <w:p w14:paraId="0AB4F4DB">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《陕西省大气污染治理专项</w:t>
                  </w:r>
                </w:p>
                <w:p w14:paraId="70ECD114">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行动方案》</w:t>
                  </w:r>
                </w:p>
                <w:p w14:paraId="5FD47E1F">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eastAsia="宋体" w:cs="Times New Roman"/>
                      <w:color w:val="auto"/>
                      <w:kern w:val="0"/>
                      <w:sz w:val="21"/>
                      <w:szCs w:val="21"/>
                      <w:highlight w:val="none"/>
                      <w:lang w:val="en" w:eastAsia="zh-CN" w:bidi="ar"/>
                    </w:rPr>
                  </w:pPr>
                  <w:r>
                    <w:rPr>
                      <w:rFonts w:hint="default" w:ascii="Times New Roman" w:hAnsi="Times New Roman" w:eastAsia="宋体" w:cs="Times New Roman"/>
                      <w:color w:val="auto"/>
                      <w:kern w:val="0"/>
                      <w:sz w:val="21"/>
                      <w:szCs w:val="21"/>
                      <w:highlight w:val="none"/>
                      <w:lang w:val="en-US" w:eastAsia="zh-CN" w:bidi="ar"/>
                    </w:rPr>
                    <w:t>（2023-2027年）</w:t>
                  </w:r>
                </w:p>
              </w:tc>
              <w:tc>
                <w:tcPr>
                  <w:tcW w:w="2224" w:type="pct"/>
                  <w:noWrap w:val="0"/>
                  <w:vAlign w:val="center"/>
                </w:tcPr>
                <w:p w14:paraId="6F577E5B">
                  <w:pPr>
                    <w:pStyle w:val="61"/>
                    <w:keepNext w:val="0"/>
                    <w:keepLines w:val="0"/>
                    <w:pageBreakBefore w:val="0"/>
                    <w:kinsoku/>
                    <w:overflowPunct/>
                    <w:topLinePunct w:val="0"/>
                    <w:autoSpaceDE/>
                    <w:autoSpaceDN/>
                    <w:bidi w:val="0"/>
                    <w:spacing w:before="79" w:line="240" w:lineRule="auto"/>
                    <w:ind w:left="105" w:leftChars="0" w:right="36" w:rightChars="0"/>
                    <w:jc w:val="both"/>
                    <w:textAlignment w:val="auto"/>
                    <w:rPr>
                      <w:rFonts w:hint="default" w:ascii="Times New Roman" w:hAnsi="Times New Roman" w:eastAsia="宋体" w:cs="Times New Roman"/>
                      <w:color w:val="auto"/>
                      <w:kern w:val="0"/>
                      <w:sz w:val="21"/>
                      <w:szCs w:val="21"/>
                      <w:highlight w:val="none"/>
                      <w:lang w:val="en-GB" w:eastAsia="zh-CN" w:bidi="ar"/>
                    </w:rPr>
                  </w:pPr>
                  <w:r>
                    <w:rPr>
                      <w:rFonts w:hint="default" w:ascii="Times New Roman" w:hAnsi="Times New Roman" w:eastAsia="宋体" w:cs="Times New Roman"/>
                      <w:color w:val="auto"/>
                      <w:kern w:val="0"/>
                      <w:sz w:val="21"/>
                      <w:szCs w:val="21"/>
                      <w:highlight w:val="none"/>
                      <w:lang w:val="en-US" w:eastAsia="zh-CN" w:bidi="ar"/>
                    </w:rPr>
                    <w:t>产业结构调整。关中地区严禁新增钢铁、焦化、水泥熟料、平板玻璃、电解铝、氧化铝、煤化工产业，合理控制煤制油气产能规模，严控新增炼油产能。</w:t>
                  </w:r>
                </w:p>
              </w:tc>
              <w:tc>
                <w:tcPr>
                  <w:tcW w:w="1444" w:type="pct"/>
                  <w:noWrap w:val="0"/>
                  <w:vAlign w:val="center"/>
                </w:tcPr>
                <w:p w14:paraId="7DF26B68">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auto"/>
                      <w:kern w:val="0"/>
                      <w:sz w:val="21"/>
                      <w:szCs w:val="21"/>
                      <w:highlight w:val="none"/>
                      <w:lang w:val="en-GB" w:eastAsia="zh-CN" w:bidi="ar"/>
                    </w:rPr>
                  </w:pPr>
                  <w:r>
                    <w:rPr>
                      <w:rFonts w:hint="default" w:ascii="Times New Roman" w:hAnsi="Times New Roman" w:eastAsia="宋体" w:cs="Times New Roman"/>
                      <w:color w:val="auto"/>
                      <w:kern w:val="0"/>
                      <w:sz w:val="21"/>
                      <w:szCs w:val="21"/>
                      <w:highlight w:val="none"/>
                      <w:lang w:val="en-US" w:eastAsia="zh-CN" w:bidi="ar"/>
                    </w:rPr>
                    <w:t>本项目为固体废物治理，不属于严禁新增产业。</w:t>
                  </w:r>
                </w:p>
              </w:tc>
              <w:tc>
                <w:tcPr>
                  <w:tcW w:w="401" w:type="pct"/>
                  <w:vMerge w:val="restart"/>
                  <w:noWrap w:val="0"/>
                  <w:vAlign w:val="center"/>
                </w:tcPr>
                <w:p w14:paraId="0C8F4AE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符合</w:t>
                  </w:r>
                </w:p>
              </w:tc>
            </w:tr>
            <w:tr w14:paraId="07AB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5" w:hRule="atLeast"/>
                <w:jc w:val="center"/>
              </w:trPr>
              <w:tc>
                <w:tcPr>
                  <w:tcW w:w="929" w:type="pct"/>
                  <w:vMerge w:val="continue"/>
                  <w:noWrap w:val="0"/>
                  <w:vAlign w:val="center"/>
                </w:tcPr>
                <w:p w14:paraId="40F2D5D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color w:val="auto"/>
                      <w:highlight w:val="none"/>
                    </w:rPr>
                  </w:pPr>
                </w:p>
              </w:tc>
              <w:tc>
                <w:tcPr>
                  <w:tcW w:w="2224" w:type="pct"/>
                  <w:noWrap w:val="0"/>
                  <w:vAlign w:val="center"/>
                </w:tcPr>
                <w:p w14:paraId="3767320A">
                  <w:pPr>
                    <w:pStyle w:val="61"/>
                    <w:keepNext w:val="0"/>
                    <w:keepLines w:val="0"/>
                    <w:pageBreakBefore w:val="0"/>
                    <w:kinsoku/>
                    <w:overflowPunct/>
                    <w:topLinePunct w:val="0"/>
                    <w:autoSpaceDE/>
                    <w:autoSpaceDN/>
                    <w:bidi w:val="0"/>
                    <w:spacing w:before="80" w:line="240" w:lineRule="auto"/>
                    <w:ind w:left="106" w:leftChars="0" w:right="29" w:rightChars="0" w:firstLine="3" w:firstLineChars="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关中地区辖区及开发区范围内新、改、扩建涉气重点行业应达到环保绩效A级、绩效引领性水平，西安市、咸阳市、渭南市的其他区域应达到环保绩效B级及以上水平。</w:t>
                  </w:r>
                </w:p>
              </w:tc>
              <w:tc>
                <w:tcPr>
                  <w:tcW w:w="1444" w:type="pct"/>
                  <w:noWrap w:val="0"/>
                  <w:vAlign w:val="center"/>
                </w:tcPr>
                <w:p w14:paraId="68BE2D08">
                  <w:pPr>
                    <w:pStyle w:val="61"/>
                    <w:keepNext w:val="0"/>
                    <w:keepLines w:val="0"/>
                    <w:pageBreakBefore w:val="0"/>
                    <w:kinsoku/>
                    <w:overflowPunct/>
                    <w:topLinePunct w:val="0"/>
                    <w:autoSpaceDE/>
                    <w:autoSpaceDN/>
                    <w:bidi w:val="0"/>
                    <w:spacing w:before="65" w:line="240" w:lineRule="auto"/>
                    <w:ind w:right="95" w:rightChars="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本项目不属于涉气重点行业</w:t>
                  </w:r>
                  <w:r>
                    <w:rPr>
                      <w:rFonts w:hint="eastAsia" w:ascii="Times New Roman" w:hAnsi="Times New Roman" w:eastAsia="宋体" w:cs="Times New Roman"/>
                      <w:color w:val="auto"/>
                      <w:kern w:val="0"/>
                      <w:sz w:val="21"/>
                      <w:szCs w:val="21"/>
                      <w:highlight w:val="none"/>
                      <w:lang w:val="en-US" w:eastAsia="zh-CN" w:bidi="ar"/>
                    </w:rPr>
                    <w:t>。</w:t>
                  </w:r>
                </w:p>
              </w:tc>
              <w:tc>
                <w:tcPr>
                  <w:tcW w:w="401" w:type="pct"/>
                  <w:vMerge w:val="continue"/>
                  <w:noWrap w:val="0"/>
                  <w:vAlign w:val="center"/>
                </w:tcPr>
                <w:p w14:paraId="15449F0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bidi="ar"/>
                    </w:rPr>
                  </w:pPr>
                </w:p>
              </w:tc>
            </w:tr>
            <w:tr w14:paraId="0439E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138CC2D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陕西省生态环境厅关于进一步加强关中地区涉气重点行业项目环评管理的通知（陕环环评函</w:t>
                  </w:r>
                  <w:r>
                    <w:rPr>
                      <w:rFonts w:hint="default" w:ascii="Times New Roman" w:hAnsi="Times New Roman" w:eastAsia="宋体" w:cs="Times New Roman"/>
                      <w:color w:val="auto"/>
                      <w:sz w:val="21"/>
                      <w:szCs w:val="21"/>
                      <w:highlight w:val="none"/>
                      <w:lang w:val="en-US" w:eastAsia="zh-CN"/>
                    </w:rPr>
                    <w:t>〔2023〕76号</w:t>
                  </w:r>
                  <w:r>
                    <w:rPr>
                      <w:rFonts w:hint="default" w:ascii="Times New Roman" w:hAnsi="Times New Roman" w:cs="Times New Roman"/>
                      <w:color w:val="auto"/>
                      <w:sz w:val="21"/>
                      <w:szCs w:val="21"/>
                      <w:highlight w:val="none"/>
                      <w:lang w:val="en-US" w:eastAsia="zh-CN"/>
                    </w:rPr>
                    <w:t>）</w:t>
                  </w:r>
                </w:p>
              </w:tc>
              <w:tc>
                <w:tcPr>
                  <w:tcW w:w="2224" w:type="pct"/>
                  <w:noWrap w:val="0"/>
                  <w:vAlign w:val="center"/>
                </w:tcPr>
                <w:p w14:paraId="2AAA0852">
                  <w:pPr>
                    <w:pStyle w:val="23"/>
                    <w:keepNext w:val="0"/>
                    <w:keepLines w:val="0"/>
                    <w:pageBreakBefore w:val="0"/>
                    <w:widowControl/>
                    <w:kinsoku/>
                    <w:wordWrap/>
                    <w:overflowPunct/>
                    <w:topLinePunct w:val="0"/>
                    <w:autoSpaceDE/>
                    <w:autoSpaceDN/>
                    <w:bidi w:val="0"/>
                    <w:adjustRightInd w:val="0"/>
                    <w:snapToGrid w:val="0"/>
                    <w:spacing w:before="0" w:after="0" w:line="240" w:lineRule="auto"/>
                    <w:ind w:right="0" w:rightChars="0" w:firstLine="0"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cs="Times New Roman"/>
                      <w:color w:val="auto"/>
                      <w:spacing w:val="0"/>
                      <w:kern w:val="0"/>
                      <w:sz w:val="21"/>
                      <w:szCs w:val="21"/>
                      <w:highlight w:val="none"/>
                      <w:lang w:val="en-US" w:eastAsia="zh-CN" w:bidi="ar-SA"/>
                    </w:rPr>
                    <w:t>一、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444" w:type="pct"/>
                  <w:vMerge w:val="restart"/>
                  <w:noWrap w:val="0"/>
                  <w:vAlign w:val="center"/>
                </w:tcPr>
                <w:p w14:paraId="6A4CCE5E">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位于西咸新区泾河新城，属于关中地区；不属于</w:t>
                  </w:r>
                  <w:r>
                    <w:rPr>
                      <w:rFonts w:hint="default" w:ascii="Times New Roman" w:hAnsi="Times New Roman" w:eastAsia="宋体" w:cs="Times New Roman"/>
                      <w:color w:val="auto"/>
                      <w:sz w:val="21"/>
                      <w:szCs w:val="21"/>
                      <w:highlight w:val="none"/>
                    </w:rPr>
                    <w:t>《重污染天气重点行业应急减排措施制定技术指南（2020年修订版）》中的重点行业</w:t>
                  </w:r>
                  <w:r>
                    <w:rPr>
                      <w:rFonts w:hint="default" w:ascii="Times New Roman" w:hAnsi="Times New Roman" w:eastAsia="宋体" w:cs="Times New Roman"/>
                      <w:color w:val="auto"/>
                      <w:sz w:val="21"/>
                      <w:szCs w:val="21"/>
                      <w:highlight w:val="none"/>
                      <w:lang w:val="en-US" w:eastAsia="zh-CN"/>
                    </w:rPr>
                    <w:t>中，不纳入绩效评级管理。</w:t>
                  </w:r>
                </w:p>
              </w:tc>
              <w:tc>
                <w:tcPr>
                  <w:tcW w:w="401" w:type="pct"/>
                  <w:noWrap w:val="0"/>
                  <w:vAlign w:val="center"/>
                </w:tcPr>
                <w:p w14:paraId="4407703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6F416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7E18580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rPr>
                  </w:pPr>
                </w:p>
              </w:tc>
              <w:tc>
                <w:tcPr>
                  <w:tcW w:w="2224" w:type="pct"/>
                  <w:noWrap w:val="0"/>
                  <w:vAlign w:val="center"/>
                </w:tcPr>
                <w:p w14:paraId="36DEA072">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二、关中地区涉气重点行业新、改、扩建项目环境影响报告书（表）应编制环保绩效管理篇章，按照环办大气函〔2020</w:t>
                  </w:r>
                  <w:r>
                    <w:rPr>
                      <w:rFonts w:hint="default" w:ascii="Times New Roman" w:hAnsi="Times New Roman" w:eastAsia="宋体" w:cs="Times New Roman"/>
                      <w:color w:val="auto"/>
                      <w:sz w:val="21"/>
                      <w:szCs w:val="21"/>
                      <w:highlight w:val="none"/>
                    </w:rPr>
                    <w:t>〕</w:t>
                  </w:r>
                  <w:r>
                    <w:rPr>
                      <w:rFonts w:hint="default" w:ascii="Times New Roman" w:hAnsi="Times New Roman" w:cs="Times New Roman"/>
                      <w:color w:val="auto"/>
                      <w:sz w:val="21"/>
                      <w:szCs w:val="21"/>
                      <w:highlight w:val="none"/>
                    </w:rPr>
                    <w:t>340号文件从建设项目的装备水平</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生产工艺</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444" w:type="pct"/>
                  <w:vMerge w:val="continue"/>
                  <w:noWrap w:val="0"/>
                  <w:vAlign w:val="center"/>
                </w:tcPr>
                <w:p w14:paraId="118E8A16">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p>
              </w:tc>
              <w:tc>
                <w:tcPr>
                  <w:tcW w:w="401" w:type="pct"/>
                  <w:noWrap w:val="0"/>
                  <w:vAlign w:val="center"/>
                </w:tcPr>
                <w:p w14:paraId="63A35BE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42A28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5228454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《陕西省生态环境厅关于解决企业申报污染物许可排放量与环评文件排放量不一致问题的通知》（陕环排管函〔2024〕</w:t>
                  </w:r>
                </w:p>
                <w:p w14:paraId="3B6926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18号）</w:t>
                  </w:r>
                </w:p>
              </w:tc>
              <w:tc>
                <w:tcPr>
                  <w:tcW w:w="2224" w:type="pct"/>
                  <w:noWrap w:val="0"/>
                  <w:vAlign w:val="center"/>
                </w:tcPr>
                <w:p w14:paraId="64A44BB0">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新改扩建项目环评文件应明确污染物排放量核算符合排污许可规范等相关要求</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同时增加该项目与已建成同类项目实际污染物达标排放量的比对分析内容</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优先采用监测数据法，其次采用产排污系数法、物料衡算法核算</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，综合确定该项目污染物排放量。环评文件审批部门应将项目污染物排放量作为环评审查的主要内容，确保环评文件排放量同时满足环境影响评价和排污许可管理要求。</w:t>
                  </w:r>
                </w:p>
              </w:tc>
              <w:tc>
                <w:tcPr>
                  <w:tcW w:w="1444" w:type="pct"/>
                  <w:noWrap w:val="0"/>
                  <w:vAlign w:val="center"/>
                </w:tcPr>
                <w:p w14:paraId="330C0B27">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kern w:val="21"/>
                      <w:sz w:val="21"/>
                      <w:szCs w:val="21"/>
                      <w:highlight w:val="none"/>
                      <w:lang w:val="en-US" w:eastAsia="zh-CN" w:bidi="ar-SA"/>
                    </w:rPr>
                  </w:pPr>
                  <w:r>
                    <w:rPr>
                      <w:rFonts w:hint="eastAsia" w:ascii="Times New Roman" w:hAnsi="Times New Roman" w:cs="Times New Roman"/>
                      <w:color w:val="auto"/>
                      <w:kern w:val="21"/>
                      <w:sz w:val="21"/>
                      <w:szCs w:val="21"/>
                      <w:highlight w:val="none"/>
                      <w:lang w:val="en-US" w:eastAsia="zh-CN"/>
                    </w:rPr>
                    <w:t>根据《固定污染源排污许可分类管理名录（2019年版）》</w:t>
                  </w:r>
                  <w:r>
                    <w:rPr>
                      <w:rFonts w:hint="default" w:ascii="Times New Roman" w:hAnsi="Times New Roman" w:cs="Times New Roman"/>
                      <w:color w:val="auto"/>
                      <w:kern w:val="21"/>
                      <w:sz w:val="21"/>
                      <w:szCs w:val="21"/>
                      <w:highlight w:val="none"/>
                      <w:lang w:val="en-US" w:eastAsia="zh-CN"/>
                    </w:rPr>
                    <w:t>，</w:t>
                  </w:r>
                  <w:r>
                    <w:rPr>
                      <w:rFonts w:hint="eastAsia" w:ascii="Times New Roman" w:hAnsi="Times New Roman" w:cs="Times New Roman"/>
                      <w:color w:val="auto"/>
                      <w:kern w:val="21"/>
                      <w:sz w:val="21"/>
                      <w:szCs w:val="21"/>
                      <w:highlight w:val="none"/>
                      <w:lang w:val="en-US" w:eastAsia="zh-CN"/>
                    </w:rPr>
                    <w:t>需</w:t>
                  </w:r>
                  <w:r>
                    <w:rPr>
                      <w:rFonts w:hint="eastAsia"/>
                      <w:color w:val="auto"/>
                      <w:highlight w:val="none"/>
                      <w:lang w:val="en-US" w:eastAsia="zh-CN"/>
                    </w:rPr>
                    <w:t>办理排污许可证手续，</w:t>
                  </w:r>
                  <w:r>
                    <w:rPr>
                      <w:rFonts w:hint="eastAsia" w:ascii="Times New Roman" w:hAnsi="Times New Roman" w:cs="Times New Roman"/>
                      <w:color w:val="auto"/>
                      <w:kern w:val="21"/>
                      <w:sz w:val="21"/>
                      <w:szCs w:val="21"/>
                      <w:highlight w:val="none"/>
                      <w:lang w:val="en-US" w:eastAsia="zh-CN"/>
                    </w:rPr>
                    <w:t>申请排污许可证时</w:t>
                  </w:r>
                  <w:r>
                    <w:rPr>
                      <w:rFonts w:hint="default" w:ascii="Times New Roman" w:hAnsi="Times New Roman" w:cs="Times New Roman"/>
                      <w:color w:val="auto"/>
                      <w:sz w:val="21"/>
                      <w:szCs w:val="21"/>
                      <w:highlight w:val="none"/>
                      <w:lang w:val="en-US" w:eastAsia="zh-CN"/>
                    </w:rPr>
                    <w:t>综合确定该项目污染物排放量</w:t>
                  </w:r>
                  <w:r>
                    <w:rPr>
                      <w:rFonts w:hint="eastAsia" w:ascii="Times New Roman" w:hAnsi="Times New Roman" w:cs="Times New Roman"/>
                      <w:color w:val="auto"/>
                      <w:sz w:val="21"/>
                      <w:szCs w:val="21"/>
                      <w:highlight w:val="none"/>
                      <w:lang w:val="en-US" w:eastAsia="zh-CN"/>
                    </w:rPr>
                    <w:t>。</w:t>
                  </w:r>
                </w:p>
              </w:tc>
              <w:tc>
                <w:tcPr>
                  <w:tcW w:w="401" w:type="pct"/>
                  <w:noWrap w:val="0"/>
                  <w:vAlign w:val="center"/>
                </w:tcPr>
                <w:p w14:paraId="658A985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431C7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584D33E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olor w:val="auto"/>
                      <w:highlight w:val="none"/>
                      <w:lang w:val="en-US" w:eastAsia="zh-CN"/>
                    </w:rPr>
                    <w:t>《陕西省西咸新区党政办公室关于印发西咸新区推进实现“十四五”空气质量目标暨大气污染治理专项行动2025年工作方案的通知》陕西咸党政办函〔2025〕13号</w:t>
                  </w:r>
                </w:p>
              </w:tc>
              <w:tc>
                <w:tcPr>
                  <w:tcW w:w="2224" w:type="pct"/>
                  <w:noWrap w:val="0"/>
                  <w:vAlign w:val="center"/>
                </w:tcPr>
                <w:p w14:paraId="146FF5E7">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新、改、扩建项目严格落实各项准入要求，原则上采用清洁运</w:t>
                  </w:r>
                  <w:r>
                    <w:rPr>
                      <w:rFonts w:hint="default" w:ascii="Times New Roman" w:hAnsi="Times New Roman" w:cs="Times New Roman"/>
                      <w:color w:val="auto"/>
                      <w:sz w:val="21"/>
                      <w:szCs w:val="21"/>
                      <w:highlight w:val="none"/>
                      <w:lang w:val="en-US" w:eastAsia="zh-CN"/>
                    </w:rPr>
                    <w:t>输</w:t>
                  </w:r>
                  <w:r>
                    <w:rPr>
                      <w:rFonts w:hint="default" w:ascii="Times New Roman" w:hAnsi="Times New Roman" w:cs="Times New Roman"/>
                      <w:color w:val="auto"/>
                      <w:sz w:val="21"/>
                      <w:szCs w:val="21"/>
                      <w:highlight w:val="none"/>
                      <w:lang w:val="en-US" w:eastAsia="zh-CN"/>
                    </w:rPr>
                    <w:t>方式，对属于节能降碳工业重点领域的新建项目必须按照能效标杆</w:t>
                  </w:r>
                  <w:r>
                    <w:rPr>
                      <w:rFonts w:hint="eastAsia" w:cs="Times New Roman"/>
                      <w:color w:val="auto"/>
                      <w:sz w:val="21"/>
                      <w:szCs w:val="21"/>
                      <w:highlight w:val="none"/>
                      <w:lang w:val="en-US" w:eastAsia="zh-CN"/>
                    </w:rPr>
                    <w:t>水平</w:t>
                  </w:r>
                  <w:r>
                    <w:rPr>
                      <w:rFonts w:hint="default" w:ascii="Times New Roman" w:hAnsi="Times New Roman" w:cs="Times New Roman"/>
                      <w:color w:val="auto"/>
                      <w:sz w:val="21"/>
                      <w:szCs w:val="21"/>
                      <w:highlight w:val="none"/>
                      <w:lang w:val="en-US" w:eastAsia="zh-CN"/>
                    </w:rPr>
                    <w:t>建设。</w:t>
                  </w:r>
                </w:p>
              </w:tc>
              <w:tc>
                <w:tcPr>
                  <w:tcW w:w="1444" w:type="pct"/>
                  <w:noWrap w:val="0"/>
                  <w:vAlign w:val="center"/>
                </w:tcPr>
                <w:p w14:paraId="2A3121F8">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kern w:val="21"/>
                      <w:sz w:val="21"/>
                      <w:szCs w:val="21"/>
                      <w:highlight w:val="none"/>
                      <w:lang w:val="en-US" w:eastAsia="zh-CN"/>
                    </w:rPr>
                  </w:pPr>
                  <w:r>
                    <w:rPr>
                      <w:rFonts w:hint="eastAsia" w:cs="Times New Roman"/>
                      <w:color w:val="auto"/>
                      <w:kern w:val="21"/>
                      <w:sz w:val="21"/>
                      <w:szCs w:val="21"/>
                      <w:highlight w:val="none"/>
                      <w:lang w:val="en-US" w:eastAsia="zh-CN"/>
                    </w:rPr>
                    <w:t>本项目使用的非道路移动机械为</w:t>
                  </w:r>
                  <w:r>
                    <w:rPr>
                      <w:rFonts w:hint="eastAsia"/>
                      <w:color w:val="auto"/>
                      <w:highlight w:val="none"/>
                      <w:vertAlign w:val="baseline"/>
                      <w:lang w:val="en-US" w:eastAsia="zh-CN"/>
                    </w:rPr>
                    <w:t>叉车夹抱机，使用电能。</w:t>
                  </w:r>
                </w:p>
              </w:tc>
              <w:tc>
                <w:tcPr>
                  <w:tcW w:w="401" w:type="pct"/>
                  <w:vMerge w:val="restart"/>
                  <w:noWrap w:val="0"/>
                  <w:vAlign w:val="center"/>
                </w:tcPr>
                <w:p w14:paraId="2271B75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r>
                    <w:rPr>
                      <w:rFonts w:hint="eastAsia" w:cs="Times New Roman"/>
                      <w:color w:val="auto"/>
                      <w:kern w:val="21"/>
                      <w:sz w:val="21"/>
                      <w:szCs w:val="21"/>
                      <w:highlight w:val="none"/>
                      <w:lang w:val="en-US" w:eastAsia="zh-CN"/>
                    </w:rPr>
                    <w:t>符合</w:t>
                  </w:r>
                </w:p>
              </w:tc>
            </w:tr>
            <w:tr w14:paraId="135F2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14AD93C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24" w:type="pct"/>
                  <w:noWrap w:val="0"/>
                  <w:vAlign w:val="center"/>
                </w:tcPr>
                <w:p w14:paraId="626E720B">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落实易造成粉尘逸散的砂石等运输车辆密闭运输要求，防止运输过程中出现抛撒滴漏及扬尘问题。</w:t>
                  </w:r>
                </w:p>
              </w:tc>
              <w:tc>
                <w:tcPr>
                  <w:tcW w:w="1444" w:type="pct"/>
                  <w:noWrap w:val="0"/>
                  <w:vAlign w:val="center"/>
                </w:tcPr>
                <w:p w14:paraId="4F6A1AFD">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auto"/>
                      <w:kern w:val="21"/>
                      <w:sz w:val="21"/>
                      <w:szCs w:val="21"/>
                      <w:highlight w:val="none"/>
                      <w:lang w:val="en-US" w:eastAsia="zh-CN"/>
                    </w:rPr>
                  </w:pPr>
                  <w:r>
                    <w:rPr>
                      <w:rFonts w:hint="eastAsia" w:cs="Times New Roman"/>
                      <w:color w:val="auto"/>
                      <w:kern w:val="21"/>
                      <w:sz w:val="21"/>
                      <w:szCs w:val="21"/>
                      <w:highlight w:val="none"/>
                      <w:lang w:val="en-US" w:eastAsia="zh-CN"/>
                    </w:rPr>
                    <w:t>本项目原料运输过程中苫盖篷布。</w:t>
                  </w:r>
                </w:p>
              </w:tc>
              <w:tc>
                <w:tcPr>
                  <w:tcW w:w="401" w:type="pct"/>
                  <w:vMerge w:val="continue"/>
                  <w:noWrap w:val="0"/>
                  <w:vAlign w:val="center"/>
                </w:tcPr>
                <w:p w14:paraId="28A8E51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p>
              </w:tc>
            </w:tr>
            <w:tr w14:paraId="28C25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3D1C869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color w:val="auto"/>
                      <w:highlight w:val="none"/>
                      <w:lang w:val="en-US" w:eastAsia="zh-CN"/>
                    </w:rPr>
                  </w:pPr>
                </w:p>
              </w:tc>
              <w:tc>
                <w:tcPr>
                  <w:tcW w:w="2224" w:type="pct"/>
                  <w:noWrap w:val="0"/>
                  <w:vAlign w:val="center"/>
                </w:tcPr>
                <w:p w14:paraId="553C05F6">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严禁露天装卸作业和物料干法作业，</w:t>
                  </w:r>
                </w:p>
              </w:tc>
              <w:tc>
                <w:tcPr>
                  <w:tcW w:w="1444" w:type="pct"/>
                  <w:noWrap w:val="0"/>
                  <w:vAlign w:val="center"/>
                </w:tcPr>
                <w:p w14:paraId="79E090F3">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kern w:val="21"/>
                      <w:sz w:val="21"/>
                      <w:szCs w:val="21"/>
                      <w:highlight w:val="none"/>
                      <w:lang w:val="en-US" w:eastAsia="zh-CN"/>
                    </w:rPr>
                  </w:pPr>
                  <w:r>
                    <w:rPr>
                      <w:rFonts w:hint="eastAsia" w:cs="Times New Roman"/>
                      <w:color w:val="auto"/>
                      <w:kern w:val="21"/>
                      <w:sz w:val="21"/>
                      <w:szCs w:val="21"/>
                      <w:highlight w:val="none"/>
                      <w:lang w:val="en-US" w:eastAsia="zh-CN"/>
                    </w:rPr>
                    <w:t>本项目原料卸车产品装车均在厂房内完成。</w:t>
                  </w:r>
                </w:p>
              </w:tc>
              <w:tc>
                <w:tcPr>
                  <w:tcW w:w="401" w:type="pct"/>
                  <w:vMerge w:val="continue"/>
                  <w:noWrap w:val="0"/>
                  <w:vAlign w:val="center"/>
                </w:tcPr>
                <w:p w14:paraId="2B38A46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p>
              </w:tc>
            </w:tr>
            <w:tr w14:paraId="3CE42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411A6D23">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陕西省西咸新区泾河新城党政办公室关于印发《泾河新城推进实现“十四五”空气质量目标暨大气污染治理专项行动2025年工作方案》陕泾河办发〔2025〕6号</w:t>
                  </w:r>
                </w:p>
              </w:tc>
              <w:tc>
                <w:tcPr>
                  <w:tcW w:w="2224" w:type="pct"/>
                  <w:noWrap w:val="0"/>
                  <w:vAlign w:val="center"/>
                </w:tcPr>
                <w:p w14:paraId="2B6941D7">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新、改、扩建项目严格落实各项准入要求，原则上采用清洁运输方式，对属于节能降碳工业重点领域的新建项目必须按照能效标杆</w:t>
                  </w:r>
                  <w:r>
                    <w:rPr>
                      <w:rFonts w:hint="eastAsia" w:ascii="Times New Roman" w:hAnsi="Times New Roman" w:cs="Times New Roman"/>
                      <w:color w:val="auto"/>
                      <w:sz w:val="21"/>
                      <w:szCs w:val="21"/>
                      <w:highlight w:val="none"/>
                      <w:lang w:val="en-US" w:eastAsia="zh-CN"/>
                    </w:rPr>
                    <w:t>水平</w:t>
                  </w:r>
                  <w:r>
                    <w:rPr>
                      <w:rFonts w:hint="default" w:ascii="Times New Roman" w:hAnsi="Times New Roman" w:cs="Times New Roman"/>
                      <w:color w:val="auto"/>
                      <w:sz w:val="21"/>
                      <w:szCs w:val="21"/>
                      <w:highlight w:val="none"/>
                      <w:lang w:val="en-US" w:eastAsia="zh-CN"/>
                    </w:rPr>
                    <w:t>建设。</w:t>
                  </w:r>
                </w:p>
              </w:tc>
              <w:tc>
                <w:tcPr>
                  <w:tcW w:w="1444" w:type="pct"/>
                  <w:noWrap w:val="0"/>
                  <w:vAlign w:val="center"/>
                </w:tcPr>
                <w:p w14:paraId="61CB2D9A">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本项目使用的非道路移动机械为叉车夹抱机，使用电能。</w:t>
                  </w:r>
                </w:p>
              </w:tc>
              <w:tc>
                <w:tcPr>
                  <w:tcW w:w="401" w:type="pct"/>
                  <w:vMerge w:val="restart"/>
                  <w:noWrap w:val="0"/>
                  <w:vAlign w:val="center"/>
                </w:tcPr>
                <w:p w14:paraId="1FCEE19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r>
                    <w:rPr>
                      <w:rFonts w:hint="eastAsia" w:cs="Times New Roman"/>
                      <w:color w:val="auto"/>
                      <w:kern w:val="21"/>
                      <w:sz w:val="21"/>
                      <w:szCs w:val="21"/>
                      <w:highlight w:val="none"/>
                      <w:lang w:val="en-US" w:eastAsia="zh-CN"/>
                    </w:rPr>
                    <w:t>符合</w:t>
                  </w:r>
                </w:p>
              </w:tc>
            </w:tr>
            <w:tr w14:paraId="1E01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29C733BA">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auto"/>
                      <w:sz w:val="21"/>
                      <w:szCs w:val="21"/>
                      <w:highlight w:val="none"/>
                      <w:lang w:val="en-US" w:eastAsia="zh-CN"/>
                    </w:rPr>
                  </w:pPr>
                </w:p>
              </w:tc>
              <w:tc>
                <w:tcPr>
                  <w:tcW w:w="2224" w:type="pct"/>
                  <w:noWrap w:val="0"/>
                  <w:vAlign w:val="center"/>
                </w:tcPr>
                <w:p w14:paraId="5E906480">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落实易造成粉尘逸散的砂石等运输车辆密闭运输要求，防止运输过程中出现抛撒滴漏及扬尘问题。</w:t>
                  </w:r>
                </w:p>
              </w:tc>
              <w:tc>
                <w:tcPr>
                  <w:tcW w:w="1444" w:type="pct"/>
                  <w:noWrap w:val="0"/>
                  <w:vAlign w:val="center"/>
                </w:tcPr>
                <w:p w14:paraId="6A883307">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本项目原料运输过程中苫盖篷布。</w:t>
                  </w:r>
                </w:p>
              </w:tc>
              <w:tc>
                <w:tcPr>
                  <w:tcW w:w="401" w:type="pct"/>
                  <w:vMerge w:val="continue"/>
                  <w:noWrap w:val="0"/>
                  <w:vAlign w:val="center"/>
                </w:tcPr>
                <w:p w14:paraId="41722BF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p>
              </w:tc>
            </w:tr>
            <w:tr w14:paraId="09A64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24983938">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auto"/>
                      <w:sz w:val="21"/>
                      <w:szCs w:val="21"/>
                      <w:highlight w:val="none"/>
                      <w:lang w:val="en-US" w:eastAsia="zh-CN"/>
                    </w:rPr>
                  </w:pPr>
                </w:p>
              </w:tc>
              <w:tc>
                <w:tcPr>
                  <w:tcW w:w="2224" w:type="pct"/>
                  <w:noWrap w:val="0"/>
                  <w:vAlign w:val="center"/>
                </w:tcPr>
                <w:p w14:paraId="357ECDEB">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严禁露天装卸作业和物料</w:t>
                  </w:r>
                  <w:r>
                    <w:rPr>
                      <w:rFonts w:hint="eastAsia" w:ascii="Times New Roman" w:hAnsi="Times New Roman" w:cs="Times New Roman"/>
                      <w:color w:val="auto"/>
                      <w:sz w:val="21"/>
                      <w:szCs w:val="21"/>
                      <w:highlight w:val="none"/>
                      <w:lang w:val="en-US" w:eastAsia="zh-CN"/>
                    </w:rPr>
                    <w:t>干</w:t>
                  </w:r>
                  <w:r>
                    <w:rPr>
                      <w:rFonts w:hint="default" w:ascii="Times New Roman" w:hAnsi="Times New Roman" w:cs="Times New Roman"/>
                      <w:color w:val="auto"/>
                      <w:sz w:val="21"/>
                      <w:szCs w:val="21"/>
                      <w:highlight w:val="none"/>
                      <w:lang w:val="en-US" w:eastAsia="zh-CN"/>
                    </w:rPr>
                    <w:t>法作业</w:t>
                  </w:r>
                  <w:r>
                    <w:rPr>
                      <w:rFonts w:hint="eastAsia" w:ascii="Times New Roman" w:hAnsi="Times New Roman" w:cs="Times New Roman"/>
                      <w:color w:val="auto"/>
                      <w:sz w:val="21"/>
                      <w:szCs w:val="21"/>
                      <w:highlight w:val="none"/>
                      <w:lang w:val="en-US" w:eastAsia="zh-CN"/>
                    </w:rPr>
                    <w:t>。</w:t>
                  </w:r>
                </w:p>
              </w:tc>
              <w:tc>
                <w:tcPr>
                  <w:tcW w:w="1444" w:type="pct"/>
                  <w:noWrap w:val="0"/>
                  <w:vAlign w:val="center"/>
                </w:tcPr>
                <w:p w14:paraId="295A2B45">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本项目原料卸车产品装车均在厂房内完成。</w:t>
                  </w:r>
                </w:p>
              </w:tc>
              <w:tc>
                <w:tcPr>
                  <w:tcW w:w="401" w:type="pct"/>
                  <w:vMerge w:val="continue"/>
                  <w:noWrap w:val="0"/>
                  <w:vAlign w:val="center"/>
                </w:tcPr>
                <w:p w14:paraId="57E715C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p>
              </w:tc>
            </w:tr>
            <w:tr w14:paraId="63B52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AF4F91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 w:eastAsia="zh-CN"/>
                    </w:rPr>
                  </w:pPr>
                  <w:r>
                    <w:rPr>
                      <w:rFonts w:hint="default" w:ascii="Times New Roman" w:hAnsi="Times New Roman" w:cs="Times New Roman"/>
                      <w:color w:val="auto"/>
                      <w:sz w:val="21"/>
                      <w:szCs w:val="21"/>
                      <w:highlight w:val="none"/>
                      <w:lang w:val="en-US" w:eastAsia="zh-CN"/>
                    </w:rPr>
                    <w:t>《西安市人民政府关于印发西安市空气质量达标规划（2023-2030年）的通知》（市政发〔2023〕10号）</w:t>
                  </w:r>
                </w:p>
              </w:tc>
              <w:tc>
                <w:tcPr>
                  <w:tcW w:w="2224" w:type="pct"/>
                  <w:noWrap w:val="0"/>
                  <w:vAlign w:val="center"/>
                </w:tcPr>
                <w:p w14:paraId="27F2A124">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sz w:val="21"/>
                      <w:szCs w:val="21"/>
                      <w:highlight w:val="none"/>
                      <w:lang w:val="en-US" w:eastAsia="zh-CN"/>
                    </w:rPr>
                    <w:t>根据国土空间规划分区和用途管制，实施</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三线一单</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（生态保护红线、环境质量底线、资源利用上线和生态环境准入清单）生态环境分区管控制度。</w:t>
                  </w:r>
                </w:p>
              </w:tc>
              <w:tc>
                <w:tcPr>
                  <w:tcW w:w="1444" w:type="pct"/>
                  <w:noWrap w:val="0"/>
                  <w:vAlign w:val="center"/>
                </w:tcPr>
                <w:p w14:paraId="3B595462">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21"/>
                      <w:sz w:val="21"/>
                      <w:szCs w:val="21"/>
                      <w:highlight w:val="none"/>
                      <w:lang w:val="en-GB" w:eastAsia="zh-CN"/>
                    </w:rPr>
                  </w:pPr>
                  <w:r>
                    <w:rPr>
                      <w:rFonts w:hint="default" w:ascii="Times New Roman" w:hAnsi="Times New Roman" w:cs="Times New Roman"/>
                      <w:color w:val="auto"/>
                      <w:kern w:val="21"/>
                      <w:sz w:val="21"/>
                      <w:szCs w:val="21"/>
                      <w:highlight w:val="none"/>
                      <w:lang w:val="en-US" w:eastAsia="zh-CN"/>
                    </w:rPr>
                    <w:t>项目符合</w:t>
                  </w:r>
                  <w:r>
                    <w:rPr>
                      <w:rFonts w:hint="eastAsia" w:ascii="Times New Roman" w:hAnsi="Times New Roman" w:cs="Times New Roman"/>
                      <w:color w:val="auto"/>
                      <w:kern w:val="21"/>
                      <w:sz w:val="21"/>
                      <w:szCs w:val="21"/>
                      <w:highlight w:val="none"/>
                      <w:lang w:val="en-US" w:eastAsia="zh-CN"/>
                    </w:rPr>
                    <w:t>“</w:t>
                  </w:r>
                  <w:r>
                    <w:rPr>
                      <w:rFonts w:hint="default" w:ascii="Times New Roman" w:hAnsi="Times New Roman" w:cs="Times New Roman"/>
                      <w:color w:val="auto"/>
                      <w:kern w:val="21"/>
                      <w:sz w:val="21"/>
                      <w:szCs w:val="21"/>
                      <w:highlight w:val="none"/>
                      <w:lang w:val="en-US" w:eastAsia="zh-CN"/>
                    </w:rPr>
                    <w:t>三线一单</w:t>
                  </w:r>
                  <w:r>
                    <w:rPr>
                      <w:rFonts w:hint="eastAsia" w:ascii="Times New Roman" w:hAnsi="Times New Roman" w:cs="Times New Roman"/>
                      <w:color w:val="auto"/>
                      <w:kern w:val="21"/>
                      <w:sz w:val="21"/>
                      <w:szCs w:val="21"/>
                      <w:highlight w:val="none"/>
                      <w:lang w:val="en-US" w:eastAsia="zh-CN"/>
                    </w:rPr>
                    <w:t>”</w:t>
                  </w:r>
                  <w:r>
                    <w:rPr>
                      <w:rFonts w:hint="default" w:ascii="Times New Roman" w:hAnsi="Times New Roman" w:cs="Times New Roman"/>
                      <w:color w:val="auto"/>
                      <w:kern w:val="21"/>
                      <w:sz w:val="21"/>
                      <w:szCs w:val="21"/>
                      <w:highlight w:val="none"/>
                      <w:lang w:val="en-US" w:eastAsia="zh-CN"/>
                    </w:rPr>
                    <w:t>生态环境分区管控中的相关要求。</w:t>
                  </w:r>
                </w:p>
              </w:tc>
              <w:tc>
                <w:tcPr>
                  <w:tcW w:w="401" w:type="pct"/>
                  <w:noWrap w:val="0"/>
                  <w:vAlign w:val="center"/>
                </w:tcPr>
                <w:p w14:paraId="380DDFA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1697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E769C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21"/>
                      <w:sz w:val="21"/>
                      <w:szCs w:val="21"/>
                      <w:highlight w:val="none"/>
                      <w:lang w:val="en" w:eastAsia="zh-CN"/>
                    </w:rPr>
                    <w:t>《</w:t>
                  </w:r>
                  <w:r>
                    <w:rPr>
                      <w:rFonts w:hint="default" w:ascii="Times New Roman" w:hAnsi="Times New Roman" w:cs="Times New Roman"/>
                      <w:color w:val="auto"/>
                      <w:kern w:val="21"/>
                      <w:sz w:val="21"/>
                      <w:szCs w:val="21"/>
                      <w:highlight w:val="none"/>
                      <w:lang w:val="en"/>
                    </w:rPr>
                    <w:t>西安市人民政府关于印发</w:t>
                  </w:r>
                  <w:r>
                    <w:rPr>
                      <w:rFonts w:hint="eastAsia" w:ascii="Times New Roman" w:hAnsi="Times New Roman" w:cs="Times New Roman"/>
                      <w:color w:val="auto"/>
                      <w:kern w:val="21"/>
                      <w:sz w:val="21"/>
                      <w:szCs w:val="21"/>
                      <w:highlight w:val="none"/>
                      <w:lang w:val="en" w:eastAsia="zh-CN"/>
                    </w:rPr>
                    <w:t>“</w:t>
                  </w:r>
                  <w:r>
                    <w:rPr>
                      <w:rFonts w:hint="default" w:ascii="Times New Roman" w:hAnsi="Times New Roman" w:cs="Times New Roman"/>
                      <w:color w:val="auto"/>
                      <w:kern w:val="21"/>
                      <w:sz w:val="21"/>
                      <w:szCs w:val="21"/>
                      <w:highlight w:val="none"/>
                      <w:lang w:val="en"/>
                    </w:rPr>
                    <w:t>十四五</w:t>
                  </w:r>
                  <w:r>
                    <w:rPr>
                      <w:rFonts w:hint="eastAsia" w:ascii="Times New Roman" w:hAnsi="Times New Roman" w:cs="Times New Roman"/>
                      <w:color w:val="auto"/>
                      <w:kern w:val="21"/>
                      <w:sz w:val="21"/>
                      <w:szCs w:val="21"/>
                      <w:highlight w:val="none"/>
                      <w:lang w:val="en" w:eastAsia="zh-CN"/>
                    </w:rPr>
                    <w:t>”</w:t>
                  </w:r>
                  <w:r>
                    <w:rPr>
                      <w:rFonts w:hint="default" w:ascii="Times New Roman" w:hAnsi="Times New Roman" w:cs="Times New Roman"/>
                      <w:color w:val="auto"/>
                      <w:kern w:val="21"/>
                      <w:sz w:val="21"/>
                      <w:szCs w:val="21"/>
                      <w:highlight w:val="none"/>
                      <w:lang w:val="en"/>
                    </w:rPr>
                    <w:t>生态环境保护规划的通知</w:t>
                  </w:r>
                  <w:r>
                    <w:rPr>
                      <w:rFonts w:hint="default" w:ascii="Times New Roman" w:hAnsi="Times New Roman" w:cs="Times New Roman"/>
                      <w:color w:val="auto"/>
                      <w:kern w:val="21"/>
                      <w:sz w:val="21"/>
                      <w:szCs w:val="21"/>
                      <w:highlight w:val="none"/>
                      <w:lang w:val="en" w:eastAsia="zh-CN"/>
                    </w:rPr>
                    <w:t>》</w:t>
                  </w:r>
                  <w:r>
                    <w:rPr>
                      <w:rFonts w:hint="default" w:ascii="Times New Roman" w:hAnsi="Times New Roman" w:cs="Times New Roman"/>
                      <w:color w:val="auto"/>
                      <w:kern w:val="21"/>
                      <w:sz w:val="21"/>
                      <w:szCs w:val="21"/>
                      <w:highlight w:val="none"/>
                      <w:lang w:val="en"/>
                    </w:rPr>
                    <w:t>（市政发〔2021〕21号）</w:t>
                  </w:r>
                </w:p>
              </w:tc>
              <w:tc>
                <w:tcPr>
                  <w:tcW w:w="2224" w:type="pct"/>
                  <w:noWrap w:val="0"/>
                  <w:vAlign w:val="center"/>
                </w:tcPr>
                <w:p w14:paraId="2AF808B3">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坚持将生态环境保护融入发展全过程，落实</w:t>
                  </w:r>
                  <w:r>
                    <w:rPr>
                      <w:rFonts w:hint="eastAsia" w:ascii="Times New Roman" w:hAnsi="Times New Roman" w:eastAsia="宋体" w:cs="Times New Roman"/>
                      <w:color w:val="auto"/>
                      <w:kern w:val="0"/>
                      <w:sz w:val="21"/>
                      <w:szCs w:val="21"/>
                      <w:highlight w:val="none"/>
                      <w:lang w:eastAsia="zh-CN"/>
                    </w:rPr>
                    <w:t>“</w:t>
                  </w:r>
                  <w:r>
                    <w:rPr>
                      <w:rFonts w:hint="default" w:ascii="Times New Roman" w:hAnsi="Times New Roman" w:eastAsia="宋体" w:cs="Times New Roman"/>
                      <w:color w:val="auto"/>
                      <w:kern w:val="0"/>
                      <w:sz w:val="21"/>
                      <w:szCs w:val="21"/>
                      <w:highlight w:val="none"/>
                    </w:rPr>
                    <w:t>三线一单</w:t>
                  </w:r>
                  <w:r>
                    <w:rPr>
                      <w:rFonts w:hint="eastAsia" w:ascii="Times New Roman" w:hAnsi="Times New Roman" w:eastAsia="宋体" w:cs="Times New Roman"/>
                      <w:color w:val="auto"/>
                      <w:kern w:val="0"/>
                      <w:sz w:val="21"/>
                      <w:szCs w:val="21"/>
                      <w:highlight w:val="none"/>
                      <w:lang w:eastAsia="zh-CN"/>
                    </w:rPr>
                    <w:t>”</w:t>
                  </w:r>
                  <w:r>
                    <w:rPr>
                      <w:rFonts w:hint="default" w:ascii="Times New Roman" w:hAnsi="Times New Roman" w:eastAsia="宋体" w:cs="Times New Roman"/>
                      <w:color w:val="auto"/>
                      <w:kern w:val="0"/>
                      <w:sz w:val="21"/>
                      <w:szCs w:val="21"/>
                      <w:highlight w:val="none"/>
                    </w:rPr>
                    <w:t>制度，强化环评源头预防作用，健全排污许可制度。</w:t>
                  </w:r>
                </w:p>
              </w:tc>
              <w:tc>
                <w:tcPr>
                  <w:tcW w:w="1444" w:type="pct"/>
                  <w:noWrap w:val="0"/>
                  <w:vAlign w:val="center"/>
                </w:tcPr>
                <w:p w14:paraId="49A0D4B8">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21"/>
                      <w:sz w:val="21"/>
                      <w:szCs w:val="21"/>
                      <w:highlight w:val="none"/>
                      <w:lang w:val="en-GB" w:eastAsia="zh-CN"/>
                    </w:rPr>
                    <w:t>项目</w:t>
                  </w:r>
                  <w:r>
                    <w:rPr>
                      <w:rFonts w:hint="default" w:ascii="Times New Roman" w:hAnsi="Times New Roman" w:eastAsia="宋体" w:cs="Times New Roman"/>
                      <w:color w:val="auto"/>
                      <w:kern w:val="21"/>
                      <w:sz w:val="21"/>
                      <w:szCs w:val="21"/>
                      <w:highlight w:val="none"/>
                      <w:lang w:val="en-US" w:eastAsia="zh-CN"/>
                    </w:rPr>
                    <w:t>位于陕西省西咸新区泾河新城</w:t>
                  </w:r>
                  <w:r>
                    <w:rPr>
                      <w:rFonts w:ascii="Times New Roman" w:hAnsi="Times New Roman" w:eastAsia="宋体" w:cs="Times New Roman"/>
                      <w:color w:val="auto"/>
                      <w:szCs w:val="21"/>
                      <w:highlight w:val="none"/>
                    </w:rPr>
                    <w:t>永乐工业园</w:t>
                  </w:r>
                  <w:r>
                    <w:rPr>
                      <w:rFonts w:hint="eastAsia" w:ascii="Times New Roman" w:hAnsi="Times New Roman" w:eastAsia="宋体" w:cs="Times New Roman"/>
                      <w:bCs/>
                      <w:color w:val="auto"/>
                      <w:kern w:val="0"/>
                      <w:sz w:val="21"/>
                      <w:szCs w:val="21"/>
                      <w:highlight w:val="none"/>
                      <w:lang w:val="en-GB" w:eastAsia="zh-CN"/>
                    </w:rPr>
                    <w:t>陕西国坤时代科技有限公司</w:t>
                  </w:r>
                  <w:r>
                    <w:rPr>
                      <w:rFonts w:hint="default" w:ascii="Times New Roman" w:hAnsi="Times New Roman" w:eastAsia="宋体" w:cs="Times New Roman"/>
                      <w:color w:val="auto"/>
                      <w:sz w:val="21"/>
                      <w:szCs w:val="21"/>
                      <w:highlight w:val="none"/>
                    </w:rPr>
                    <w:t>，属于重点管控单元，项目在采取</w:t>
                  </w:r>
                  <w:r>
                    <w:rPr>
                      <w:rFonts w:hint="default" w:ascii="Times New Roman" w:hAnsi="Times New Roman" w:eastAsia="宋体" w:cs="Times New Roman"/>
                      <w:color w:val="auto"/>
                      <w:sz w:val="21"/>
                      <w:szCs w:val="21"/>
                      <w:highlight w:val="none"/>
                      <w:lang w:eastAsia="zh-CN"/>
                    </w:rPr>
                    <w:t>有效的环保</w:t>
                  </w:r>
                  <w:r>
                    <w:rPr>
                      <w:rFonts w:hint="default" w:ascii="Times New Roman" w:hAnsi="Times New Roman" w:eastAsia="宋体" w:cs="Times New Roman"/>
                      <w:color w:val="auto"/>
                      <w:sz w:val="21"/>
                      <w:szCs w:val="21"/>
                      <w:highlight w:val="none"/>
                    </w:rPr>
                    <w:t>措施后，污染物排放对环境影响较小，符合重点管控单元</w:t>
                  </w:r>
                  <w:r>
                    <w:rPr>
                      <w:rFonts w:hint="default" w:ascii="Times New Roman" w:hAnsi="Times New Roman" w:eastAsia="宋体" w:cs="Times New Roman"/>
                      <w:color w:val="auto"/>
                      <w:sz w:val="21"/>
                      <w:szCs w:val="21"/>
                      <w:highlight w:val="none"/>
                      <w:lang w:eastAsia="zh-CN"/>
                    </w:rPr>
                    <w:t>要求。</w:t>
                  </w:r>
                </w:p>
              </w:tc>
              <w:tc>
                <w:tcPr>
                  <w:tcW w:w="401" w:type="pct"/>
                  <w:noWrap w:val="0"/>
                  <w:vAlign w:val="center"/>
                </w:tcPr>
                <w:p w14:paraId="58645A1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1"/>
                      <w:sz w:val="21"/>
                      <w:szCs w:val="21"/>
                      <w:highlight w:val="none"/>
                      <w:lang w:val="en-US" w:eastAsia="zh-CN"/>
                    </w:rPr>
                  </w:pPr>
                  <w:r>
                    <w:rPr>
                      <w:rFonts w:hint="default" w:ascii="Times New Roman" w:hAnsi="Times New Roman" w:cs="Times New Roman"/>
                      <w:color w:val="auto"/>
                      <w:kern w:val="21"/>
                      <w:sz w:val="21"/>
                      <w:szCs w:val="21"/>
                      <w:highlight w:val="none"/>
                      <w:lang w:val="en-US" w:eastAsia="zh-CN"/>
                    </w:rPr>
                    <w:t>符合</w:t>
                  </w:r>
                </w:p>
              </w:tc>
            </w:tr>
            <w:tr w14:paraId="7459B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452A78F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西安市人民政府办公厅《关于印发推进实现</w:t>
                  </w:r>
                  <w:r>
                    <w:rPr>
                      <w:rFonts w:hint="eastAsia"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lang w:val="en-US" w:eastAsia="zh-CN"/>
                    </w:rPr>
                    <w:t>十四五</w:t>
                  </w:r>
                  <w:r>
                    <w:rPr>
                      <w:rFonts w:hint="eastAsia"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lang w:val="en-US" w:eastAsia="zh-CN"/>
                    </w:rPr>
                    <w:t>空气质量目标暨大气污染治理专项行动2025年工作方案的通知》（市政办函</w:t>
                  </w:r>
                  <w:r>
                    <w:rPr>
                      <w:rFonts w:hint="default" w:ascii="Times New Roman" w:hAnsi="Times New Roman" w:cs="Times New Roman"/>
                      <w:color w:val="auto"/>
                      <w:kern w:val="21"/>
                      <w:sz w:val="21"/>
                      <w:szCs w:val="21"/>
                      <w:highlight w:val="none"/>
                      <w:lang w:val="en"/>
                    </w:rPr>
                    <w:t>〔202</w:t>
                  </w:r>
                  <w:r>
                    <w:rPr>
                      <w:rFonts w:hint="eastAsia" w:ascii="Times New Roman" w:hAnsi="Times New Roman" w:cs="Times New Roman"/>
                      <w:color w:val="auto"/>
                      <w:kern w:val="21"/>
                      <w:sz w:val="21"/>
                      <w:szCs w:val="21"/>
                      <w:highlight w:val="none"/>
                      <w:lang w:val="en-US" w:eastAsia="zh-CN"/>
                    </w:rPr>
                    <w:t>5</w:t>
                  </w:r>
                  <w:r>
                    <w:rPr>
                      <w:rFonts w:hint="default" w:ascii="Times New Roman" w:hAnsi="Times New Roman" w:cs="Times New Roman"/>
                      <w:color w:val="auto"/>
                      <w:kern w:val="21"/>
                      <w:sz w:val="21"/>
                      <w:szCs w:val="21"/>
                      <w:highlight w:val="none"/>
                      <w:lang w:val="en"/>
                    </w:rPr>
                    <w:t>〕</w:t>
                  </w:r>
                  <w:r>
                    <w:rPr>
                      <w:rFonts w:hint="default" w:ascii="Times New Roman" w:hAnsi="Times New Roman" w:eastAsia="宋体" w:cs="Times New Roman"/>
                      <w:color w:val="auto"/>
                      <w:kern w:val="0"/>
                      <w:sz w:val="21"/>
                      <w:szCs w:val="21"/>
                      <w:highlight w:val="none"/>
                      <w:lang w:val="en-US" w:eastAsia="zh-CN"/>
                    </w:rPr>
                    <w:t>12号）</w:t>
                  </w:r>
                </w:p>
              </w:tc>
              <w:tc>
                <w:tcPr>
                  <w:tcW w:w="2224" w:type="pct"/>
                  <w:noWrap w:val="0"/>
                  <w:vAlign w:val="center"/>
                </w:tcPr>
                <w:p w14:paraId="6AFF448F">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严格易产生扬尘运输车辆监管。</w:t>
                  </w:r>
                </w:p>
              </w:tc>
              <w:tc>
                <w:tcPr>
                  <w:tcW w:w="1444" w:type="pct"/>
                  <w:noWrap w:val="0"/>
                  <w:vAlign w:val="center"/>
                </w:tcPr>
                <w:p w14:paraId="4084913C">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项目在运输过程苫盖篷布</w:t>
                  </w:r>
                  <w:r>
                    <w:rPr>
                      <w:rFonts w:hint="default" w:ascii="Times New Roman" w:hAnsi="Times New Roman" w:eastAsia="宋体" w:cs="Times New Roman"/>
                      <w:color w:val="auto"/>
                      <w:kern w:val="0"/>
                      <w:sz w:val="21"/>
                      <w:szCs w:val="21"/>
                      <w:highlight w:val="none"/>
                      <w:lang w:val="en-US" w:eastAsia="zh-CN"/>
                    </w:rPr>
                    <w:t>。</w:t>
                  </w:r>
                </w:p>
              </w:tc>
              <w:tc>
                <w:tcPr>
                  <w:tcW w:w="401" w:type="pct"/>
                  <w:noWrap w:val="0"/>
                  <w:vAlign w:val="center"/>
                </w:tcPr>
                <w:p w14:paraId="6CC532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kern w:val="21"/>
                      <w:szCs w:val="21"/>
                      <w:highlight w:val="none"/>
                      <w:lang w:val="en-US" w:eastAsia="zh-CN"/>
                    </w:rPr>
                    <w:t>符合</w:t>
                  </w:r>
                </w:p>
              </w:tc>
            </w:tr>
            <w:tr w14:paraId="1AB19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noWrap w:val="0"/>
                  <w:vAlign w:val="center"/>
                </w:tcPr>
                <w:p w14:paraId="2628390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olor w:val="auto"/>
                      <w:highlight w:val="none"/>
                      <w:lang w:val="en-US" w:eastAsia="zh-CN"/>
                    </w:rPr>
                    <w:t>《西安市大气污染防治条例》</w:t>
                  </w:r>
                </w:p>
              </w:tc>
              <w:tc>
                <w:tcPr>
                  <w:tcW w:w="2224" w:type="pct"/>
                  <w:noWrap w:val="0"/>
                  <w:vAlign w:val="center"/>
                </w:tcPr>
                <w:p w14:paraId="1DB24A1E">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highlight w:val="none"/>
                      <w:lang w:val="en-US" w:eastAsia="zh-CN"/>
                    </w:rPr>
                    <w:t>排放工业废气或者含有毒有害物质的大气污染物的企业事业单位、集中供热设施的运营单位以及其他依法实行排污许可管理的单位，应当依法取得排污许可证。</w:t>
                  </w:r>
                </w:p>
              </w:tc>
              <w:tc>
                <w:tcPr>
                  <w:tcW w:w="1444" w:type="pct"/>
                  <w:noWrap w:val="0"/>
                  <w:vAlign w:val="center"/>
                </w:tcPr>
                <w:p w14:paraId="719BA6A5">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21"/>
                      <w:sz w:val="21"/>
                      <w:szCs w:val="21"/>
                      <w:highlight w:val="none"/>
                      <w:lang w:val="en-US" w:eastAsia="zh-CN"/>
                    </w:rPr>
                    <w:t>根据《固定污染源排污许可分类管理名录（2019年版）》</w:t>
                  </w:r>
                  <w:r>
                    <w:rPr>
                      <w:rFonts w:hint="default" w:ascii="Times New Roman" w:hAnsi="Times New Roman" w:cs="Times New Roman"/>
                      <w:color w:val="auto"/>
                      <w:kern w:val="21"/>
                      <w:sz w:val="21"/>
                      <w:szCs w:val="21"/>
                      <w:highlight w:val="none"/>
                      <w:lang w:val="en-US" w:eastAsia="zh-CN"/>
                    </w:rPr>
                    <w:t>，</w:t>
                  </w:r>
                  <w:r>
                    <w:rPr>
                      <w:rFonts w:hint="eastAsia" w:ascii="Times New Roman" w:hAnsi="Times New Roman" w:cs="Times New Roman"/>
                      <w:color w:val="auto"/>
                      <w:kern w:val="21"/>
                      <w:sz w:val="21"/>
                      <w:szCs w:val="21"/>
                      <w:highlight w:val="none"/>
                      <w:lang w:val="en-US" w:eastAsia="zh-CN"/>
                    </w:rPr>
                    <w:t>需</w:t>
                  </w:r>
                  <w:r>
                    <w:rPr>
                      <w:rFonts w:hint="eastAsia"/>
                      <w:color w:val="auto"/>
                      <w:highlight w:val="none"/>
                      <w:lang w:val="en-US" w:eastAsia="zh-CN"/>
                    </w:rPr>
                    <w:t>办理排污许可证手续，</w:t>
                  </w:r>
                  <w:r>
                    <w:rPr>
                      <w:rFonts w:hint="eastAsia" w:ascii="Times New Roman" w:hAnsi="Times New Roman" w:cs="Times New Roman"/>
                      <w:color w:val="auto"/>
                      <w:kern w:val="21"/>
                      <w:sz w:val="21"/>
                      <w:szCs w:val="21"/>
                      <w:highlight w:val="none"/>
                      <w:lang w:val="en-US" w:eastAsia="zh-CN"/>
                    </w:rPr>
                    <w:t>申请排污许可证时</w:t>
                  </w:r>
                  <w:r>
                    <w:rPr>
                      <w:rFonts w:hint="default" w:ascii="Times New Roman" w:hAnsi="Times New Roman" w:cs="Times New Roman"/>
                      <w:color w:val="auto"/>
                      <w:sz w:val="21"/>
                      <w:szCs w:val="21"/>
                      <w:highlight w:val="none"/>
                      <w:lang w:val="en-US" w:eastAsia="zh-CN"/>
                    </w:rPr>
                    <w:t>综合确定该项目污染物排放量</w:t>
                  </w:r>
                  <w:r>
                    <w:rPr>
                      <w:rFonts w:hint="eastAsia" w:ascii="Times New Roman" w:hAnsi="Times New Roman" w:cs="Times New Roman"/>
                      <w:color w:val="auto"/>
                      <w:sz w:val="21"/>
                      <w:szCs w:val="21"/>
                      <w:highlight w:val="none"/>
                      <w:lang w:val="en-US" w:eastAsia="zh-CN"/>
                    </w:rPr>
                    <w:t>。</w:t>
                  </w:r>
                </w:p>
              </w:tc>
              <w:tc>
                <w:tcPr>
                  <w:tcW w:w="401" w:type="pct"/>
                  <w:noWrap w:val="0"/>
                  <w:vAlign w:val="center"/>
                </w:tcPr>
                <w:p w14:paraId="1A0F83F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highlight w:val="none"/>
                      <w:lang w:val="en-US" w:eastAsia="zh-CN"/>
                    </w:rPr>
                  </w:pPr>
                  <w:r>
                    <w:rPr>
                      <w:rFonts w:hint="eastAsia" w:cs="Times New Roman"/>
                      <w:color w:val="auto"/>
                      <w:kern w:val="21"/>
                      <w:szCs w:val="21"/>
                      <w:highlight w:val="none"/>
                      <w:lang w:val="en-US" w:eastAsia="zh-CN"/>
                    </w:rPr>
                    <w:t>符合</w:t>
                  </w:r>
                </w:p>
              </w:tc>
            </w:tr>
            <w:tr w14:paraId="46DE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restart"/>
                  <w:noWrap w:val="0"/>
                  <w:vAlign w:val="center"/>
                </w:tcPr>
                <w:p w14:paraId="26487603">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eastAsia"/>
                      <w:color w:val="auto"/>
                      <w:highlight w:val="none"/>
                      <w:lang w:val="en-US" w:eastAsia="zh-CN"/>
                    </w:rPr>
                  </w:pPr>
                  <w:r>
                    <w:rPr>
                      <w:rFonts w:hint="default" w:ascii="Times New Roman" w:hAnsi="Times New Roman" w:eastAsia="宋体" w:cs="Times New Roman"/>
                      <w:color w:val="auto"/>
                      <w:highlight w:val="none"/>
                      <w:lang w:val="en-US" w:eastAsia="zh-CN"/>
                    </w:rPr>
                    <w:t>《西安市</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十四五</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时期</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无废城市</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建设实施方案》（市政发</w:t>
                  </w:r>
                  <w:r>
                    <w:rPr>
                      <w:rFonts w:hint="default" w:ascii="Times New Roman" w:hAnsi="Times New Roman" w:cs="Times New Roman"/>
                      <w:color w:val="auto"/>
                      <w:kern w:val="21"/>
                      <w:sz w:val="21"/>
                      <w:szCs w:val="21"/>
                      <w:highlight w:val="none"/>
                      <w:lang w:val="en"/>
                    </w:rPr>
                    <w:t>〔202</w:t>
                  </w:r>
                  <w:r>
                    <w:rPr>
                      <w:rFonts w:hint="eastAsia" w:ascii="Times New Roman" w:hAnsi="Times New Roman" w:cs="Times New Roman"/>
                      <w:color w:val="auto"/>
                      <w:kern w:val="21"/>
                      <w:sz w:val="21"/>
                      <w:szCs w:val="21"/>
                      <w:highlight w:val="none"/>
                      <w:lang w:val="en-US" w:eastAsia="zh-CN"/>
                    </w:rPr>
                    <w:t>3</w:t>
                  </w:r>
                  <w:r>
                    <w:rPr>
                      <w:rFonts w:hint="default" w:ascii="Times New Roman" w:hAnsi="Times New Roman" w:cs="Times New Roman"/>
                      <w:color w:val="auto"/>
                      <w:kern w:val="21"/>
                      <w:sz w:val="21"/>
                      <w:szCs w:val="21"/>
                      <w:highlight w:val="none"/>
                      <w:lang w:val="en"/>
                    </w:rPr>
                    <w:t>〕</w:t>
                  </w:r>
                  <w:r>
                    <w:rPr>
                      <w:rFonts w:hint="default" w:ascii="Times New Roman" w:hAnsi="Times New Roman" w:eastAsia="宋体" w:cs="Times New Roman"/>
                      <w:color w:val="auto"/>
                      <w:highlight w:val="none"/>
                      <w:lang w:val="en-US" w:eastAsia="zh-CN"/>
                    </w:rPr>
                    <w:t>4号）</w:t>
                  </w:r>
                </w:p>
              </w:tc>
              <w:tc>
                <w:tcPr>
                  <w:tcW w:w="2224" w:type="pct"/>
                  <w:noWrap w:val="0"/>
                  <w:vAlign w:val="center"/>
                </w:tcPr>
                <w:p w14:paraId="7BFA8F17">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拓宽一般工业固废利用渠道。按照《国家工业资源综合利用先进适用工艺技术设备目录》，拓宽再生产品在绿色建材、筑炉材料、矿山修复、土壤治理等领域的应用实践。加快推进资源综合利用。</w:t>
                  </w:r>
                </w:p>
              </w:tc>
              <w:tc>
                <w:tcPr>
                  <w:tcW w:w="1444" w:type="pct"/>
                  <w:vMerge w:val="restart"/>
                  <w:noWrap w:val="0"/>
                  <w:vAlign w:val="center"/>
                </w:tcPr>
                <w:p w14:paraId="4AC78D46">
                  <w:pPr>
                    <w:pStyle w:val="4"/>
                    <w:rPr>
                      <w:rFonts w:hint="default" w:ascii="Times New Roman" w:hAnsi="Times New Roman" w:cs="Times New Roman"/>
                      <w:color w:val="auto"/>
                      <w:kern w:val="21"/>
                      <w:sz w:val="21"/>
                      <w:szCs w:val="21"/>
                      <w:highlight w:val="none"/>
                      <w:lang w:val="en-US" w:eastAsia="zh-CN"/>
                    </w:rPr>
                  </w:pPr>
                  <w:r>
                    <w:rPr>
                      <w:rFonts w:hint="default" w:ascii="Times New Roman" w:hAnsi="Times New Roman" w:eastAsia="宋体" w:cs="Times New Roman"/>
                      <w:bCs/>
                      <w:color w:val="auto"/>
                      <w:kern w:val="0"/>
                      <w:sz w:val="21"/>
                      <w:szCs w:val="21"/>
                      <w:highlight w:val="none"/>
                      <w:lang w:val="en" w:eastAsia="zh-CN" w:bidi="ar-SA"/>
                    </w:rPr>
                    <w:t>本项目属于固体废物资源化利用项目</w:t>
                  </w:r>
                  <w:r>
                    <w:rPr>
                      <w:rFonts w:hint="eastAsia" w:ascii="Times New Roman" w:hAnsi="Times New Roman" w:eastAsia="宋体" w:cs="Times New Roman"/>
                      <w:bCs/>
                      <w:color w:val="auto"/>
                      <w:kern w:val="0"/>
                      <w:sz w:val="21"/>
                      <w:szCs w:val="21"/>
                      <w:highlight w:val="none"/>
                      <w:lang w:val="en" w:eastAsia="zh-CN" w:bidi="ar-SA"/>
                    </w:rPr>
                    <w:t>，</w:t>
                  </w:r>
                  <w:r>
                    <w:rPr>
                      <w:rFonts w:hint="eastAsia" w:ascii="Times New Roman" w:hAnsi="Times New Roman" w:eastAsia="宋体" w:cs="Times New Roman"/>
                      <w:bCs/>
                      <w:color w:val="auto"/>
                      <w:kern w:val="0"/>
                      <w:sz w:val="21"/>
                      <w:szCs w:val="21"/>
                      <w:highlight w:val="none"/>
                      <w:lang w:val="en-US" w:eastAsia="zh-CN" w:bidi="ar-SA"/>
                    </w:rPr>
                    <w:t>将一般固废（工业固废、</w:t>
                  </w:r>
                  <w:r>
                    <w:rPr>
                      <w:rFonts w:hint="eastAsia"/>
                      <w:color w:val="auto"/>
                      <w:sz w:val="21"/>
                      <w:szCs w:val="21"/>
                      <w:highlight w:val="none"/>
                      <w:lang w:val="en-US" w:eastAsia="zh-CN"/>
                    </w:rPr>
                    <w:t>生活垃圾（废纸、废塑料、废纺织物、报废家具、园林垃圾、废包装物）</w:t>
                  </w:r>
                  <w:r>
                    <w:rPr>
                      <w:rFonts w:hint="eastAsia" w:ascii="Times New Roman" w:hAnsi="Times New Roman" w:eastAsia="宋体" w:cs="Times New Roman"/>
                      <w:bCs/>
                      <w:color w:val="auto"/>
                      <w:kern w:val="0"/>
                      <w:sz w:val="21"/>
                      <w:szCs w:val="21"/>
                      <w:highlight w:val="none"/>
                      <w:lang w:val="en-US" w:eastAsia="zh-CN" w:bidi="ar-SA"/>
                    </w:rPr>
                    <w:t>、建筑垃圾</w:t>
                  </w:r>
                  <w:r>
                    <w:rPr>
                      <w:rFonts w:hint="eastAsia" w:cs="Times New Roman"/>
                      <w:bCs/>
                      <w:color w:val="auto"/>
                      <w:kern w:val="0"/>
                      <w:sz w:val="21"/>
                      <w:szCs w:val="21"/>
                      <w:highlight w:val="none"/>
                      <w:lang w:val="en-US" w:eastAsia="zh-CN" w:bidi="ar-SA"/>
                    </w:rPr>
                    <w:t>中的轻浮物</w:t>
                  </w:r>
                  <w:r>
                    <w:rPr>
                      <w:rFonts w:hint="eastAsia" w:ascii="Times New Roman" w:hAnsi="Times New Roman" w:eastAsia="宋体" w:cs="Times New Roman"/>
                      <w:bCs/>
                      <w:color w:val="auto"/>
                      <w:kern w:val="0"/>
                      <w:sz w:val="21"/>
                      <w:szCs w:val="21"/>
                      <w:highlight w:val="none"/>
                      <w:lang w:val="en-US" w:eastAsia="zh-CN" w:bidi="ar-SA"/>
                    </w:rPr>
                    <w:t>、农业固体废物）</w:t>
                  </w:r>
                  <w:r>
                    <w:rPr>
                      <w:rFonts w:hint="default" w:ascii="Times New Roman" w:hAnsi="Times New Roman" w:eastAsia="宋体" w:cs="Times New Roman"/>
                      <w:bCs/>
                      <w:color w:val="auto"/>
                      <w:kern w:val="0"/>
                      <w:sz w:val="21"/>
                      <w:szCs w:val="21"/>
                      <w:highlight w:val="none"/>
                      <w:lang w:val="en-GB" w:eastAsia="zh-CN" w:bidi="ar-SA"/>
                    </w:rPr>
                    <w:t>采用最新RDF替代燃料技术</w:t>
                  </w:r>
                  <w:r>
                    <w:rPr>
                      <w:rFonts w:hint="eastAsia" w:ascii="Times New Roman" w:hAnsi="Times New Roman" w:eastAsia="宋体" w:cs="Times New Roman"/>
                      <w:bCs/>
                      <w:color w:val="auto"/>
                      <w:kern w:val="0"/>
                      <w:sz w:val="21"/>
                      <w:szCs w:val="21"/>
                      <w:highlight w:val="none"/>
                      <w:lang w:val="en" w:eastAsia="zh-CN" w:bidi="ar-SA"/>
                    </w:rPr>
                    <w:t>，</w:t>
                  </w:r>
                  <w:r>
                    <w:rPr>
                      <w:rFonts w:hint="eastAsia" w:ascii="Times New Roman" w:hAnsi="Times New Roman" w:eastAsia="宋体" w:cs="Times New Roman"/>
                      <w:bCs/>
                      <w:color w:val="auto"/>
                      <w:kern w:val="0"/>
                      <w:sz w:val="21"/>
                      <w:szCs w:val="21"/>
                      <w:highlight w:val="none"/>
                      <w:lang w:val="en-US" w:eastAsia="zh-CN" w:bidi="ar-SA"/>
                    </w:rPr>
                    <w:t>加工成RDF燃料，外售下游水泥厂作燃料。</w:t>
                  </w:r>
                </w:p>
              </w:tc>
              <w:tc>
                <w:tcPr>
                  <w:tcW w:w="401" w:type="pct"/>
                  <w:vMerge w:val="restart"/>
                  <w:noWrap w:val="0"/>
                  <w:vAlign w:val="center"/>
                </w:tcPr>
                <w:p w14:paraId="7F01D0B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highlight w:val="none"/>
                      <w:lang w:val="en-US" w:eastAsia="zh-CN"/>
                    </w:rPr>
                  </w:pPr>
                  <w:r>
                    <w:rPr>
                      <w:rFonts w:hint="eastAsia" w:cs="Times New Roman"/>
                      <w:color w:val="auto"/>
                      <w:kern w:val="21"/>
                      <w:szCs w:val="21"/>
                      <w:highlight w:val="none"/>
                      <w:lang w:val="en-US" w:eastAsia="zh-CN"/>
                    </w:rPr>
                    <w:t>符合</w:t>
                  </w:r>
                </w:p>
              </w:tc>
            </w:tr>
            <w:tr w14:paraId="3D66A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5166EF12">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p>
              </w:tc>
              <w:tc>
                <w:tcPr>
                  <w:tcW w:w="2224" w:type="pct"/>
                  <w:noWrap w:val="0"/>
                  <w:vAlign w:val="center"/>
                </w:tcPr>
                <w:p w14:paraId="548B2E09">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建立农药包装废弃物回收与处理体系。鼓励和支持专业机构按照《农药包装废弃物回收处理管理办法》要求，对农药包装废弃物进行资源化利用。</w:t>
                  </w:r>
                </w:p>
              </w:tc>
              <w:tc>
                <w:tcPr>
                  <w:tcW w:w="1444" w:type="pct"/>
                  <w:vMerge w:val="continue"/>
                  <w:noWrap w:val="0"/>
                  <w:vAlign w:val="center"/>
                </w:tcPr>
                <w:p w14:paraId="2AC42D4A">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auto"/>
                      <w:kern w:val="21"/>
                      <w:sz w:val="21"/>
                      <w:szCs w:val="21"/>
                      <w:highlight w:val="none"/>
                      <w:lang w:val="en-US" w:eastAsia="zh-CN"/>
                    </w:rPr>
                  </w:pPr>
                </w:p>
              </w:tc>
              <w:tc>
                <w:tcPr>
                  <w:tcW w:w="401" w:type="pct"/>
                  <w:vMerge w:val="continue"/>
                  <w:noWrap w:val="0"/>
                  <w:vAlign w:val="center"/>
                </w:tcPr>
                <w:p w14:paraId="2E51FBD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highlight w:val="none"/>
                      <w:lang w:val="en-US" w:eastAsia="zh-CN"/>
                    </w:rPr>
                  </w:pPr>
                </w:p>
              </w:tc>
            </w:tr>
            <w:tr w14:paraId="34596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1BCE5529">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p>
              </w:tc>
              <w:tc>
                <w:tcPr>
                  <w:tcW w:w="2224" w:type="pct"/>
                  <w:noWrap w:val="0"/>
                  <w:vAlign w:val="center"/>
                </w:tcPr>
                <w:p w14:paraId="4F6F25B5">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提高生活垃圾及可回收物回收率，补足大件垃圾回收短板。鼓励环卫、物业保洁等工作人员对生活垃圾可回收物进行正确分拣后集中送至再生资源回收网点。</w:t>
                  </w:r>
                </w:p>
              </w:tc>
              <w:tc>
                <w:tcPr>
                  <w:tcW w:w="1444" w:type="pct"/>
                  <w:vMerge w:val="continue"/>
                  <w:noWrap w:val="0"/>
                  <w:vAlign w:val="center"/>
                </w:tcPr>
                <w:p w14:paraId="204A42DF">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auto"/>
                      <w:kern w:val="21"/>
                      <w:sz w:val="21"/>
                      <w:szCs w:val="21"/>
                      <w:highlight w:val="none"/>
                      <w:lang w:val="en-US" w:eastAsia="zh-CN"/>
                    </w:rPr>
                  </w:pPr>
                </w:p>
              </w:tc>
              <w:tc>
                <w:tcPr>
                  <w:tcW w:w="401" w:type="pct"/>
                  <w:vMerge w:val="continue"/>
                  <w:noWrap w:val="0"/>
                  <w:vAlign w:val="center"/>
                </w:tcPr>
                <w:p w14:paraId="17F52F1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highlight w:val="none"/>
                      <w:lang w:val="en-US" w:eastAsia="zh-CN"/>
                    </w:rPr>
                  </w:pPr>
                </w:p>
              </w:tc>
            </w:tr>
            <w:tr w14:paraId="225EB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4B955D1D">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p>
              </w:tc>
              <w:tc>
                <w:tcPr>
                  <w:tcW w:w="2224" w:type="pct"/>
                  <w:noWrap w:val="0"/>
                  <w:vAlign w:val="center"/>
                </w:tcPr>
                <w:p w14:paraId="68511455">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加强资源循环利用基地建设，提升再生资源加工利用水平。推动废旧物资回收专业化发展，鼓励有条件地区采取特许经营等方式，授权专业化企业开展废旧物资回收业务，实现规模化、规范化运营。</w:t>
                  </w:r>
                </w:p>
              </w:tc>
              <w:tc>
                <w:tcPr>
                  <w:tcW w:w="1444" w:type="pct"/>
                  <w:vMerge w:val="continue"/>
                  <w:noWrap w:val="0"/>
                  <w:vAlign w:val="center"/>
                </w:tcPr>
                <w:p w14:paraId="6594569E">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auto"/>
                      <w:kern w:val="21"/>
                      <w:sz w:val="21"/>
                      <w:szCs w:val="21"/>
                      <w:highlight w:val="none"/>
                      <w:lang w:val="en-US" w:eastAsia="zh-CN"/>
                    </w:rPr>
                  </w:pPr>
                </w:p>
              </w:tc>
              <w:tc>
                <w:tcPr>
                  <w:tcW w:w="401" w:type="pct"/>
                  <w:vMerge w:val="continue"/>
                  <w:noWrap w:val="0"/>
                  <w:vAlign w:val="center"/>
                </w:tcPr>
                <w:p w14:paraId="6E5AE91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highlight w:val="none"/>
                      <w:lang w:val="en-US" w:eastAsia="zh-CN"/>
                    </w:rPr>
                  </w:pPr>
                </w:p>
              </w:tc>
            </w:tr>
            <w:tr w14:paraId="4E160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7F8B0119">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p>
              </w:tc>
              <w:tc>
                <w:tcPr>
                  <w:tcW w:w="2224" w:type="pct"/>
                  <w:noWrap w:val="0"/>
                  <w:vAlign w:val="center"/>
                </w:tcPr>
                <w:p w14:paraId="0BB26926">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提高建筑垃圾资源化利用率。大力支持规模以上建筑垃圾资源化利用企业建厂投产，不断提升全市建筑垃圾（拆除垃圾）资源化利用能力。</w:t>
                  </w:r>
                </w:p>
              </w:tc>
              <w:tc>
                <w:tcPr>
                  <w:tcW w:w="1444" w:type="pct"/>
                  <w:vMerge w:val="continue"/>
                  <w:noWrap w:val="0"/>
                  <w:vAlign w:val="center"/>
                </w:tcPr>
                <w:p w14:paraId="7AE504EA">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auto"/>
                      <w:kern w:val="21"/>
                      <w:sz w:val="21"/>
                      <w:szCs w:val="21"/>
                      <w:highlight w:val="none"/>
                      <w:lang w:val="en-US" w:eastAsia="zh-CN"/>
                    </w:rPr>
                  </w:pPr>
                </w:p>
              </w:tc>
              <w:tc>
                <w:tcPr>
                  <w:tcW w:w="401" w:type="pct"/>
                  <w:vMerge w:val="continue"/>
                  <w:noWrap w:val="0"/>
                  <w:vAlign w:val="center"/>
                </w:tcPr>
                <w:p w14:paraId="793C48C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highlight w:val="none"/>
                      <w:lang w:val="en-US" w:eastAsia="zh-CN"/>
                    </w:rPr>
                  </w:pPr>
                </w:p>
              </w:tc>
            </w:tr>
            <w:tr w14:paraId="559A5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restart"/>
                  <w:noWrap w:val="0"/>
                  <w:vAlign w:val="center"/>
                </w:tcPr>
                <w:p w14:paraId="774526BF">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eastAsia"/>
                      <w:color w:val="auto"/>
                      <w:highlight w:val="none"/>
                      <w:lang w:val="en-US" w:eastAsia="zh-CN"/>
                    </w:rPr>
                  </w:pPr>
                  <w:r>
                    <w:rPr>
                      <w:rFonts w:hint="eastAsia"/>
                      <w:color w:val="auto"/>
                      <w:highlight w:val="none"/>
                      <w:lang w:val="en-US" w:eastAsia="zh-CN"/>
                    </w:rPr>
                    <w:t>陕西省西咸新区开发建设管理委员会关于印发《西咸新区“十四五”生态环境保护规划》的通知（陕西咸发</w:t>
                  </w:r>
                  <w:r>
                    <w:rPr>
                      <w:rFonts w:hint="default" w:ascii="Times New Roman" w:hAnsi="Times New Roman" w:cs="Times New Roman"/>
                      <w:color w:val="auto"/>
                      <w:kern w:val="21"/>
                      <w:sz w:val="21"/>
                      <w:szCs w:val="21"/>
                      <w:highlight w:val="none"/>
                      <w:lang w:val="en"/>
                    </w:rPr>
                    <w:t>〔2021〕</w:t>
                  </w:r>
                  <w:r>
                    <w:rPr>
                      <w:rFonts w:hint="eastAsia"/>
                      <w:color w:val="auto"/>
                      <w:highlight w:val="none"/>
                      <w:lang w:val="en-US" w:eastAsia="zh-CN"/>
                    </w:rPr>
                    <w:t>4号）</w:t>
                  </w:r>
                </w:p>
              </w:tc>
              <w:tc>
                <w:tcPr>
                  <w:tcW w:w="2224" w:type="pct"/>
                  <w:noWrap w:val="0"/>
                  <w:vAlign w:val="center"/>
                </w:tcPr>
                <w:p w14:paraId="34A43AFB">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深入推进大宗固体废物污染防治。加强固体废物源头减量和资源化利用，推广固体废物资源化、无害化利用处置新技术，创新大宗固废协同利用机制。</w:t>
                  </w:r>
                </w:p>
              </w:tc>
              <w:tc>
                <w:tcPr>
                  <w:tcW w:w="1444" w:type="pct"/>
                  <w:vMerge w:val="restart"/>
                  <w:noWrap w:val="0"/>
                  <w:vAlign w:val="center"/>
                </w:tcPr>
                <w:p w14:paraId="2D17494E">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auto"/>
                      <w:kern w:val="21"/>
                      <w:sz w:val="21"/>
                      <w:szCs w:val="21"/>
                      <w:highlight w:val="none"/>
                      <w:lang w:val="en-US" w:eastAsia="zh-CN"/>
                    </w:rPr>
                  </w:pPr>
                  <w:r>
                    <w:rPr>
                      <w:rFonts w:hint="default" w:ascii="Times New Roman" w:hAnsi="Times New Roman" w:eastAsia="宋体" w:cs="Times New Roman"/>
                      <w:bCs/>
                      <w:color w:val="auto"/>
                      <w:kern w:val="0"/>
                      <w:sz w:val="21"/>
                      <w:szCs w:val="21"/>
                      <w:highlight w:val="none"/>
                      <w:lang w:val="en" w:eastAsia="zh-CN" w:bidi="ar-SA"/>
                    </w:rPr>
                    <w:t>本项目属于固体废物资源化利用项目，</w:t>
                  </w:r>
                  <w:r>
                    <w:rPr>
                      <w:rFonts w:hint="eastAsia" w:ascii="Times New Roman" w:hAnsi="Times New Roman" w:eastAsia="宋体" w:cs="Times New Roman"/>
                      <w:bCs/>
                      <w:color w:val="auto"/>
                      <w:kern w:val="0"/>
                      <w:sz w:val="21"/>
                      <w:szCs w:val="21"/>
                      <w:highlight w:val="none"/>
                      <w:lang w:val="en-US" w:eastAsia="zh-CN" w:bidi="ar-SA"/>
                    </w:rPr>
                    <w:t>原料为</w:t>
                  </w:r>
                  <w:r>
                    <w:rPr>
                      <w:rFonts w:hint="eastAsia" w:cs="Times New Roman"/>
                      <w:bCs/>
                      <w:color w:val="auto"/>
                      <w:kern w:val="0"/>
                      <w:sz w:val="21"/>
                      <w:szCs w:val="21"/>
                      <w:highlight w:val="none"/>
                      <w:lang w:val="en-US" w:eastAsia="zh-CN" w:bidi="ar-SA"/>
                    </w:rPr>
                    <w:t>有热值的</w:t>
                  </w:r>
                  <w:r>
                    <w:rPr>
                      <w:rFonts w:hint="eastAsia" w:ascii="Times New Roman" w:hAnsi="Times New Roman" w:eastAsia="宋体" w:cs="Times New Roman"/>
                      <w:bCs/>
                      <w:color w:val="auto"/>
                      <w:kern w:val="0"/>
                      <w:sz w:val="21"/>
                      <w:szCs w:val="21"/>
                      <w:highlight w:val="none"/>
                      <w:lang w:val="en-US" w:eastAsia="zh-CN" w:bidi="ar-SA"/>
                    </w:rPr>
                    <w:t>一般固废（工业固废、</w:t>
                  </w:r>
                  <w:r>
                    <w:rPr>
                      <w:rFonts w:hint="eastAsia"/>
                      <w:color w:val="auto"/>
                      <w:sz w:val="21"/>
                      <w:szCs w:val="21"/>
                      <w:highlight w:val="none"/>
                      <w:lang w:val="en-US" w:eastAsia="zh-CN"/>
                    </w:rPr>
                    <w:t>生活垃圾（废纸、废塑料、废纺织物、报废家具、园林垃圾、废包装物）</w:t>
                  </w:r>
                  <w:r>
                    <w:rPr>
                      <w:rFonts w:hint="eastAsia" w:ascii="Times New Roman" w:hAnsi="Times New Roman" w:eastAsia="宋体" w:cs="Times New Roman"/>
                      <w:bCs/>
                      <w:color w:val="auto"/>
                      <w:kern w:val="0"/>
                      <w:sz w:val="21"/>
                      <w:szCs w:val="21"/>
                      <w:highlight w:val="none"/>
                      <w:lang w:val="en-US" w:eastAsia="zh-CN" w:bidi="ar-SA"/>
                    </w:rPr>
                    <w:t>、建筑垃圾</w:t>
                  </w:r>
                  <w:r>
                    <w:rPr>
                      <w:rFonts w:hint="eastAsia" w:cs="Times New Roman"/>
                      <w:bCs/>
                      <w:color w:val="auto"/>
                      <w:kern w:val="0"/>
                      <w:sz w:val="21"/>
                      <w:szCs w:val="21"/>
                      <w:highlight w:val="none"/>
                      <w:lang w:val="en-US" w:eastAsia="zh-CN" w:bidi="ar-SA"/>
                    </w:rPr>
                    <w:t>中的轻浮物</w:t>
                  </w:r>
                  <w:r>
                    <w:rPr>
                      <w:rFonts w:hint="eastAsia" w:ascii="Times New Roman" w:hAnsi="Times New Roman" w:eastAsia="宋体" w:cs="Times New Roman"/>
                      <w:bCs/>
                      <w:color w:val="auto"/>
                      <w:kern w:val="0"/>
                      <w:sz w:val="21"/>
                      <w:szCs w:val="21"/>
                      <w:highlight w:val="none"/>
                      <w:lang w:val="en-US" w:eastAsia="zh-CN" w:bidi="ar-SA"/>
                    </w:rPr>
                    <w:t>、农业固体废物），生产工艺</w:t>
                  </w:r>
                  <w:r>
                    <w:rPr>
                      <w:rFonts w:hint="default" w:ascii="Times New Roman" w:hAnsi="Times New Roman" w:eastAsia="宋体" w:cs="Times New Roman"/>
                      <w:bCs/>
                      <w:color w:val="auto"/>
                      <w:kern w:val="0"/>
                      <w:sz w:val="21"/>
                      <w:szCs w:val="21"/>
                      <w:highlight w:val="none"/>
                      <w:lang w:val="en-GB" w:eastAsia="zh-CN" w:bidi="ar-SA"/>
                    </w:rPr>
                    <w:t>采用最新RDF替代燃料技术</w:t>
                  </w:r>
                  <w:r>
                    <w:rPr>
                      <w:rFonts w:hint="eastAsia" w:ascii="Times New Roman" w:hAnsi="Times New Roman" w:eastAsia="宋体" w:cs="Times New Roman"/>
                      <w:bCs/>
                      <w:color w:val="auto"/>
                      <w:kern w:val="0"/>
                      <w:sz w:val="21"/>
                      <w:szCs w:val="21"/>
                      <w:highlight w:val="none"/>
                      <w:lang w:val="en" w:eastAsia="zh-CN" w:bidi="ar-SA"/>
                    </w:rPr>
                    <w:t>。</w:t>
                  </w:r>
                </w:p>
              </w:tc>
              <w:tc>
                <w:tcPr>
                  <w:tcW w:w="401" w:type="pct"/>
                  <w:vMerge w:val="restart"/>
                  <w:noWrap w:val="0"/>
                  <w:vAlign w:val="center"/>
                </w:tcPr>
                <w:p w14:paraId="3A5AF63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highlight w:val="none"/>
                      <w:lang w:val="en-US" w:eastAsia="zh-CN"/>
                    </w:rPr>
                  </w:pPr>
                  <w:r>
                    <w:rPr>
                      <w:rFonts w:hint="eastAsia" w:cs="Times New Roman"/>
                      <w:color w:val="auto"/>
                      <w:kern w:val="21"/>
                      <w:szCs w:val="21"/>
                      <w:highlight w:val="none"/>
                      <w:lang w:val="en-US" w:eastAsia="zh-CN"/>
                    </w:rPr>
                    <w:t>符合</w:t>
                  </w:r>
                </w:p>
              </w:tc>
            </w:tr>
            <w:tr w14:paraId="519B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6A3578A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eastAsia"/>
                      <w:color w:val="auto"/>
                      <w:highlight w:val="none"/>
                      <w:lang w:val="en-US" w:eastAsia="zh-CN"/>
                    </w:rPr>
                  </w:pPr>
                </w:p>
              </w:tc>
              <w:tc>
                <w:tcPr>
                  <w:tcW w:w="2224" w:type="pct"/>
                  <w:noWrap w:val="0"/>
                  <w:vAlign w:val="center"/>
                </w:tcPr>
                <w:p w14:paraId="7E3560FA">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科学处理生活垃圾。加快推进城市生活垃圾源头减量、分类及资源化利用，积极推行农村分类收集处置。统一垃圾分类标识</w:t>
                  </w:r>
                  <w:r>
                    <w:rPr>
                      <w:rFonts w:hint="eastAsia" w:cs="Times New Roman"/>
                      <w:color w:val="auto"/>
                      <w:highlight w:val="none"/>
                      <w:lang w:val="en-US" w:eastAsia="zh-CN"/>
                    </w:rPr>
                    <w:t>。</w:t>
                  </w:r>
                </w:p>
              </w:tc>
              <w:tc>
                <w:tcPr>
                  <w:tcW w:w="1444" w:type="pct"/>
                  <w:vMerge w:val="continue"/>
                  <w:noWrap w:val="0"/>
                  <w:vAlign w:val="center"/>
                </w:tcPr>
                <w:p w14:paraId="608B9DD6">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bCs/>
                      <w:color w:val="auto"/>
                      <w:kern w:val="0"/>
                      <w:sz w:val="21"/>
                      <w:szCs w:val="21"/>
                      <w:highlight w:val="none"/>
                      <w:lang w:val="en" w:eastAsia="zh-CN" w:bidi="ar-SA"/>
                    </w:rPr>
                  </w:pPr>
                </w:p>
              </w:tc>
              <w:tc>
                <w:tcPr>
                  <w:tcW w:w="401" w:type="pct"/>
                  <w:vMerge w:val="continue"/>
                  <w:noWrap w:val="0"/>
                  <w:vAlign w:val="center"/>
                </w:tcPr>
                <w:p w14:paraId="34E157B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highlight w:val="none"/>
                      <w:lang w:val="en-US" w:eastAsia="zh-CN"/>
                    </w:rPr>
                  </w:pPr>
                </w:p>
              </w:tc>
            </w:tr>
            <w:tr w14:paraId="65A9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7982016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highlight w:val="none"/>
                      <w:lang w:val="en-US" w:eastAsia="zh-CN"/>
                    </w:rPr>
                  </w:pPr>
                  <w:r>
                    <w:rPr>
                      <w:rFonts w:hint="default" w:ascii="Times New Roman" w:hAnsi="Times New Roman" w:eastAsia="宋体" w:cs="Times New Roman"/>
                      <w:color w:val="auto"/>
                      <w:kern w:val="21"/>
                      <w:szCs w:val="21"/>
                      <w:highlight w:val="none"/>
                      <w:lang w:val="en-US" w:eastAsia="zh-CN"/>
                    </w:rPr>
                    <w:t>《西咸新区大气污染治理专项行动方案（2023-2027年）》</w:t>
                  </w:r>
                </w:p>
              </w:tc>
              <w:tc>
                <w:tcPr>
                  <w:tcW w:w="2224" w:type="pct"/>
                  <w:noWrap w:val="0"/>
                  <w:vAlign w:val="center"/>
                </w:tcPr>
                <w:p w14:paraId="7E9662C0">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21"/>
                      <w:sz w:val="21"/>
                      <w:szCs w:val="21"/>
                      <w:highlight w:val="none"/>
                      <w:lang w:val="en-US" w:eastAsia="zh-CN"/>
                    </w:rPr>
                    <w:t>严格新、改、扩建涉气重点行业绩效评级限制条件。新区范围内新、改、扩建涉气重点行业企业应达到环保绩效A级、绩效引领性水平。</w:t>
                  </w:r>
                </w:p>
              </w:tc>
              <w:tc>
                <w:tcPr>
                  <w:tcW w:w="1444" w:type="pct"/>
                  <w:vMerge w:val="restart"/>
                  <w:noWrap w:val="0"/>
                  <w:vAlign w:val="center"/>
                </w:tcPr>
                <w:p w14:paraId="2D58B1CA">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1"/>
                      <w:kern w:val="2"/>
                      <w:sz w:val="21"/>
                      <w:szCs w:val="21"/>
                      <w:highlight w:val="none"/>
                      <w:lang w:val="en-US" w:eastAsia="zh-CN" w:bidi="ar-SA"/>
                    </w:rPr>
                  </w:pPr>
                  <w:r>
                    <w:rPr>
                      <w:rFonts w:hint="eastAsia" w:ascii="Times New Roman" w:hAnsi="Times New Roman" w:eastAsia="宋体" w:cs="Times New Roman"/>
                      <w:color w:val="auto"/>
                      <w:kern w:val="21"/>
                      <w:szCs w:val="21"/>
                      <w:highlight w:val="none"/>
                      <w:lang w:val="en-US" w:eastAsia="zh-CN"/>
                    </w:rPr>
                    <w:t>本项目不属于</w:t>
                  </w:r>
                  <w:r>
                    <w:rPr>
                      <w:rFonts w:hint="default" w:ascii="Times New Roman" w:hAnsi="Times New Roman" w:eastAsia="宋体" w:cs="Times New Roman"/>
                      <w:color w:val="auto"/>
                      <w:kern w:val="21"/>
                      <w:szCs w:val="21"/>
                      <w:highlight w:val="none"/>
                      <w:lang w:val="en-US" w:eastAsia="zh-CN"/>
                    </w:rPr>
                    <w:t>《重污染天气重点行业应急减排措施制定技术指南（2020年修订版）》（环办大气函〔2020〕340号）中</w:t>
                  </w:r>
                  <w:r>
                    <w:rPr>
                      <w:rFonts w:hint="eastAsia" w:ascii="Times New Roman" w:hAnsi="Times New Roman" w:eastAsia="宋体" w:cs="Times New Roman"/>
                      <w:color w:val="auto"/>
                      <w:kern w:val="21"/>
                      <w:szCs w:val="21"/>
                      <w:highlight w:val="none"/>
                      <w:lang w:val="en-US" w:eastAsia="zh-CN"/>
                    </w:rPr>
                    <w:t>的行业。</w:t>
                  </w:r>
                </w:p>
              </w:tc>
              <w:tc>
                <w:tcPr>
                  <w:tcW w:w="401" w:type="pct"/>
                  <w:vMerge w:val="restart"/>
                  <w:noWrap w:val="0"/>
                  <w:vAlign w:val="center"/>
                </w:tcPr>
                <w:p w14:paraId="2E3B3759">
                  <w:pPr>
                    <w:keepNext w:val="0"/>
                    <w:keepLines w:val="0"/>
                    <w:pageBreakBefore w:val="0"/>
                    <w:widowControl/>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符合</w:t>
                  </w:r>
                </w:p>
              </w:tc>
            </w:tr>
            <w:tr w14:paraId="3972D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85EA32C">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eastAsia="宋体" w:cs="Times New Roman"/>
                      <w:color w:val="auto"/>
                      <w:kern w:val="21"/>
                      <w:sz w:val="21"/>
                      <w:szCs w:val="21"/>
                      <w:highlight w:val="none"/>
                      <w:lang w:val="en-US" w:eastAsia="zh-CN" w:bidi="ar-SA"/>
                    </w:rPr>
                  </w:pPr>
                  <w:r>
                    <w:rPr>
                      <w:rFonts w:hint="default" w:ascii="Times New Roman" w:hAnsi="Times New Roman" w:eastAsia="宋体" w:cs="Times New Roman"/>
                      <w:color w:val="auto"/>
                      <w:kern w:val="21"/>
                      <w:sz w:val="21"/>
                      <w:szCs w:val="21"/>
                      <w:highlight w:val="none"/>
                      <w:lang w:val="en-US" w:eastAsia="zh-CN"/>
                    </w:rPr>
                    <w:t>《泾河新城大气污染治理专项行动方案（2023—2027年）》</w:t>
                  </w:r>
                </w:p>
              </w:tc>
              <w:tc>
                <w:tcPr>
                  <w:tcW w:w="2224" w:type="pct"/>
                  <w:noWrap w:val="0"/>
                  <w:vAlign w:val="center"/>
                </w:tcPr>
                <w:p w14:paraId="71A036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kern w:val="21"/>
                      <w:sz w:val="21"/>
                      <w:szCs w:val="21"/>
                      <w:highlight w:val="none"/>
                      <w:lang w:val="en-US" w:eastAsia="zh-CN" w:bidi="ar-SA"/>
                    </w:rPr>
                  </w:pPr>
                  <w:r>
                    <w:rPr>
                      <w:rFonts w:hint="default" w:ascii="Times New Roman" w:hAnsi="Times New Roman" w:eastAsia="宋体" w:cs="Times New Roman"/>
                      <w:color w:val="auto"/>
                      <w:kern w:val="21"/>
                      <w:sz w:val="21"/>
                      <w:szCs w:val="21"/>
                      <w:highlight w:val="none"/>
                      <w:lang w:val="en-US" w:eastAsia="zh-CN"/>
                    </w:rPr>
                    <w:t>严格新、改、扩建涉气重点行业绩效评级限制条件。新城范围内新、改、扩建涉气重点行业企业应达到环保绩效A级、绩效引领性水平。</w:t>
                  </w:r>
                </w:p>
              </w:tc>
              <w:tc>
                <w:tcPr>
                  <w:tcW w:w="1444" w:type="pct"/>
                  <w:vMerge w:val="continue"/>
                  <w:noWrap w:val="0"/>
                  <w:vAlign w:val="center"/>
                </w:tcPr>
                <w:p w14:paraId="770C695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eastAsia="宋体" w:cs="Times New Roman"/>
                      <w:color w:val="auto"/>
                      <w:spacing w:val="-1"/>
                      <w:kern w:val="2"/>
                      <w:sz w:val="21"/>
                      <w:szCs w:val="21"/>
                      <w:highlight w:val="none"/>
                      <w:lang w:val="en-US" w:eastAsia="zh-CN" w:bidi="ar-SA"/>
                    </w:rPr>
                  </w:pPr>
                </w:p>
              </w:tc>
              <w:tc>
                <w:tcPr>
                  <w:tcW w:w="401" w:type="pct"/>
                  <w:vMerge w:val="continue"/>
                  <w:noWrap w:val="0"/>
                  <w:vAlign w:val="center"/>
                </w:tcPr>
                <w:p w14:paraId="391A53BB">
                  <w:pPr>
                    <w:keepNext w:val="0"/>
                    <w:keepLines w:val="0"/>
                    <w:pageBreakBefore w:val="0"/>
                    <w:widowControl/>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bl>
          <w:p w14:paraId="6E2022C0">
            <w:pPr>
              <w:numPr>
                <w:ilvl w:val="0"/>
                <w:numId w:val="0"/>
              </w:numPr>
              <w:spacing w:line="360" w:lineRule="auto"/>
              <w:ind w:left="0" w:leftChars="0" w:firstLine="0" w:firstLineChars="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4、</w:t>
            </w:r>
            <w:r>
              <w:rPr>
                <w:rFonts w:hint="default" w:ascii="Times New Roman" w:hAnsi="Times New Roman" w:cs="Times New Roman"/>
                <w:b/>
                <w:bCs/>
                <w:color w:val="auto"/>
                <w:sz w:val="24"/>
                <w:szCs w:val="24"/>
                <w:highlight w:val="none"/>
                <w:lang w:val="en-US" w:eastAsia="zh-CN"/>
              </w:rPr>
              <w:t>选址合理性分析</w:t>
            </w:r>
          </w:p>
          <w:p w14:paraId="2681F8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color w:val="auto"/>
                <w:kern w:val="2"/>
                <w:sz w:val="24"/>
                <w:szCs w:val="24"/>
                <w:highlight w:val="none"/>
                <w:lang w:val="en-US" w:eastAsia="zh-CN" w:bidi="ar-SA"/>
              </w:rPr>
              <w:t>本项目租赁</w:t>
            </w:r>
            <w:r>
              <w:rPr>
                <w:rFonts w:hint="eastAsia" w:ascii="Times New Roman" w:hAnsi="Times New Roman" w:eastAsia="宋体" w:cs="Times New Roman"/>
                <w:b w:val="0"/>
                <w:bCs/>
                <w:color w:val="auto"/>
                <w:kern w:val="2"/>
                <w:sz w:val="24"/>
                <w:szCs w:val="24"/>
                <w:highlight w:val="none"/>
                <w:lang w:val="en-US" w:eastAsia="zh-CN" w:bidi="ar-SA"/>
              </w:rPr>
              <w:t>陕西国坤时代科技有限公司</w:t>
            </w:r>
            <w:r>
              <w:rPr>
                <w:rFonts w:hint="eastAsia" w:cs="Times New Roman"/>
                <w:b w:val="0"/>
                <w:bCs/>
                <w:color w:val="auto"/>
                <w:kern w:val="2"/>
                <w:sz w:val="24"/>
                <w:szCs w:val="24"/>
                <w:highlight w:val="none"/>
                <w:lang w:val="en-US" w:eastAsia="zh-CN" w:bidi="ar-SA"/>
              </w:rPr>
              <w:t>2号</w:t>
            </w:r>
            <w:r>
              <w:rPr>
                <w:rFonts w:hint="default" w:ascii="Times New Roman" w:hAnsi="Times New Roman" w:eastAsia="宋体" w:cs="Times New Roman"/>
                <w:b w:val="0"/>
                <w:bCs/>
                <w:color w:val="auto"/>
                <w:kern w:val="2"/>
                <w:sz w:val="24"/>
                <w:szCs w:val="24"/>
                <w:highlight w:val="none"/>
                <w:lang w:val="en-US" w:eastAsia="zh-CN" w:bidi="ar-SA"/>
              </w:rPr>
              <w:t>厂房，</w:t>
            </w:r>
            <w:r>
              <w:rPr>
                <w:rFonts w:hint="eastAsia" w:ascii="Times New Roman" w:hAnsi="Times New Roman" w:eastAsia="宋体" w:cs="Times New Roman"/>
                <w:b w:val="0"/>
                <w:bCs/>
                <w:color w:val="auto"/>
                <w:kern w:val="2"/>
                <w:sz w:val="24"/>
                <w:szCs w:val="24"/>
                <w:highlight w:val="none"/>
                <w:lang w:val="en-US" w:eastAsia="zh-CN" w:bidi="ar-SA"/>
              </w:rPr>
              <w:t>陕西国坤时代科技有限公司经营</w:t>
            </w:r>
            <w:r>
              <w:rPr>
                <w:rFonts w:hint="eastAsia" w:cs="Times New Roman"/>
                <w:b w:val="0"/>
                <w:bCs/>
                <w:color w:val="auto"/>
                <w:kern w:val="2"/>
                <w:sz w:val="24"/>
                <w:szCs w:val="24"/>
                <w:highlight w:val="none"/>
                <w:lang w:val="en-US" w:eastAsia="zh-CN" w:bidi="ar-SA"/>
              </w:rPr>
              <w:t>厂房</w:t>
            </w:r>
            <w:r>
              <w:rPr>
                <w:rFonts w:hint="eastAsia" w:ascii="Times New Roman" w:hAnsi="Times New Roman" w:eastAsia="宋体" w:cs="Times New Roman"/>
                <w:b w:val="0"/>
                <w:bCs/>
                <w:color w:val="auto"/>
                <w:kern w:val="2"/>
                <w:sz w:val="24"/>
                <w:szCs w:val="24"/>
                <w:highlight w:val="none"/>
                <w:lang w:val="en-US" w:eastAsia="zh-CN" w:bidi="ar-SA"/>
              </w:rPr>
              <w:t>租赁等</w:t>
            </w:r>
            <w:r>
              <w:rPr>
                <w:rFonts w:hint="eastAsia" w:cs="Times New Roman"/>
                <w:b w:val="0"/>
                <w:bCs/>
                <w:color w:val="auto"/>
                <w:kern w:val="2"/>
                <w:sz w:val="24"/>
                <w:szCs w:val="24"/>
                <w:highlight w:val="none"/>
                <w:lang w:val="en-US" w:eastAsia="zh-CN" w:bidi="ar-SA"/>
              </w:rPr>
              <w:t>项目，</w:t>
            </w:r>
            <w:r>
              <w:rPr>
                <w:rFonts w:hint="default" w:ascii="Times New Roman" w:hAnsi="Times New Roman" w:cs="Times New Roman"/>
                <w:b w:val="0"/>
                <w:bCs w:val="0"/>
                <w:color w:val="auto"/>
                <w:sz w:val="24"/>
                <w:szCs w:val="24"/>
                <w:highlight w:val="none"/>
                <w:lang w:val="en-US" w:eastAsia="zh-CN"/>
              </w:rPr>
              <w:t>用地性质为工业用地，</w:t>
            </w:r>
            <w:r>
              <w:rPr>
                <w:rFonts w:hint="default" w:ascii="Times New Roman" w:hAnsi="Times New Roman" w:eastAsia="宋体" w:cs="Times New Roman"/>
                <w:snapToGrid w:val="0"/>
                <w:color w:val="auto"/>
                <w:kern w:val="0"/>
                <w:sz w:val="24"/>
                <w:szCs w:val="24"/>
                <w:highlight w:val="none"/>
                <w:lang w:val="en-US" w:eastAsia="zh-CN"/>
              </w:rPr>
              <w:t>符合用地要求</w:t>
            </w:r>
            <w:r>
              <w:rPr>
                <w:rFonts w:hint="eastAsia" w:cs="Times New Roman"/>
                <w:snapToGrid w:val="0"/>
                <w:color w:val="auto"/>
                <w:kern w:val="0"/>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厂房租赁合同见附件</w:t>
            </w:r>
            <w:r>
              <w:rPr>
                <w:rFonts w:hint="eastAsia" w:ascii="Times New Roman" w:hAnsi="Times New Roman" w:eastAsia="宋体" w:cs="Times New Roman"/>
                <w:b w:val="0"/>
                <w:bCs w:val="0"/>
                <w:color w:val="auto"/>
                <w:sz w:val="24"/>
                <w:szCs w:val="24"/>
                <w:highlight w:val="none"/>
                <w:lang w:val="en-US" w:eastAsia="zh-CN"/>
              </w:rPr>
              <w:t>4</w:t>
            </w:r>
            <w:r>
              <w:rPr>
                <w:rFonts w:hint="eastAsia" w:cs="Times New Roman"/>
                <w:b w:val="0"/>
                <w:bCs w:val="0"/>
                <w:color w:val="auto"/>
                <w:sz w:val="24"/>
                <w:szCs w:val="24"/>
                <w:highlight w:val="none"/>
                <w:lang w:val="en-US" w:eastAsia="zh-CN"/>
              </w:rPr>
              <w:t>，</w:t>
            </w:r>
            <w:r>
              <w:rPr>
                <w:rFonts w:hint="eastAsia" w:ascii="Times New Roman" w:hAnsi="Times New Roman" w:eastAsia="宋体" w:cs="Times New Roman"/>
                <w:color w:val="auto"/>
                <w:sz w:val="24"/>
                <w:szCs w:val="24"/>
                <w:highlight w:val="none"/>
                <w:u w:val="none"/>
                <w:lang w:val="en-US" w:eastAsia="zh-CN"/>
              </w:rPr>
              <w:t>土地证</w:t>
            </w:r>
            <w:r>
              <w:rPr>
                <w:rFonts w:hint="eastAsia" w:cs="Times New Roman"/>
                <w:color w:val="auto"/>
                <w:sz w:val="24"/>
                <w:szCs w:val="24"/>
                <w:highlight w:val="none"/>
                <w:u w:val="none"/>
                <w:lang w:val="en-US" w:eastAsia="zh-CN"/>
              </w:rPr>
              <w:t>见附件5</w:t>
            </w:r>
            <w:r>
              <w:rPr>
                <w:rFonts w:hint="eastAsia" w:cs="Times New Roman"/>
                <w:b w:val="0"/>
                <w:bCs w:val="0"/>
                <w:color w:val="auto"/>
                <w:sz w:val="24"/>
                <w:szCs w:val="24"/>
                <w:highlight w:val="none"/>
                <w:lang w:val="en-US" w:eastAsia="zh-CN"/>
              </w:rPr>
              <w:t>。</w:t>
            </w:r>
          </w:p>
          <w:p w14:paraId="18CCAC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根据现场踏勘，本</w:t>
            </w:r>
            <w:r>
              <w:rPr>
                <w:rFonts w:hint="eastAsia" w:ascii="Times New Roman" w:hAnsi="Times New Roman" w:eastAsia="宋体" w:cs="Times New Roman"/>
                <w:b w:val="0"/>
                <w:bCs w:val="0"/>
                <w:color w:val="auto"/>
                <w:sz w:val="24"/>
                <w:szCs w:val="24"/>
                <w:highlight w:val="none"/>
                <w:lang w:val="en-US" w:eastAsia="zh-CN"/>
              </w:rPr>
              <w:t>项目</w:t>
            </w:r>
            <w:r>
              <w:rPr>
                <w:rFonts w:hint="eastAsia" w:cs="Times New Roman"/>
                <w:b w:val="0"/>
                <w:bCs w:val="0"/>
                <w:color w:val="auto"/>
                <w:sz w:val="24"/>
                <w:szCs w:val="24"/>
                <w:highlight w:val="none"/>
                <w:lang w:val="en-US" w:eastAsia="zh-CN"/>
              </w:rPr>
              <w:t>东侧为空厂房</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南侧</w:t>
            </w:r>
            <w:r>
              <w:rPr>
                <w:rFonts w:hint="eastAsia" w:ascii="Times New Roman" w:hAnsi="Times New Roman" w:eastAsia="宋体" w:cs="Times New Roman"/>
                <w:b w:val="0"/>
                <w:bCs w:val="0"/>
                <w:color w:val="auto"/>
                <w:sz w:val="24"/>
                <w:szCs w:val="24"/>
                <w:highlight w:val="none"/>
                <w:lang w:val="en-US" w:eastAsia="zh-CN"/>
              </w:rPr>
              <w:t>和</w:t>
            </w:r>
            <w:r>
              <w:rPr>
                <w:rFonts w:hint="default" w:ascii="Times New Roman" w:hAnsi="Times New Roman" w:eastAsia="宋体" w:cs="Times New Roman"/>
                <w:b w:val="0"/>
                <w:bCs w:val="0"/>
                <w:color w:val="auto"/>
                <w:sz w:val="24"/>
                <w:szCs w:val="24"/>
                <w:highlight w:val="none"/>
                <w:lang w:val="en-US" w:eastAsia="zh-CN"/>
              </w:rPr>
              <w:t>西侧</w:t>
            </w:r>
            <w:r>
              <w:rPr>
                <w:rFonts w:hint="eastAsia" w:ascii="Times New Roman" w:hAnsi="Times New Roman" w:eastAsia="宋体" w:cs="Times New Roman"/>
                <w:b w:val="0"/>
                <w:bCs w:val="0"/>
                <w:color w:val="auto"/>
                <w:sz w:val="24"/>
                <w:szCs w:val="24"/>
                <w:highlight w:val="none"/>
                <w:lang w:val="en-US" w:eastAsia="zh-CN"/>
              </w:rPr>
              <w:t>均</w:t>
            </w:r>
            <w:r>
              <w:rPr>
                <w:rFonts w:hint="default" w:ascii="Times New Roman" w:hAnsi="Times New Roman" w:eastAsia="宋体" w:cs="Times New Roman"/>
                <w:b w:val="0"/>
                <w:bCs w:val="0"/>
                <w:color w:val="auto"/>
                <w:sz w:val="24"/>
                <w:szCs w:val="24"/>
                <w:highlight w:val="none"/>
                <w:lang w:val="en-US" w:eastAsia="zh-CN"/>
              </w:rPr>
              <w:t>为</w:t>
            </w:r>
            <w:r>
              <w:rPr>
                <w:rFonts w:hint="eastAsia" w:ascii="Times New Roman" w:hAnsi="Times New Roman" w:eastAsia="宋体" w:cs="Times New Roman"/>
                <w:b w:val="0"/>
                <w:bCs w:val="0"/>
                <w:color w:val="auto"/>
                <w:sz w:val="24"/>
                <w:szCs w:val="24"/>
                <w:highlight w:val="none"/>
                <w:lang w:val="en-US" w:eastAsia="zh-CN"/>
              </w:rPr>
              <w:t>厂区内部道路，</w:t>
            </w:r>
            <w:r>
              <w:rPr>
                <w:rFonts w:hint="default" w:ascii="Times New Roman" w:hAnsi="Times New Roman" w:eastAsia="宋体" w:cs="Times New Roman"/>
                <w:b w:val="0"/>
                <w:bCs w:val="0"/>
                <w:color w:val="auto"/>
                <w:sz w:val="24"/>
                <w:szCs w:val="24"/>
                <w:highlight w:val="none"/>
                <w:lang w:val="en-US" w:eastAsia="zh-CN"/>
              </w:rPr>
              <w:t>北侧为</w:t>
            </w:r>
            <w:r>
              <w:rPr>
                <w:rFonts w:hint="eastAsia" w:ascii="Times New Roman" w:hAnsi="Times New Roman" w:eastAsia="宋体" w:cs="Times New Roman"/>
                <w:b w:val="0"/>
                <w:bCs w:val="0"/>
                <w:color w:val="auto"/>
                <w:sz w:val="24"/>
                <w:szCs w:val="24"/>
                <w:highlight w:val="none"/>
                <w:lang w:val="en-US" w:eastAsia="zh-CN"/>
              </w:rPr>
              <w:t>陕西九迈集团有限公司</w:t>
            </w:r>
            <w:r>
              <w:rPr>
                <w:rFonts w:hint="default" w:ascii="Times New Roman" w:hAnsi="Times New Roman" w:eastAsia="宋体" w:cs="Times New Roman"/>
                <w:b w:val="0"/>
                <w:bCs w:val="0"/>
                <w:color w:val="auto"/>
                <w:sz w:val="24"/>
                <w:szCs w:val="24"/>
                <w:highlight w:val="none"/>
                <w:lang w:val="en-US" w:eastAsia="zh-CN"/>
              </w:rPr>
              <w:t>，项目四邻关系图见附图2。</w:t>
            </w:r>
          </w:p>
          <w:p w14:paraId="58B48463">
            <w:pPr>
              <w:spacing w:line="360" w:lineRule="auto"/>
              <w:ind w:firstLine="480" w:firstLineChars="200"/>
              <w:rPr>
                <w:rFonts w:hint="default" w:ascii="Times New Roman" w:hAnsi="Times New Roman" w:eastAsia="宋体" w:cs="Times New Roman"/>
                <w:snapToGrid w:val="0"/>
                <w:color w:val="auto"/>
                <w:kern w:val="0"/>
                <w:sz w:val="24"/>
                <w:szCs w:val="24"/>
                <w:highlight w:val="none"/>
                <w:lang w:val="en-US" w:eastAsia="zh-CN"/>
              </w:rPr>
            </w:pPr>
            <w:r>
              <w:rPr>
                <w:rFonts w:hint="default" w:ascii="Times New Roman" w:hAnsi="Times New Roman" w:eastAsia="宋体" w:cs="Times New Roman"/>
                <w:snapToGrid w:val="0"/>
                <w:color w:val="auto"/>
                <w:kern w:val="0"/>
                <w:sz w:val="24"/>
                <w:szCs w:val="24"/>
                <w:highlight w:val="none"/>
                <w:lang w:val="en-US" w:eastAsia="zh-CN"/>
              </w:rPr>
              <w:t>项目周边交通便捷；供水、电力等基础设施均来自市政，具有良好的建设条件。同时，项目所在地地势平坦、开阔，有利于项目运营期污染物的扩散。距离项目最近的敏感点为</w:t>
            </w:r>
            <w:r>
              <w:rPr>
                <w:rFonts w:hint="eastAsia" w:cs="Times New Roman"/>
                <w:color w:val="auto"/>
                <w:sz w:val="24"/>
                <w:szCs w:val="24"/>
                <w:highlight w:val="none"/>
                <w:lang w:val="en-US" w:eastAsia="zh-CN"/>
              </w:rPr>
              <w:t>北侧420</w:t>
            </w:r>
            <w:r>
              <w:rPr>
                <w:rFonts w:hint="default" w:ascii="Times New Roman" w:hAnsi="Times New Roman" w:cs="Times New Roman"/>
                <w:color w:val="auto"/>
                <w:sz w:val="24"/>
                <w:szCs w:val="24"/>
                <w:highlight w:val="none"/>
                <w:lang w:val="en-US" w:eastAsia="zh-CN"/>
              </w:rPr>
              <w:t>m的</w:t>
            </w:r>
            <w:r>
              <w:rPr>
                <w:rFonts w:hint="eastAsia" w:cs="Times New Roman"/>
                <w:color w:val="auto"/>
                <w:sz w:val="24"/>
                <w:szCs w:val="24"/>
                <w:highlight w:val="none"/>
                <w:lang w:val="en-US" w:eastAsia="zh-CN"/>
              </w:rPr>
              <w:t>新</w:t>
            </w:r>
            <w:r>
              <w:rPr>
                <w:rFonts w:hint="eastAsia" w:ascii="Times New Roman" w:hAnsi="Times New Roman" w:eastAsia="宋体" w:cs="Times New Roman"/>
                <w:color w:val="auto"/>
                <w:sz w:val="24"/>
                <w:szCs w:val="24"/>
                <w:highlight w:val="none"/>
                <w:lang w:val="en-US" w:eastAsia="zh-CN"/>
              </w:rPr>
              <w:t>村</w:t>
            </w:r>
            <w:r>
              <w:rPr>
                <w:rFonts w:hint="default" w:ascii="Times New Roman" w:hAnsi="Times New Roman" w:eastAsia="宋体" w:cs="Times New Roman"/>
                <w:snapToGrid w:val="0"/>
                <w:color w:val="auto"/>
                <w:kern w:val="0"/>
                <w:sz w:val="24"/>
                <w:szCs w:val="24"/>
                <w:highlight w:val="none"/>
                <w:lang w:val="en-US" w:eastAsia="zh-CN"/>
              </w:rPr>
              <w:t>。在采取环评中提出的各项污染防治措施后，项目废气、废水、噪声以及固体废物均可得到妥善处置或达标排放。</w:t>
            </w:r>
          </w:p>
          <w:p w14:paraId="64FB4D31">
            <w:pPr>
              <w:numPr>
                <w:ilvl w:val="0"/>
                <w:numId w:val="0"/>
              </w:numPr>
              <w:spacing w:line="360" w:lineRule="auto"/>
              <w:ind w:leftChars="0" w:firstLine="480" w:firstLineChars="200"/>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综上，从环境影响的角度分析，项目选址合理。</w:t>
            </w:r>
          </w:p>
          <w:p w14:paraId="0B28585F">
            <w:pPr>
              <w:numPr>
                <w:ilvl w:val="0"/>
                <w:numId w:val="0"/>
              </w:numPr>
              <w:spacing w:line="360" w:lineRule="auto"/>
              <w:ind w:left="0" w:leftChars="0" w:firstLine="0" w:firstLineChars="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5、</w:t>
            </w:r>
            <w:r>
              <w:rPr>
                <w:rFonts w:hint="eastAsia" w:ascii="Times New Roman" w:hAnsi="Times New Roman" w:eastAsia="宋体" w:cs="Times New Roman"/>
                <w:b/>
                <w:bCs/>
                <w:color w:val="auto"/>
                <w:sz w:val="24"/>
                <w:szCs w:val="24"/>
                <w:highlight w:val="none"/>
                <w:lang w:val="en-US" w:eastAsia="zh-CN"/>
              </w:rPr>
              <w:t>政策符合性分析</w:t>
            </w:r>
          </w:p>
          <w:p w14:paraId="26A36587">
            <w:pPr>
              <w:pStyle w:val="61"/>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color w:val="auto"/>
                <w:highlight w:val="none"/>
              </w:rPr>
            </w:pPr>
            <w:r>
              <w:rPr>
                <w:color w:val="auto"/>
                <w:spacing w:val="-1"/>
                <w:highlight w:val="none"/>
              </w:rPr>
              <w:t>项目与固体废物再生利用政策的符合性分析见下表。</w:t>
            </w:r>
          </w:p>
          <w:p w14:paraId="59C30A39">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 1-</w:t>
            </w:r>
            <w:r>
              <w:rPr>
                <w:rFonts w:hint="eastAsia" w:ascii="Times New Roman" w:hAnsi="Times New Roman" w:eastAsia="宋体" w:cs="Times New Roman"/>
                <w:b/>
                <w:bCs/>
                <w:color w:val="auto"/>
                <w:sz w:val="21"/>
                <w:szCs w:val="21"/>
                <w:highlight w:val="none"/>
                <w:lang w:val="en-US" w:eastAsia="zh-CN"/>
              </w:rPr>
              <w:t xml:space="preserve">5 </w:t>
            </w:r>
            <w:r>
              <w:rPr>
                <w:rFonts w:hint="default" w:ascii="Times New Roman" w:hAnsi="Times New Roman" w:eastAsia="宋体" w:cs="Times New Roman"/>
                <w:b/>
                <w:bCs/>
                <w:color w:val="auto"/>
                <w:sz w:val="21"/>
                <w:szCs w:val="21"/>
                <w:highlight w:val="none"/>
                <w:lang w:val="en-US" w:eastAsia="zh-CN"/>
              </w:rPr>
              <w:t>项目与固体废物再生利用政策的符合性分析</w:t>
            </w:r>
          </w:p>
          <w:tbl>
            <w:tblPr>
              <w:tblStyle w:val="25"/>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30"/>
              <w:gridCol w:w="3371"/>
              <w:gridCol w:w="2554"/>
              <w:gridCol w:w="846"/>
            </w:tblGrid>
            <w:tr w14:paraId="2FAE2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noWrap w:val="0"/>
                  <w:vAlign w:val="center"/>
                </w:tcPr>
                <w:p w14:paraId="3A81EF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文件</w:t>
                  </w:r>
                </w:p>
              </w:tc>
              <w:tc>
                <w:tcPr>
                  <w:tcW w:w="2080" w:type="pct"/>
                  <w:noWrap w:val="0"/>
                  <w:vAlign w:val="center"/>
                </w:tcPr>
                <w:p w14:paraId="5191080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政策要求</w:t>
                  </w:r>
                </w:p>
              </w:tc>
              <w:tc>
                <w:tcPr>
                  <w:tcW w:w="1576" w:type="pct"/>
                  <w:noWrap w:val="0"/>
                  <w:vAlign w:val="center"/>
                </w:tcPr>
                <w:p w14:paraId="66FE4CD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本项目情况</w:t>
                  </w:r>
                </w:p>
              </w:tc>
              <w:tc>
                <w:tcPr>
                  <w:tcW w:w="522" w:type="pct"/>
                  <w:noWrap w:val="0"/>
                  <w:vAlign w:val="center"/>
                </w:tcPr>
                <w:p w14:paraId="2626122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1"/>
                      <w:sz w:val="21"/>
                      <w:szCs w:val="21"/>
                      <w:highlight w:val="none"/>
                    </w:rPr>
                  </w:pPr>
                  <w:r>
                    <w:rPr>
                      <w:rFonts w:hint="default" w:ascii="Times New Roman" w:hAnsi="Times New Roman" w:eastAsia="宋体" w:cs="Times New Roman"/>
                      <w:b/>
                      <w:bCs/>
                      <w:color w:val="auto"/>
                      <w:kern w:val="21"/>
                      <w:sz w:val="21"/>
                      <w:szCs w:val="21"/>
                      <w:highlight w:val="none"/>
                    </w:rPr>
                    <w:t>相符性</w:t>
                  </w:r>
                </w:p>
              </w:tc>
            </w:tr>
            <w:tr w14:paraId="40050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restart"/>
                  <w:noWrap w:val="0"/>
                  <w:vAlign w:val="center"/>
                </w:tcPr>
                <w:p w14:paraId="36A7700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 w:eastAsia="zh-CN" w:bidi="ar-SA"/>
                    </w:rPr>
                  </w:pPr>
                  <w:r>
                    <w:rPr>
                      <w:rFonts w:hint="default" w:ascii="Times New Roman" w:hAnsi="Times New Roman" w:eastAsia="宋体" w:cs="Times New Roman"/>
                      <w:color w:val="auto"/>
                      <w:spacing w:val="0"/>
                      <w:kern w:val="0"/>
                      <w:sz w:val="21"/>
                      <w:szCs w:val="21"/>
                      <w:highlight w:val="none"/>
                      <w:lang w:val="en-US" w:eastAsia="zh-CN" w:bidi="ar-SA"/>
                    </w:rPr>
                    <w:t>《固体废物再生利用污染防治技术导则》（HJ1091-2020）</w:t>
                  </w:r>
                </w:p>
              </w:tc>
              <w:tc>
                <w:tcPr>
                  <w:tcW w:w="2080" w:type="pct"/>
                  <w:noWrap w:val="0"/>
                  <w:vAlign w:val="center"/>
                </w:tcPr>
                <w:p w14:paraId="4A57272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auto"/>
                      <w:spacing w:val="0"/>
                      <w:kern w:val="0"/>
                      <w:sz w:val="21"/>
                      <w:szCs w:val="21"/>
                      <w:highlight w:val="none"/>
                      <w:lang w:val="en-GB" w:eastAsia="zh-CN" w:bidi="ar-SA"/>
                    </w:rPr>
                  </w:pPr>
                  <w:r>
                    <w:rPr>
                      <w:rFonts w:hint="default" w:ascii="Times New Roman" w:hAnsi="Times New Roman" w:eastAsia="宋体" w:cs="Times New Roman"/>
                      <w:color w:val="auto"/>
                      <w:spacing w:val="0"/>
                      <w:kern w:val="0"/>
                      <w:sz w:val="21"/>
                      <w:szCs w:val="21"/>
                      <w:highlight w:val="none"/>
                      <w:lang w:val="en-US" w:eastAsia="zh-CN" w:bidi="ar-SA"/>
                    </w:rPr>
                    <w:t>固体废物再生利用建设项目的选址应符合区域性环境保护规划和当地的城乡总体规划</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12875DCC">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3"/>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项目用地，属于工业用地，符合区域性环境保护规划和当地的城乡总体规划</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2508A2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70767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12A2E0E">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21F30967">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固体废物再生利用建设项目的设计、施工、验收和运行应遵守国家现行的相关法规的规定，同时建立完善的环境管理制度，包括环境影响评价等</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40D5CA78">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本项目将严格执行三同时制度，后续生产经营应继续完善相关环境管理制度</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22DE58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64010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45EB9B5">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43D5B966">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应对固体废物再生利用各技术环节的环境污染因子进行识别，采取有效污染控制措施，配备污染物检测设备设施，避免污染物的无组织排放，防止发生二次污染，妥善处置产生的废物</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690FCC4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项目</w:t>
                  </w:r>
                  <w:r>
                    <w:rPr>
                      <w:rFonts w:hint="eastAsia" w:ascii="Times New Roman" w:hAnsi="Times New Roman" w:eastAsia="宋体" w:cs="Times New Roman"/>
                      <w:b w:val="0"/>
                      <w:bCs w:val="0"/>
                      <w:color w:val="auto"/>
                      <w:sz w:val="21"/>
                      <w:szCs w:val="21"/>
                      <w:highlight w:val="none"/>
                      <w:lang w:val="en-US" w:eastAsia="zh-CN"/>
                    </w:rPr>
                    <w:t>上料和打包工序粉尘经2个集气罩收集</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破碎</w:t>
                  </w:r>
                  <w:r>
                    <w:rPr>
                      <w:rFonts w:hint="eastAsia" w:ascii="Times New Roman" w:hAnsi="Times New Roman" w:cs="Times New Roman"/>
                      <w:b w:val="0"/>
                      <w:bCs w:val="0"/>
                      <w:color w:val="auto"/>
                      <w:sz w:val="21"/>
                      <w:szCs w:val="21"/>
                      <w:highlight w:val="none"/>
                      <w:lang w:val="en-US" w:eastAsia="zh-CN"/>
                    </w:rPr>
                    <w:t>工序</w:t>
                  </w:r>
                  <w:r>
                    <w:rPr>
                      <w:rFonts w:hint="eastAsia" w:ascii="Times New Roman" w:hAnsi="Times New Roman" w:eastAsia="宋体" w:cs="Times New Roman"/>
                      <w:b w:val="0"/>
                      <w:bCs w:val="0"/>
                      <w:color w:val="auto"/>
                      <w:sz w:val="21"/>
                      <w:szCs w:val="21"/>
                      <w:highlight w:val="none"/>
                      <w:lang w:val="en-US" w:eastAsia="zh-CN"/>
                    </w:rPr>
                    <w:t>粉尘经管道收集后，最终汇入一根主管路进入布袋除尘器。经布袋除尘器处理后通过</w:t>
                  </w:r>
                  <w:r>
                    <w:rPr>
                      <w:rFonts w:hint="default" w:ascii="Times New Roman" w:hAnsi="Times New Roman" w:eastAsia="宋体" w:cs="Times New Roman"/>
                      <w:b w:val="0"/>
                      <w:bCs w:val="0"/>
                      <w:color w:val="auto"/>
                      <w:sz w:val="21"/>
                      <w:szCs w:val="21"/>
                      <w:highlight w:val="none"/>
                      <w:lang w:val="en-US" w:eastAsia="zh-CN"/>
                    </w:rPr>
                    <w:t>1</w:t>
                  </w:r>
                  <w:r>
                    <w:rPr>
                      <w:rFonts w:hint="eastAsia" w:ascii="Times New Roman" w:hAnsi="Times New Roman" w:eastAsia="宋体" w:cs="Times New Roman"/>
                      <w:b w:val="0"/>
                      <w:bCs w:val="0"/>
                      <w:color w:val="auto"/>
                      <w:sz w:val="21"/>
                      <w:szCs w:val="21"/>
                      <w:highlight w:val="none"/>
                      <w:lang w:val="en-US" w:eastAsia="zh-CN"/>
                    </w:rPr>
                    <w:t>根</w:t>
                  </w:r>
                  <w:r>
                    <w:rPr>
                      <w:rFonts w:hint="eastAsia" w:ascii="Times New Roman" w:hAnsi="Times New Roman" w:cs="Times New Roman"/>
                      <w:b w:val="0"/>
                      <w:bCs w:val="0"/>
                      <w:color w:val="auto"/>
                      <w:sz w:val="21"/>
                      <w:szCs w:val="21"/>
                      <w:highlight w:val="none"/>
                      <w:lang w:val="en-US" w:eastAsia="zh-CN"/>
                    </w:rPr>
                    <w:t>18</w:t>
                  </w:r>
                  <w:r>
                    <w:rPr>
                      <w:rFonts w:hint="default" w:ascii="Times New Roman" w:hAnsi="Times New Roman" w:eastAsia="宋体" w:cs="Times New Roman"/>
                      <w:b w:val="0"/>
                      <w:bCs w:val="0"/>
                      <w:color w:val="auto"/>
                      <w:sz w:val="21"/>
                      <w:szCs w:val="21"/>
                      <w:highlight w:val="none"/>
                      <w:lang w:val="en-US" w:eastAsia="zh-CN"/>
                    </w:rPr>
                    <w:t>m</w:t>
                  </w:r>
                  <w:r>
                    <w:rPr>
                      <w:rFonts w:hint="eastAsia" w:ascii="Times New Roman" w:hAnsi="Times New Roman" w:eastAsia="宋体" w:cs="Times New Roman"/>
                      <w:b w:val="0"/>
                      <w:bCs w:val="0"/>
                      <w:color w:val="auto"/>
                      <w:sz w:val="21"/>
                      <w:szCs w:val="21"/>
                      <w:highlight w:val="none"/>
                      <w:lang w:val="en-US" w:eastAsia="zh-CN"/>
                    </w:rPr>
                    <w:t>高排气筒排放。</w:t>
                  </w:r>
                </w:p>
              </w:tc>
              <w:tc>
                <w:tcPr>
                  <w:tcW w:w="522" w:type="pct"/>
                  <w:noWrap w:val="0"/>
                  <w:vAlign w:val="center"/>
                </w:tcPr>
                <w:p w14:paraId="479BB7B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53F7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4AC0935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0CB5CC9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固体废物再生利用过程产生的各种污染物的排放应满足国家和地方的污染物排放（控制）标准与排污许可要求</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0AD3236E">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项目运营期落实各项污染防治措施后污染物可达标排放</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5F7550A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6248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57A5149">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782AB47C">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固体废物再生利用产物作为产品的，应符合GB 34330中要求的国家、地方制定或行业通行的产品质量标准</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0F441A8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项目产品为</w:t>
                  </w:r>
                  <w:r>
                    <w:rPr>
                      <w:rFonts w:hint="eastAsia" w:ascii="Times New Roman" w:hAnsi="Times New Roman" w:eastAsia="宋体" w:cs="Times New Roman"/>
                      <w:color w:val="auto"/>
                      <w:spacing w:val="0"/>
                      <w:kern w:val="0"/>
                      <w:sz w:val="21"/>
                      <w:szCs w:val="21"/>
                      <w:highlight w:val="none"/>
                      <w:lang w:val="zh-CN" w:eastAsia="zh-CN" w:bidi="ar-SA"/>
                    </w:rPr>
                    <w:t>RDF固体废物衍生燃料</w:t>
                  </w:r>
                  <w:r>
                    <w:rPr>
                      <w:rFonts w:hint="default" w:ascii="Times New Roman" w:hAnsi="Times New Roman" w:eastAsia="宋体" w:cs="Times New Roman"/>
                      <w:color w:val="auto"/>
                      <w:spacing w:val="0"/>
                      <w:kern w:val="0"/>
                      <w:sz w:val="21"/>
                      <w:szCs w:val="21"/>
                      <w:highlight w:val="none"/>
                      <w:lang w:val="en-US" w:eastAsia="zh-CN" w:bidi="ar-SA"/>
                    </w:rPr>
                    <w:t>，</w:t>
                  </w:r>
                  <w:r>
                    <w:rPr>
                      <w:rFonts w:hint="eastAsia" w:ascii="Times New Roman" w:hAnsi="Times New Roman" w:eastAsia="宋体" w:cs="Times New Roman"/>
                      <w:color w:val="auto"/>
                      <w:spacing w:val="0"/>
                      <w:kern w:val="0"/>
                      <w:sz w:val="21"/>
                      <w:szCs w:val="21"/>
                      <w:highlight w:val="none"/>
                      <w:lang w:val="en-US" w:eastAsia="zh-CN" w:bidi="ar-SA"/>
                    </w:rPr>
                    <w:t>产品标准执行</w:t>
                  </w:r>
                  <w:r>
                    <w:rPr>
                      <w:rFonts w:hint="default" w:ascii="Times New Roman" w:hAnsi="Times New Roman" w:eastAsia="宋体" w:cs="Times New Roman"/>
                      <w:color w:val="auto"/>
                      <w:spacing w:val="0"/>
                      <w:kern w:val="0"/>
                      <w:sz w:val="21"/>
                      <w:szCs w:val="21"/>
                      <w:highlight w:val="none"/>
                      <w:lang w:val="en-US" w:eastAsia="zh-CN" w:bidi="ar-SA"/>
                    </w:rPr>
                    <w:t>本项目RDF燃料执行《水泥窑用固体替代燃料》（T/CIC049-2021）中表1窑头用SRF主要理化指标限值。</w:t>
                  </w:r>
                </w:p>
              </w:tc>
              <w:tc>
                <w:tcPr>
                  <w:tcW w:w="522" w:type="pct"/>
                  <w:noWrap w:val="0"/>
                  <w:vAlign w:val="center"/>
                </w:tcPr>
                <w:p w14:paraId="17F5CA7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66848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C8C3C05">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0CC123E9">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明确固体废物的理化特性，采取相应的安全防护措施</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7B620934">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项目原材料主要为</w:t>
                  </w:r>
                  <w:r>
                    <w:rPr>
                      <w:rFonts w:hint="eastAsia" w:ascii="Times New Roman" w:hAnsi="Times New Roman" w:cs="Times New Roman"/>
                      <w:color w:val="auto"/>
                      <w:spacing w:val="0"/>
                      <w:kern w:val="0"/>
                      <w:sz w:val="21"/>
                      <w:szCs w:val="21"/>
                      <w:highlight w:val="none"/>
                      <w:lang w:val="en-US" w:eastAsia="zh-CN" w:bidi="ar-SA"/>
                    </w:rPr>
                    <w:t>有热值的</w:t>
                  </w:r>
                  <w:r>
                    <w:rPr>
                      <w:rFonts w:hint="default" w:ascii="Times New Roman" w:hAnsi="Times New Roman" w:eastAsia="宋体" w:cs="Times New Roman"/>
                      <w:color w:val="auto"/>
                      <w:spacing w:val="0"/>
                      <w:kern w:val="0"/>
                      <w:sz w:val="21"/>
                      <w:szCs w:val="21"/>
                      <w:highlight w:val="none"/>
                      <w:lang w:val="en-US" w:eastAsia="zh-CN" w:bidi="ar-SA"/>
                    </w:rPr>
                    <w:t>一般固废（工业固废、生活垃圾（废纸、废塑料、废纺织物、报废家具、园林垃圾、废包装物）、建筑垃圾中的轻浮物、农业固体废物）。项目的原料区环境干燥、通风，并进行了硬化。</w:t>
                  </w:r>
                </w:p>
              </w:tc>
              <w:tc>
                <w:tcPr>
                  <w:tcW w:w="522" w:type="pct"/>
                  <w:noWrap w:val="0"/>
                  <w:vAlign w:val="center"/>
                </w:tcPr>
                <w:p w14:paraId="722995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7827E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809D62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3DFE5697">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具有物理化学危险性的固体废物，应首先进行稳定化处理</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1B1370E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项目原材料主要为</w:t>
                  </w:r>
                  <w:r>
                    <w:rPr>
                      <w:rFonts w:hint="eastAsia" w:ascii="Times New Roman" w:hAnsi="Times New Roman" w:cs="Times New Roman"/>
                      <w:color w:val="auto"/>
                      <w:spacing w:val="0"/>
                      <w:kern w:val="0"/>
                      <w:sz w:val="21"/>
                      <w:szCs w:val="21"/>
                      <w:highlight w:val="none"/>
                      <w:lang w:val="en-US" w:eastAsia="zh-CN" w:bidi="ar-SA"/>
                    </w:rPr>
                    <w:t>有热值的</w:t>
                  </w:r>
                  <w:r>
                    <w:rPr>
                      <w:rFonts w:hint="default" w:ascii="Times New Roman" w:hAnsi="Times New Roman" w:eastAsia="宋体" w:cs="Times New Roman"/>
                      <w:color w:val="auto"/>
                      <w:spacing w:val="0"/>
                      <w:kern w:val="0"/>
                      <w:sz w:val="21"/>
                      <w:szCs w:val="21"/>
                      <w:highlight w:val="none"/>
                      <w:lang w:val="en-US" w:eastAsia="zh-CN" w:bidi="ar-SA"/>
                    </w:rPr>
                    <w:t>一般固废（工业固废、生活垃圾（废纸、废塑料、废纺织物、报废家具、园林垃圾、废包装物）、建筑垃圾中的轻浮物、农业固体废物），原料进厂前已分拣打包完毕</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6D9906D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52C50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03ADA89C">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60346033">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应根据固体废物的特性设置必要的防扬撒、防渗漏、防腐蚀设施，配备废气处理、废水处理、噪声控制等污染防治设施，按要求对主要环境影响指标进行在线监测</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70AB259D">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本项目原料和产品均为低水分物质，非粉末或细颗粒状，性质稳定，无工业废水产生，且生产车间和物料堆场的地面均进行了硬底化；配备相应的除尘和降噪措施，并制定了相关环境监测计划</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7B0932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6F6C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4A54744">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2BEEA077">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产生粉尘的作业区应采取除尘措施</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01A844E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w:t>
                  </w:r>
                  <w:r>
                    <w:rPr>
                      <w:rFonts w:hint="eastAsia" w:ascii="Times New Roman" w:hAnsi="Times New Roman" w:cs="Times New Roman"/>
                      <w:color w:val="auto"/>
                      <w:spacing w:val="0"/>
                      <w:kern w:val="0"/>
                      <w:sz w:val="21"/>
                      <w:szCs w:val="21"/>
                      <w:highlight w:val="none"/>
                      <w:lang w:val="en-US" w:eastAsia="zh-CN" w:bidi="ar-SA"/>
                    </w:rPr>
                    <w:t>上料和打包</w:t>
                  </w:r>
                  <w:r>
                    <w:rPr>
                      <w:rFonts w:hint="default" w:ascii="Times New Roman" w:hAnsi="Times New Roman" w:eastAsia="宋体" w:cs="Times New Roman"/>
                      <w:color w:val="auto"/>
                      <w:spacing w:val="0"/>
                      <w:kern w:val="0"/>
                      <w:sz w:val="21"/>
                      <w:szCs w:val="21"/>
                      <w:highlight w:val="none"/>
                      <w:lang w:val="en-US" w:eastAsia="zh-CN" w:bidi="ar-SA"/>
                    </w:rPr>
                    <w:t>工序粉尘</w:t>
                  </w:r>
                  <w:r>
                    <w:rPr>
                      <w:rFonts w:hint="eastAsia" w:ascii="Times New Roman" w:hAnsi="Times New Roman" w:cs="Times New Roman"/>
                      <w:color w:val="auto"/>
                      <w:spacing w:val="0"/>
                      <w:kern w:val="0"/>
                      <w:sz w:val="21"/>
                      <w:szCs w:val="21"/>
                      <w:highlight w:val="none"/>
                      <w:lang w:val="en-US" w:eastAsia="zh-CN" w:bidi="ar-SA"/>
                    </w:rPr>
                    <w:t>经2个集气罩收集，破碎工序粉尘经管道收集后，最终汇入一根主管道，</w:t>
                  </w:r>
                  <w:r>
                    <w:rPr>
                      <w:rFonts w:hint="default" w:ascii="Times New Roman" w:hAnsi="Times New Roman" w:eastAsia="宋体" w:cs="Times New Roman"/>
                      <w:color w:val="auto"/>
                      <w:spacing w:val="0"/>
                      <w:kern w:val="0"/>
                      <w:sz w:val="21"/>
                      <w:szCs w:val="21"/>
                      <w:highlight w:val="none"/>
                      <w:lang w:val="en-US" w:eastAsia="zh-CN" w:bidi="ar-SA"/>
                    </w:rPr>
                    <w:t>经高效布袋除尘器处理后通过1</w:t>
                  </w:r>
                  <w:r>
                    <w:rPr>
                      <w:rFonts w:hint="eastAsia" w:ascii="Times New Roman" w:hAnsi="Times New Roman" w:eastAsia="宋体" w:cs="Times New Roman"/>
                      <w:color w:val="auto"/>
                      <w:spacing w:val="0"/>
                      <w:kern w:val="0"/>
                      <w:sz w:val="21"/>
                      <w:szCs w:val="21"/>
                      <w:highlight w:val="none"/>
                      <w:lang w:val="en-US" w:eastAsia="zh-CN" w:bidi="ar-SA"/>
                    </w:rPr>
                    <w:t>8</w:t>
                  </w:r>
                  <w:r>
                    <w:rPr>
                      <w:rFonts w:hint="default" w:ascii="Times New Roman" w:hAnsi="Times New Roman" w:eastAsia="宋体" w:cs="Times New Roman"/>
                      <w:color w:val="auto"/>
                      <w:spacing w:val="0"/>
                      <w:kern w:val="0"/>
                      <w:sz w:val="21"/>
                      <w:szCs w:val="21"/>
                      <w:highlight w:val="none"/>
                      <w:lang w:val="en-US" w:eastAsia="zh-CN" w:bidi="ar-SA"/>
                    </w:rPr>
                    <w:t>m高排气筒排放。</w:t>
                  </w:r>
                </w:p>
              </w:tc>
              <w:tc>
                <w:tcPr>
                  <w:tcW w:w="522" w:type="pct"/>
                  <w:noWrap w:val="0"/>
                  <w:vAlign w:val="center"/>
                </w:tcPr>
                <w:p w14:paraId="38A8DE5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0933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5A0AA61">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555F4F8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应采取大气污染控制措施，大气污染物排放应满足特定行业排放（控制）标准的要求</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4BF7AECB">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项目生产过程中颗粒物排放浓度及速率满足《大气污染物综合排放标准》（GB16297-1996）表2二级排放标准</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1E6472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15E4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9B09564">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p>
              </w:tc>
              <w:tc>
                <w:tcPr>
                  <w:tcW w:w="2080" w:type="pct"/>
                  <w:noWrap w:val="0"/>
                  <w:vAlign w:val="center"/>
                </w:tcPr>
                <w:p w14:paraId="6FCF38D6">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固体废物再生利用企业应在固体废物再生利用过程中，按照相关要求，定期对场所和设施周边的大气、土壤、地表水和地下水等进行采样监测，以判断固体废物再生利用过程是否对大气、土壤、地表水和地下水造成二次污染</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075201DC">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本环评提出了相关环境监测计划，对废气等污染物排放进行定期监测，切实控制污染物达标排放。本项目无生产废水</w:t>
                  </w:r>
                  <w:r>
                    <w:rPr>
                      <w:rFonts w:hint="eastAsia" w:ascii="Times New Roman" w:hAnsi="Times New Roman" w:eastAsia="宋体" w:cs="Times New Roman"/>
                      <w:color w:val="auto"/>
                      <w:spacing w:val="0"/>
                      <w:kern w:val="0"/>
                      <w:sz w:val="21"/>
                      <w:szCs w:val="21"/>
                      <w:highlight w:val="none"/>
                      <w:lang w:val="en-US" w:eastAsia="zh-CN" w:bidi="ar-SA"/>
                    </w:rPr>
                    <w:t>排放</w:t>
                  </w:r>
                  <w:r>
                    <w:rPr>
                      <w:rFonts w:hint="default" w:ascii="Times New Roman" w:hAnsi="Times New Roman" w:eastAsia="宋体" w:cs="Times New Roman"/>
                      <w:color w:val="auto"/>
                      <w:spacing w:val="0"/>
                      <w:kern w:val="0"/>
                      <w:sz w:val="21"/>
                      <w:szCs w:val="21"/>
                      <w:highlight w:val="none"/>
                      <w:lang w:val="en-US" w:eastAsia="zh-CN" w:bidi="ar-SA"/>
                    </w:rPr>
                    <w:t>，项目全部进行硬底处理，基本不会通过地面漫流和垂直下渗途径影响土壤和地下水环境</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3AE2D4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7FCC2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restart"/>
                  <w:noWrap w:val="0"/>
                  <w:vAlign w:val="center"/>
                </w:tcPr>
                <w:p w14:paraId="378DC33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《一般工业固体废</w:t>
                  </w:r>
                </w:p>
                <w:p w14:paraId="06680E35">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物贮存和填埋污染</w:t>
                  </w:r>
                </w:p>
                <w:p w14:paraId="15FD978A">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控制标准》</w:t>
                  </w:r>
                </w:p>
                <w:p w14:paraId="1414E0FD">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14"/>
                    <w:jc w:val="center"/>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（GB18599-2020</w:t>
                  </w:r>
                </w:p>
                <w:p w14:paraId="1E73ABA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 w:eastAsia="zh-CN" w:bidi="ar-SA"/>
                    </w:rPr>
                  </w:pPr>
                </w:p>
                <w:p w14:paraId="049D889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0"/>
                      <w:kern w:val="0"/>
                      <w:sz w:val="21"/>
                      <w:szCs w:val="21"/>
                      <w:highlight w:val="none"/>
                      <w:lang w:val="en" w:eastAsia="zh-CN" w:bidi="ar-SA"/>
                    </w:rPr>
                  </w:pPr>
                </w:p>
                <w:p w14:paraId="6FF2671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auto"/>
                      <w:spacing w:val="0"/>
                      <w:kern w:val="0"/>
                      <w:sz w:val="21"/>
                      <w:szCs w:val="21"/>
                      <w:highlight w:val="none"/>
                      <w:lang w:val="en" w:eastAsia="zh-CN" w:bidi="ar-SA"/>
                    </w:rPr>
                  </w:pPr>
                </w:p>
              </w:tc>
              <w:tc>
                <w:tcPr>
                  <w:tcW w:w="2080" w:type="pct"/>
                  <w:noWrap w:val="0"/>
                  <w:vAlign w:val="center"/>
                </w:tcPr>
                <w:p w14:paraId="48FABF9B">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2" w:firstLineChars="0"/>
                    <w:jc w:val="both"/>
                    <w:textAlignment w:val="auto"/>
                    <w:rPr>
                      <w:rFonts w:hint="default" w:ascii="Times New Roman" w:hAnsi="Times New Roman" w:eastAsia="宋体" w:cs="Times New Roman"/>
                      <w:color w:val="auto"/>
                      <w:spacing w:val="0"/>
                      <w:kern w:val="0"/>
                      <w:sz w:val="21"/>
                      <w:szCs w:val="21"/>
                      <w:highlight w:val="none"/>
                      <w:lang w:val="en-GB" w:eastAsia="zh-CN" w:bidi="ar-SA"/>
                    </w:rPr>
                  </w:pPr>
                  <w:r>
                    <w:rPr>
                      <w:rFonts w:hint="default" w:ascii="Times New Roman" w:hAnsi="Times New Roman" w:eastAsia="宋体" w:cs="Times New Roman"/>
                      <w:color w:val="auto"/>
                      <w:spacing w:val="0"/>
                      <w:kern w:val="0"/>
                      <w:sz w:val="21"/>
                      <w:szCs w:val="21"/>
                      <w:highlight w:val="none"/>
                      <w:lang w:val="en-US" w:eastAsia="zh-CN" w:bidi="ar-SA"/>
                    </w:rPr>
                    <w:t>一般工业固体废物贮存场、填埋场的选址应符合环境保护法律法规及相关法定规划要求</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6345F75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项目用地为工业用地，选址符合环境保护法律法规及相关法定规划要求</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579D433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75332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A154344">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 w:eastAsia="zh-CN" w:bidi="ar-SA"/>
                    </w:rPr>
                  </w:pPr>
                </w:p>
              </w:tc>
              <w:tc>
                <w:tcPr>
                  <w:tcW w:w="2080" w:type="pct"/>
                  <w:noWrap w:val="0"/>
                  <w:vAlign w:val="center"/>
                </w:tcPr>
                <w:p w14:paraId="656D121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auto"/>
                      <w:spacing w:val="0"/>
                      <w:kern w:val="0"/>
                      <w:sz w:val="21"/>
                      <w:szCs w:val="21"/>
                      <w:highlight w:val="none"/>
                      <w:lang w:val="en-GB" w:eastAsia="zh-CN" w:bidi="ar-SA"/>
                    </w:rPr>
                  </w:pPr>
                  <w:r>
                    <w:rPr>
                      <w:rFonts w:hint="default" w:ascii="Times New Roman" w:hAnsi="Times New Roman" w:eastAsia="宋体" w:cs="Times New Roman"/>
                      <w:color w:val="auto"/>
                      <w:spacing w:val="0"/>
                      <w:kern w:val="0"/>
                      <w:sz w:val="21"/>
                      <w:szCs w:val="21"/>
                      <w:highlight w:val="none"/>
                      <w:lang w:val="en-US" w:eastAsia="zh-CN" w:bidi="ar-SA"/>
                    </w:rPr>
                    <w:t>贮存场、填埋场的位置与周围居民区的距离应依据环境影响评价文件及审批意见确定</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09034597">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项目运行期间产生的废气在采用相应的污染防治措施后，均能做到达标排放</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1380882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5D7F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A5BFDD0">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 w:eastAsia="zh-CN" w:bidi="ar-SA"/>
                    </w:rPr>
                  </w:pPr>
                </w:p>
              </w:tc>
              <w:tc>
                <w:tcPr>
                  <w:tcW w:w="2080" w:type="pct"/>
                  <w:noWrap w:val="0"/>
                  <w:vAlign w:val="center"/>
                </w:tcPr>
                <w:p w14:paraId="6374D389">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贮存场及填埋场渗滤液收集池的防渗要求应不低于对应贮存场、填埋场的防渗要求</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4E3A16A2">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项目收运的一般固废为干燥固废，不产生渗滤液，且已要求生产区、成品</w:t>
                  </w:r>
                  <w:r>
                    <w:rPr>
                      <w:rFonts w:hint="eastAsia" w:ascii="Times New Roman" w:hAnsi="Times New Roman" w:eastAsia="宋体" w:cs="Times New Roman"/>
                      <w:color w:val="auto"/>
                      <w:spacing w:val="0"/>
                      <w:kern w:val="0"/>
                      <w:sz w:val="21"/>
                      <w:szCs w:val="21"/>
                      <w:highlight w:val="none"/>
                      <w:lang w:val="en-US" w:eastAsia="zh-CN" w:bidi="ar-SA"/>
                    </w:rPr>
                    <w:t>区</w:t>
                  </w:r>
                  <w:r>
                    <w:rPr>
                      <w:rFonts w:hint="default" w:ascii="Times New Roman" w:hAnsi="Times New Roman" w:eastAsia="宋体" w:cs="Times New Roman"/>
                      <w:color w:val="auto"/>
                      <w:spacing w:val="0"/>
                      <w:kern w:val="0"/>
                      <w:sz w:val="21"/>
                      <w:szCs w:val="21"/>
                      <w:highlight w:val="none"/>
                      <w:lang w:val="en-US" w:eastAsia="zh-CN" w:bidi="ar-SA"/>
                    </w:rPr>
                    <w:t>、原料区采取一般防渗</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76A218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0A65C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2917EE9">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 w:eastAsia="zh-CN" w:bidi="ar-SA"/>
                    </w:rPr>
                  </w:pPr>
                </w:p>
              </w:tc>
              <w:tc>
                <w:tcPr>
                  <w:tcW w:w="2080" w:type="pct"/>
                  <w:noWrap w:val="0"/>
                  <w:vAlign w:val="center"/>
                </w:tcPr>
                <w:p w14:paraId="47DDA6DE">
                  <w:pPr>
                    <w:pStyle w:val="61"/>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不相容的一般工业固体废物应设置不同的分区进行贮存和填埋作业</w:t>
                  </w:r>
                </w:p>
              </w:tc>
              <w:tc>
                <w:tcPr>
                  <w:tcW w:w="1576" w:type="pct"/>
                  <w:noWrap w:val="0"/>
                  <w:vAlign w:val="center"/>
                </w:tcPr>
                <w:p w14:paraId="6EE36551">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项目收集的一般固体废物，按照分区存放要求严格执行</w:t>
                  </w:r>
                  <w:r>
                    <w:rPr>
                      <w:rFonts w:hint="eastAsia" w:ascii="Times New Roman" w:hAnsi="Times New Roman" w:eastAsia="宋体" w:cs="Times New Roman"/>
                      <w:color w:val="auto"/>
                      <w:spacing w:val="0"/>
                      <w:kern w:val="0"/>
                      <w:sz w:val="21"/>
                      <w:szCs w:val="21"/>
                      <w:highlight w:val="none"/>
                      <w:lang w:val="en-US" w:eastAsia="zh-CN" w:bidi="ar-SA"/>
                    </w:rPr>
                    <w:t>。</w:t>
                  </w:r>
                </w:p>
              </w:tc>
              <w:tc>
                <w:tcPr>
                  <w:tcW w:w="522" w:type="pct"/>
                  <w:noWrap w:val="0"/>
                  <w:vAlign w:val="center"/>
                </w:tcPr>
                <w:p w14:paraId="68109A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209C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6D9405C1">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 w:eastAsia="zh-CN" w:bidi="ar-SA"/>
                    </w:rPr>
                  </w:pPr>
                </w:p>
              </w:tc>
              <w:tc>
                <w:tcPr>
                  <w:tcW w:w="2080" w:type="pct"/>
                  <w:noWrap w:val="0"/>
                  <w:vAlign w:val="center"/>
                </w:tcPr>
                <w:p w14:paraId="50FC119F">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危险废物和生活垃圾不得进入一般工业固体废物贮存场及填埋场。国家及地方有关法律法规、标准另有规定的除外</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11C94F5B">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项目设备保养产生的危废</w:t>
                  </w:r>
                  <w:r>
                    <w:rPr>
                      <w:rFonts w:hint="eastAsia" w:ascii="Times New Roman" w:hAnsi="Times New Roman" w:eastAsia="宋体" w:cs="Times New Roman"/>
                      <w:color w:val="auto"/>
                      <w:spacing w:val="0"/>
                      <w:kern w:val="0"/>
                      <w:sz w:val="21"/>
                      <w:szCs w:val="21"/>
                      <w:highlight w:val="none"/>
                      <w:lang w:val="en-US" w:eastAsia="zh-CN" w:bidi="ar-SA"/>
                    </w:rPr>
                    <w:t>暂存于危废贮存库内。</w:t>
                  </w:r>
                </w:p>
              </w:tc>
              <w:tc>
                <w:tcPr>
                  <w:tcW w:w="522" w:type="pct"/>
                  <w:noWrap w:val="0"/>
                  <w:vAlign w:val="center"/>
                </w:tcPr>
                <w:p w14:paraId="68AE6A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r w14:paraId="2EC9C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820" w:type="pct"/>
                  <w:vMerge w:val="continue"/>
                  <w:noWrap w:val="0"/>
                  <w:vAlign w:val="center"/>
                </w:tcPr>
                <w:p w14:paraId="71271973">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auto"/>
                      <w:spacing w:val="0"/>
                      <w:kern w:val="0"/>
                      <w:sz w:val="21"/>
                      <w:szCs w:val="21"/>
                      <w:highlight w:val="none"/>
                      <w:lang w:val="en" w:eastAsia="zh-CN" w:bidi="ar-SA"/>
                    </w:rPr>
                  </w:pPr>
                </w:p>
              </w:tc>
              <w:tc>
                <w:tcPr>
                  <w:tcW w:w="2080" w:type="pct"/>
                  <w:noWrap w:val="0"/>
                  <w:vAlign w:val="center"/>
                </w:tcPr>
                <w:p w14:paraId="52C0105A">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贮存场、填埋场投入运行之前，企业应制定突发环境事件应急预案或在突发事件应急预案中制定环境应急预案专章，说明各种可能发生的突发环境事件情景及应急处置措施</w:t>
                  </w:r>
                  <w:r>
                    <w:rPr>
                      <w:rFonts w:hint="eastAsia" w:ascii="Times New Roman" w:hAnsi="Times New Roman" w:eastAsia="宋体" w:cs="Times New Roman"/>
                      <w:color w:val="auto"/>
                      <w:spacing w:val="0"/>
                      <w:kern w:val="0"/>
                      <w:sz w:val="21"/>
                      <w:szCs w:val="21"/>
                      <w:highlight w:val="none"/>
                      <w:lang w:val="en-US" w:eastAsia="zh-CN" w:bidi="ar-SA"/>
                    </w:rPr>
                    <w:t>。</w:t>
                  </w:r>
                </w:p>
              </w:tc>
              <w:tc>
                <w:tcPr>
                  <w:tcW w:w="1576" w:type="pct"/>
                  <w:noWrap w:val="0"/>
                  <w:vAlign w:val="center"/>
                </w:tcPr>
                <w:p w14:paraId="6B68DB94">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2" w:firstLineChars="0"/>
                    <w:jc w:val="both"/>
                    <w:textAlignment w:val="auto"/>
                    <w:rPr>
                      <w:rFonts w:hint="default" w:ascii="Times New Roman" w:hAnsi="Times New Roman" w:eastAsia="宋体" w:cs="Times New Roman"/>
                      <w:color w:val="auto"/>
                      <w:spacing w:val="0"/>
                      <w:kern w:val="0"/>
                      <w:sz w:val="21"/>
                      <w:szCs w:val="21"/>
                      <w:highlight w:val="none"/>
                      <w:lang w:val="en-US" w:eastAsia="zh-CN" w:bidi="ar-SA"/>
                    </w:rPr>
                  </w:pPr>
                  <w:r>
                    <w:rPr>
                      <w:rFonts w:hint="default" w:ascii="Times New Roman" w:hAnsi="Times New Roman" w:eastAsia="宋体" w:cs="Times New Roman"/>
                      <w:color w:val="auto"/>
                      <w:spacing w:val="0"/>
                      <w:kern w:val="0"/>
                      <w:sz w:val="21"/>
                      <w:szCs w:val="21"/>
                      <w:highlight w:val="none"/>
                      <w:lang w:val="en-US" w:eastAsia="zh-CN" w:bidi="ar-SA"/>
                    </w:rPr>
                    <w:t>环评要求</w:t>
                  </w:r>
                  <w:r>
                    <w:rPr>
                      <w:rFonts w:hint="eastAsia" w:ascii="Times New Roman" w:hAnsi="Times New Roman" w:eastAsia="宋体" w:cs="Times New Roman"/>
                      <w:color w:val="auto"/>
                      <w:spacing w:val="0"/>
                      <w:kern w:val="0"/>
                      <w:sz w:val="21"/>
                      <w:szCs w:val="21"/>
                      <w:highlight w:val="none"/>
                      <w:lang w:val="en-US" w:eastAsia="zh-CN" w:bidi="ar-SA"/>
                    </w:rPr>
                    <w:t>在</w:t>
                  </w:r>
                  <w:r>
                    <w:rPr>
                      <w:rFonts w:hint="default" w:ascii="Times New Roman" w:hAnsi="Times New Roman" w:eastAsia="宋体" w:cs="Times New Roman"/>
                      <w:color w:val="auto"/>
                      <w:spacing w:val="0"/>
                      <w:kern w:val="0"/>
                      <w:sz w:val="21"/>
                      <w:szCs w:val="21"/>
                      <w:highlight w:val="none"/>
                      <w:lang w:val="en-US" w:eastAsia="zh-CN" w:bidi="ar-SA"/>
                    </w:rPr>
                    <w:t>项目</w:t>
                  </w:r>
                  <w:r>
                    <w:rPr>
                      <w:rFonts w:hint="eastAsia" w:ascii="Times New Roman" w:hAnsi="Times New Roman" w:eastAsia="宋体" w:cs="Times New Roman"/>
                      <w:color w:val="auto"/>
                      <w:spacing w:val="0"/>
                      <w:kern w:val="0"/>
                      <w:sz w:val="21"/>
                      <w:szCs w:val="21"/>
                      <w:highlight w:val="none"/>
                      <w:lang w:val="en-US" w:eastAsia="zh-CN" w:bidi="ar-SA"/>
                    </w:rPr>
                    <w:t>建成后编制</w:t>
                  </w:r>
                  <w:r>
                    <w:rPr>
                      <w:rFonts w:hint="default" w:ascii="Times New Roman" w:hAnsi="Times New Roman" w:eastAsia="宋体" w:cs="Times New Roman"/>
                      <w:color w:val="auto"/>
                      <w:spacing w:val="0"/>
                      <w:kern w:val="0"/>
                      <w:sz w:val="21"/>
                      <w:szCs w:val="21"/>
                      <w:highlight w:val="none"/>
                      <w:lang w:val="en-US" w:eastAsia="zh-CN" w:bidi="ar-SA"/>
                    </w:rPr>
                    <w:t>突发环境事件应急预案并</w:t>
                  </w:r>
                  <w:r>
                    <w:rPr>
                      <w:rFonts w:hint="eastAsia" w:ascii="Times New Roman" w:hAnsi="Times New Roman" w:eastAsia="宋体" w:cs="Times New Roman"/>
                      <w:color w:val="auto"/>
                      <w:spacing w:val="0"/>
                      <w:kern w:val="0"/>
                      <w:sz w:val="21"/>
                      <w:szCs w:val="21"/>
                      <w:highlight w:val="none"/>
                      <w:lang w:val="en-US" w:eastAsia="zh-CN" w:bidi="ar-SA"/>
                    </w:rPr>
                    <w:t>备案。</w:t>
                  </w:r>
                </w:p>
              </w:tc>
              <w:tc>
                <w:tcPr>
                  <w:tcW w:w="522" w:type="pct"/>
                  <w:noWrap w:val="0"/>
                  <w:vAlign w:val="center"/>
                </w:tcPr>
                <w:p w14:paraId="496F21E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符合</w:t>
                  </w:r>
                </w:p>
              </w:tc>
            </w:tr>
          </w:tbl>
          <w:p w14:paraId="26090DFA">
            <w:pPr>
              <w:pStyle w:val="24"/>
              <w:ind w:left="0" w:leftChars="0" w:firstLine="0" w:firstLineChars="0"/>
              <w:rPr>
                <w:rFonts w:hint="default"/>
                <w:color w:val="auto"/>
                <w:highlight w:val="none"/>
                <w:lang w:val="en-US" w:eastAsia="zh-CN"/>
              </w:rPr>
            </w:pPr>
          </w:p>
          <w:p w14:paraId="7DF768BA">
            <w:pPr>
              <w:rPr>
                <w:rFonts w:hint="default"/>
                <w:color w:val="auto"/>
                <w:highlight w:val="none"/>
                <w:lang w:val="en-US" w:eastAsia="zh-CN"/>
              </w:rPr>
            </w:pPr>
          </w:p>
          <w:p w14:paraId="2182A979">
            <w:pPr>
              <w:rPr>
                <w:rFonts w:hint="default"/>
                <w:color w:val="auto"/>
                <w:highlight w:val="none"/>
                <w:lang w:val="en-US" w:eastAsia="zh-CN"/>
              </w:rPr>
            </w:pPr>
          </w:p>
          <w:p w14:paraId="061EABCD">
            <w:pPr>
              <w:rPr>
                <w:rFonts w:hint="default"/>
                <w:color w:val="auto"/>
                <w:highlight w:val="none"/>
                <w:lang w:val="en-US" w:eastAsia="zh-CN"/>
              </w:rPr>
            </w:pPr>
          </w:p>
          <w:p w14:paraId="2C9BCBDA">
            <w:pPr>
              <w:rPr>
                <w:rFonts w:hint="default"/>
                <w:color w:val="auto"/>
                <w:highlight w:val="none"/>
                <w:lang w:val="en-US" w:eastAsia="zh-CN"/>
              </w:rPr>
            </w:pPr>
          </w:p>
          <w:p w14:paraId="6F55F39A">
            <w:pPr>
              <w:rPr>
                <w:rFonts w:hint="default"/>
                <w:color w:val="auto"/>
                <w:highlight w:val="none"/>
                <w:lang w:val="en-US" w:eastAsia="zh-CN"/>
              </w:rPr>
            </w:pPr>
          </w:p>
          <w:p w14:paraId="15A4CF3E">
            <w:pPr>
              <w:rPr>
                <w:rFonts w:hint="default"/>
                <w:color w:val="auto"/>
                <w:highlight w:val="none"/>
                <w:lang w:val="en-US" w:eastAsia="zh-CN"/>
              </w:rPr>
            </w:pPr>
          </w:p>
          <w:p w14:paraId="40802CC8">
            <w:pPr>
              <w:rPr>
                <w:rFonts w:hint="default"/>
                <w:color w:val="auto"/>
                <w:highlight w:val="none"/>
                <w:lang w:val="en-US" w:eastAsia="zh-CN"/>
              </w:rPr>
            </w:pPr>
          </w:p>
          <w:p w14:paraId="3E3EC2C0">
            <w:pPr>
              <w:rPr>
                <w:rFonts w:hint="default"/>
                <w:color w:val="auto"/>
                <w:highlight w:val="none"/>
                <w:lang w:val="en-US" w:eastAsia="zh-CN"/>
              </w:rPr>
            </w:pPr>
          </w:p>
          <w:p w14:paraId="30ECE96F">
            <w:pPr>
              <w:rPr>
                <w:rFonts w:hint="default"/>
                <w:color w:val="auto"/>
                <w:highlight w:val="none"/>
                <w:lang w:val="en-US" w:eastAsia="zh-CN"/>
              </w:rPr>
            </w:pPr>
          </w:p>
          <w:p w14:paraId="6EE922FD">
            <w:pPr>
              <w:rPr>
                <w:rFonts w:hint="default"/>
                <w:color w:val="auto"/>
                <w:highlight w:val="none"/>
                <w:lang w:val="en-US" w:eastAsia="zh-CN"/>
              </w:rPr>
            </w:pPr>
          </w:p>
          <w:p w14:paraId="16A8FF16">
            <w:pPr>
              <w:rPr>
                <w:rFonts w:hint="default"/>
                <w:color w:val="auto"/>
                <w:highlight w:val="none"/>
                <w:lang w:val="en-US" w:eastAsia="zh-CN"/>
              </w:rPr>
            </w:pPr>
          </w:p>
          <w:p w14:paraId="7C8918A2">
            <w:pPr>
              <w:rPr>
                <w:rFonts w:hint="default"/>
                <w:color w:val="auto"/>
                <w:highlight w:val="none"/>
                <w:lang w:val="en-US" w:eastAsia="zh-CN"/>
              </w:rPr>
            </w:pPr>
          </w:p>
          <w:p w14:paraId="4C787322">
            <w:pPr>
              <w:rPr>
                <w:rFonts w:hint="default"/>
                <w:color w:val="auto"/>
                <w:highlight w:val="none"/>
                <w:lang w:val="en-US" w:eastAsia="zh-CN"/>
              </w:rPr>
            </w:pPr>
          </w:p>
          <w:p w14:paraId="7923F307">
            <w:pPr>
              <w:rPr>
                <w:rFonts w:hint="default"/>
                <w:color w:val="auto"/>
                <w:highlight w:val="none"/>
                <w:lang w:val="en-US" w:eastAsia="zh-CN"/>
              </w:rPr>
            </w:pPr>
          </w:p>
          <w:p w14:paraId="126DDB1C">
            <w:pPr>
              <w:rPr>
                <w:rFonts w:hint="default"/>
                <w:color w:val="auto"/>
                <w:highlight w:val="none"/>
                <w:lang w:val="en-US" w:eastAsia="zh-CN"/>
              </w:rPr>
            </w:pPr>
          </w:p>
          <w:p w14:paraId="32976D8A">
            <w:pPr>
              <w:rPr>
                <w:rFonts w:hint="default"/>
                <w:color w:val="auto"/>
                <w:highlight w:val="none"/>
                <w:lang w:val="en-US" w:eastAsia="zh-CN"/>
              </w:rPr>
            </w:pPr>
          </w:p>
          <w:p w14:paraId="74633BE0">
            <w:pPr>
              <w:rPr>
                <w:rFonts w:hint="default"/>
                <w:color w:val="auto"/>
                <w:highlight w:val="none"/>
                <w:lang w:val="en-US" w:eastAsia="zh-CN"/>
              </w:rPr>
            </w:pPr>
          </w:p>
          <w:p w14:paraId="383B9FC2">
            <w:pPr>
              <w:rPr>
                <w:rFonts w:hint="default"/>
                <w:color w:val="auto"/>
                <w:highlight w:val="none"/>
                <w:lang w:val="en-US" w:eastAsia="zh-CN"/>
              </w:rPr>
            </w:pPr>
          </w:p>
          <w:p w14:paraId="49FA0FA2">
            <w:pPr>
              <w:rPr>
                <w:rFonts w:hint="default"/>
                <w:color w:val="auto"/>
                <w:highlight w:val="none"/>
                <w:lang w:val="en-US" w:eastAsia="zh-CN"/>
              </w:rPr>
            </w:pPr>
          </w:p>
          <w:p w14:paraId="07DDA930">
            <w:pPr>
              <w:rPr>
                <w:rFonts w:hint="default"/>
                <w:color w:val="auto"/>
                <w:highlight w:val="none"/>
                <w:lang w:val="en-US" w:eastAsia="zh-CN"/>
              </w:rPr>
            </w:pPr>
          </w:p>
          <w:p w14:paraId="4339E65D">
            <w:pPr>
              <w:rPr>
                <w:rFonts w:hint="default"/>
                <w:color w:val="auto"/>
                <w:highlight w:val="none"/>
                <w:lang w:val="en-US" w:eastAsia="zh-CN"/>
              </w:rPr>
            </w:pPr>
          </w:p>
          <w:p w14:paraId="131FE8A2">
            <w:pPr>
              <w:rPr>
                <w:rFonts w:hint="default"/>
                <w:color w:val="auto"/>
                <w:highlight w:val="none"/>
                <w:lang w:val="en-US" w:eastAsia="zh-CN"/>
              </w:rPr>
            </w:pPr>
          </w:p>
          <w:p w14:paraId="33FE45E5">
            <w:pPr>
              <w:rPr>
                <w:rFonts w:hint="default"/>
                <w:color w:val="auto"/>
                <w:highlight w:val="none"/>
                <w:lang w:val="en-US" w:eastAsia="zh-CN"/>
              </w:rPr>
            </w:pPr>
          </w:p>
          <w:p w14:paraId="1A8D44C5">
            <w:pPr>
              <w:rPr>
                <w:rFonts w:hint="default"/>
                <w:color w:val="auto"/>
                <w:highlight w:val="none"/>
                <w:lang w:val="en-US" w:eastAsia="zh-CN"/>
              </w:rPr>
            </w:pPr>
          </w:p>
          <w:p w14:paraId="2D14A4E8">
            <w:pPr>
              <w:rPr>
                <w:rFonts w:hint="default"/>
                <w:color w:val="auto"/>
                <w:highlight w:val="none"/>
                <w:lang w:val="en-US" w:eastAsia="zh-CN"/>
              </w:rPr>
            </w:pPr>
          </w:p>
          <w:p w14:paraId="1B74DA89">
            <w:pPr>
              <w:rPr>
                <w:rFonts w:hint="default"/>
                <w:color w:val="auto"/>
                <w:highlight w:val="none"/>
                <w:lang w:val="en-US" w:eastAsia="zh-CN"/>
              </w:rPr>
            </w:pPr>
          </w:p>
        </w:tc>
      </w:tr>
    </w:tbl>
    <w:p w14:paraId="670969EE">
      <w:pPr>
        <w:spacing w:line="360" w:lineRule="auto"/>
        <w:outlineLvl w:val="0"/>
        <w:rPr>
          <w:rFonts w:hint="default" w:ascii="Times New Roman" w:hAnsi="Times New Roman" w:eastAsia="黑体" w:cs="Times New Roman"/>
          <w:color w:val="auto"/>
          <w:sz w:val="30"/>
          <w:highlight w:val="none"/>
        </w:rPr>
        <w:sectPr>
          <w:pgSz w:w="11906" w:h="16838"/>
          <w:pgMar w:top="1701" w:right="1531" w:bottom="1701" w:left="1531" w:header="851" w:footer="1077" w:gutter="0"/>
          <w:pgNumType w:fmt="decimal"/>
          <w:cols w:space="720" w:num="1"/>
          <w:docGrid w:linePitch="312" w:charSpace="0"/>
        </w:sectPr>
      </w:pPr>
    </w:p>
    <w:p w14:paraId="0AD4F54F">
      <w:pPr>
        <w:pStyle w:val="21"/>
        <w:jc w:val="center"/>
        <w:outlineLvl w:val="0"/>
        <w:rPr>
          <w:rFonts w:hint="default" w:ascii="Times New Roman" w:hAnsi="Times New Roman" w:eastAsia="黑体" w:cs="Times New Roman"/>
          <w:snapToGrid w:val="0"/>
          <w:color w:val="auto"/>
          <w:sz w:val="30"/>
          <w:szCs w:val="30"/>
          <w:highlight w:val="none"/>
        </w:rPr>
      </w:pPr>
      <w:bookmarkStart w:id="6" w:name="_Toc9183"/>
      <w:r>
        <w:rPr>
          <w:rFonts w:hint="default" w:ascii="Times New Roman" w:hAnsi="Times New Roman" w:eastAsia="黑体" w:cs="Times New Roman"/>
          <w:snapToGrid w:val="0"/>
          <w:color w:val="auto"/>
          <w:sz w:val="30"/>
          <w:szCs w:val="30"/>
          <w:highlight w:val="none"/>
        </w:rPr>
        <w:t>二、建设项目工程分析</w:t>
      </w:r>
      <w:bookmarkEnd w:id="6"/>
    </w:p>
    <w:p w14:paraId="14CD7517">
      <w:pPr>
        <w:pStyle w:val="21"/>
        <w:adjustRightInd w:val="0"/>
        <w:snapToGrid w:val="0"/>
        <w:spacing w:before="0" w:beforeAutospacing="0" w:after="0" w:afterAutospacing="0"/>
        <w:jc w:val="center"/>
        <w:rPr>
          <w:rFonts w:hint="default" w:ascii="Times New Roman" w:hAnsi="Times New Roman" w:cs="Times New Roman"/>
          <w:b w:val="0"/>
          <w:bCs w:val="0"/>
          <w:color w:val="auto"/>
          <w:sz w:val="24"/>
          <w:szCs w:val="24"/>
          <w:highlight w:val="none"/>
        </w:rPr>
        <w:sectPr>
          <w:footerReference r:id="rId7" w:type="default"/>
          <w:pgSz w:w="11906" w:h="16838"/>
          <w:pgMar w:top="1701" w:right="1531" w:bottom="1701" w:left="1531" w:header="851" w:footer="851" w:gutter="0"/>
          <w:pgNumType w:fmt="decimal"/>
          <w:cols w:space="720" w:num="1"/>
          <w:docGrid w:linePitch="312" w:charSpace="0"/>
        </w:sect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538"/>
      </w:tblGrid>
      <w:tr w14:paraId="2D527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46" w:type="dxa"/>
            <w:noWrap w:val="0"/>
            <w:vAlign w:val="center"/>
          </w:tcPr>
          <w:p w14:paraId="79E841C4">
            <w:pPr>
              <w:pStyle w:val="21"/>
              <w:adjustRightInd w:val="0"/>
              <w:snapToGrid w:val="0"/>
              <w:spacing w:before="0" w:beforeAutospacing="0" w:after="0" w:afterAutospacing="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val="0"/>
                <w:bCs w:val="0"/>
                <w:color w:val="auto"/>
                <w:sz w:val="24"/>
                <w:szCs w:val="24"/>
                <w:highlight w:val="none"/>
              </w:rPr>
              <w:t>建设内容</w:t>
            </w:r>
          </w:p>
        </w:tc>
        <w:tc>
          <w:tcPr>
            <w:tcW w:w="8538" w:type="dxa"/>
            <w:noWrap w:val="0"/>
            <w:vAlign w:val="top"/>
          </w:tcPr>
          <w:p w14:paraId="14660332">
            <w:pPr>
              <w:numPr>
                <w:ilvl w:val="0"/>
                <w:numId w:val="0"/>
              </w:numPr>
              <w:adjustRightInd w:val="0"/>
              <w:snapToGrid w:val="0"/>
              <w:spacing w:line="360" w:lineRule="auto"/>
              <w:jc w:val="both"/>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1、</w:t>
            </w:r>
            <w:r>
              <w:rPr>
                <w:rFonts w:hint="default" w:ascii="Times New Roman" w:hAnsi="Times New Roman" w:cs="Times New Roman"/>
                <w:b/>
                <w:bCs w:val="0"/>
                <w:color w:val="auto"/>
                <w:sz w:val="24"/>
                <w:szCs w:val="24"/>
                <w:highlight w:val="none"/>
                <w:lang w:val="en-US" w:eastAsia="zh-CN"/>
              </w:rPr>
              <w:t>项目由来</w:t>
            </w:r>
          </w:p>
          <w:p w14:paraId="027EEB6B">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sz w:val="24"/>
                <w:szCs w:val="24"/>
                <w:highlight w:val="none"/>
                <w:lang w:val="en-US" w:eastAsia="zh-CN"/>
              </w:rPr>
            </w:pPr>
            <w:r>
              <w:rPr>
                <w:rFonts w:hint="eastAsia" w:ascii="Times New Roman" w:hAnsi="Times New Roman" w:eastAsia="宋体" w:cs="Times New Roman"/>
                <w:b w:val="0"/>
                <w:bCs/>
                <w:color w:val="auto"/>
                <w:sz w:val="24"/>
                <w:szCs w:val="24"/>
                <w:highlight w:val="none"/>
                <w:lang w:val="en-US" w:eastAsia="zh-CN"/>
              </w:rPr>
              <w:t>陕西省西咸新区泾河新城范围内有隆基乐叶光伏科技（西咸新区）有限公司、西安聚能超导磁体科技有限公司、陕西圣奥动物药业有限公司、质子汽车科技有限公司等14.5万家企业，且</w:t>
            </w:r>
            <w:r>
              <w:rPr>
                <w:rFonts w:hint="default" w:ascii="Times New Roman" w:hAnsi="Times New Roman" w:eastAsia="宋体" w:cs="Times New Roman"/>
                <w:b w:val="0"/>
                <w:bCs/>
                <w:color w:val="auto"/>
                <w:sz w:val="24"/>
                <w:szCs w:val="24"/>
                <w:highlight w:val="none"/>
                <w:lang w:val="en-US" w:eastAsia="zh-CN"/>
              </w:rPr>
              <w:t>生产规模</w:t>
            </w:r>
            <w:r>
              <w:rPr>
                <w:rFonts w:hint="eastAsia" w:ascii="Times New Roman" w:hAnsi="Times New Roman" w:eastAsia="宋体" w:cs="Times New Roman"/>
                <w:b w:val="0"/>
                <w:bCs/>
                <w:color w:val="auto"/>
                <w:sz w:val="24"/>
                <w:szCs w:val="24"/>
                <w:highlight w:val="none"/>
                <w:lang w:val="en-US" w:eastAsia="zh-CN"/>
              </w:rPr>
              <w:t>逐年</w:t>
            </w:r>
            <w:r>
              <w:rPr>
                <w:rFonts w:hint="default" w:ascii="Times New Roman" w:hAnsi="Times New Roman" w:eastAsia="宋体" w:cs="Times New Roman"/>
                <w:b w:val="0"/>
                <w:bCs/>
                <w:color w:val="auto"/>
                <w:sz w:val="24"/>
                <w:szCs w:val="24"/>
                <w:highlight w:val="none"/>
                <w:lang w:val="en-US" w:eastAsia="zh-CN"/>
              </w:rPr>
              <w:t>扩大</w:t>
            </w:r>
            <w:r>
              <w:rPr>
                <w:rFonts w:hint="eastAsia" w:ascii="Times New Roman" w:hAnsi="Times New Roman" w:eastAsia="宋体" w:cs="Times New Roman"/>
                <w:b w:val="0"/>
                <w:bCs/>
                <w:color w:val="auto"/>
                <w:sz w:val="24"/>
                <w:szCs w:val="24"/>
                <w:highlight w:val="none"/>
                <w:lang w:val="en-US" w:eastAsia="zh-CN"/>
              </w:rPr>
              <w:t>，企业生产运营过程中产生大量一般固废需处置。陕西无废大秦环保科技有限公司建设一条</w:t>
            </w:r>
            <w:r>
              <w:rPr>
                <w:rFonts w:hint="eastAsia" w:ascii="Times New Roman" w:hAnsi="Times New Roman" w:eastAsia="宋体" w:cs="Times New Roman"/>
                <w:b w:val="0"/>
                <w:bCs/>
                <w:color w:val="auto"/>
                <w:sz w:val="24"/>
                <w:szCs w:val="24"/>
                <w:highlight w:val="none"/>
                <w:lang w:val="zh-CN" w:eastAsia="zh-CN"/>
              </w:rPr>
              <w:t>RDF固体废物衍生燃料</w:t>
            </w:r>
            <w:r>
              <w:rPr>
                <w:rFonts w:hint="eastAsia" w:ascii="Times New Roman" w:hAnsi="Times New Roman" w:eastAsia="宋体" w:cs="Times New Roman"/>
                <w:b w:val="0"/>
                <w:bCs/>
                <w:color w:val="auto"/>
                <w:sz w:val="24"/>
                <w:szCs w:val="24"/>
                <w:highlight w:val="none"/>
                <w:lang w:val="en-US" w:eastAsia="zh-CN"/>
              </w:rPr>
              <w:t>生产线，收集泾河新城及周边地区企业产生的</w:t>
            </w:r>
            <w:r>
              <w:rPr>
                <w:rFonts w:hint="eastAsia" w:cs="Times New Roman"/>
                <w:b w:val="0"/>
                <w:bCs/>
                <w:color w:val="auto"/>
                <w:sz w:val="24"/>
                <w:szCs w:val="24"/>
                <w:highlight w:val="none"/>
                <w:lang w:val="en-US" w:eastAsia="zh-CN"/>
              </w:rPr>
              <w:t>有热值的</w:t>
            </w:r>
            <w:r>
              <w:rPr>
                <w:rFonts w:hint="default" w:ascii="Times New Roman" w:hAnsi="Times New Roman" w:eastAsia="宋体" w:cs="Times New Roman"/>
                <w:b w:val="0"/>
                <w:bCs/>
                <w:color w:val="auto"/>
                <w:sz w:val="24"/>
                <w:szCs w:val="24"/>
                <w:highlight w:val="none"/>
                <w:lang w:val="en-GB" w:eastAsia="zh-CN"/>
              </w:rPr>
              <w:t>一般固废（工业固废、生活垃圾（废纸、废塑料、废纺织物、报废家具、园林垃圾、废包装物）、建筑垃圾中的轻浮物、农业固体废物）</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GB" w:eastAsia="zh-CN"/>
              </w:rPr>
              <w:t>采用最新RDF替代燃料技术，</w:t>
            </w:r>
            <w:r>
              <w:rPr>
                <w:rFonts w:hint="eastAsia" w:ascii="Times New Roman" w:hAnsi="Times New Roman" w:eastAsia="宋体" w:cs="Times New Roman"/>
                <w:b w:val="0"/>
                <w:bCs/>
                <w:color w:val="auto"/>
                <w:sz w:val="24"/>
                <w:szCs w:val="24"/>
                <w:highlight w:val="none"/>
                <w:lang w:val="en-US" w:eastAsia="zh-CN"/>
              </w:rPr>
              <w:t>加工成</w:t>
            </w:r>
            <w:r>
              <w:rPr>
                <w:rFonts w:hint="default" w:ascii="Times New Roman" w:hAnsi="Times New Roman" w:eastAsia="宋体" w:cs="Times New Roman"/>
                <w:b w:val="0"/>
                <w:bCs/>
                <w:color w:val="auto"/>
                <w:sz w:val="24"/>
                <w:szCs w:val="24"/>
                <w:highlight w:val="none"/>
                <w:lang w:val="en-GB" w:eastAsia="zh-CN"/>
              </w:rPr>
              <w:t>RDF替代燃料</w:t>
            </w:r>
            <w:r>
              <w:rPr>
                <w:rFonts w:hint="eastAsia" w:ascii="Times New Roman" w:hAnsi="Times New Roman" w:eastAsia="宋体" w:cs="Times New Roman"/>
                <w:b w:val="0"/>
                <w:bCs/>
                <w:color w:val="auto"/>
                <w:sz w:val="24"/>
                <w:szCs w:val="24"/>
                <w:highlight w:val="none"/>
                <w:lang w:val="en-GB" w:eastAsia="zh-CN"/>
              </w:rPr>
              <w:t>。</w:t>
            </w:r>
            <w:r>
              <w:rPr>
                <w:rFonts w:hint="eastAsia" w:ascii="Times New Roman" w:hAnsi="Times New Roman" w:eastAsia="宋体" w:cs="Times New Roman"/>
                <w:b w:val="0"/>
                <w:bCs/>
                <w:color w:val="auto"/>
                <w:sz w:val="24"/>
                <w:szCs w:val="24"/>
                <w:highlight w:val="none"/>
                <w:lang w:val="en-US" w:eastAsia="zh-CN"/>
              </w:rPr>
              <w:t>本项目为泾河新城及周边地区产废企业的配套项目。</w:t>
            </w:r>
          </w:p>
          <w:p w14:paraId="12782AC7">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sz w:val="24"/>
                <w:szCs w:val="24"/>
                <w:highlight w:val="none"/>
                <w:lang w:val="en-US" w:eastAsia="zh-CN"/>
              </w:rPr>
            </w:pPr>
            <w:r>
              <w:rPr>
                <w:rFonts w:hint="eastAsia" w:ascii="Times New Roman" w:hAnsi="Times New Roman" w:eastAsia="宋体" w:cs="Times New Roman"/>
                <w:b w:val="0"/>
                <w:bCs/>
                <w:color w:val="auto"/>
                <w:sz w:val="24"/>
                <w:szCs w:val="24"/>
                <w:highlight w:val="none"/>
                <w:lang w:val="en-US" w:eastAsia="zh-CN"/>
              </w:rPr>
              <w:t>本项目属于N7723固体废物治理。根据《建设项目环境影响评价分类管理名录》（2021年版）“</w:t>
            </w:r>
            <w:r>
              <w:rPr>
                <w:rFonts w:hint="default" w:ascii="Times New Roman" w:hAnsi="Times New Roman" w:eastAsia="宋体" w:cs="Times New Roman"/>
                <w:b w:val="0"/>
                <w:bCs/>
                <w:color w:val="auto"/>
                <w:sz w:val="24"/>
                <w:szCs w:val="24"/>
                <w:highlight w:val="none"/>
                <w:lang w:val="en-US" w:eastAsia="zh-CN"/>
              </w:rPr>
              <w:t>四十七、生态保护和环境治理业</w:t>
            </w:r>
            <w:r>
              <w:rPr>
                <w:rFonts w:hint="eastAsia"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103</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一般工业固体废物</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含污水处理污泥</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、建筑施工废弃物处置及综合利用</w:t>
            </w:r>
            <w:r>
              <w:rPr>
                <w:rFonts w:hint="eastAsia" w:cs="Times New Roman"/>
                <w:b w:val="0"/>
                <w:bCs/>
                <w:color w:val="auto"/>
                <w:sz w:val="24"/>
                <w:szCs w:val="24"/>
                <w:highlight w:val="none"/>
                <w:lang w:val="en-US" w:eastAsia="zh-CN"/>
              </w:rPr>
              <w:t>-</w:t>
            </w:r>
            <w:r>
              <w:rPr>
                <w:rFonts w:hint="eastAsia" w:ascii="Times New Roman" w:hAnsi="Times New Roman" w:eastAsia="宋体" w:cs="Times New Roman"/>
                <w:b w:val="0"/>
                <w:bCs/>
                <w:color w:val="auto"/>
                <w:sz w:val="24"/>
                <w:szCs w:val="24"/>
                <w:highlight w:val="none"/>
                <w:lang w:val="en-US" w:eastAsia="zh-CN"/>
              </w:rPr>
              <w:t>其他</w:t>
            </w:r>
            <w:r>
              <w:rPr>
                <w:rFonts w:hint="eastAsia"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四十八、公共设施管理业</w:t>
            </w:r>
            <w:r>
              <w:rPr>
                <w:rFonts w:hint="eastAsia" w:ascii="Times New Roman" w:hAnsi="Times New Roman" w:eastAsia="宋体" w:cs="Times New Roman"/>
                <w:b w:val="0"/>
                <w:bCs/>
                <w:color w:val="auto"/>
                <w:sz w:val="24"/>
                <w:szCs w:val="24"/>
                <w:highlight w:val="none"/>
                <w:lang w:val="en-US" w:eastAsia="zh-CN"/>
              </w:rPr>
              <w:t>；106、生活垃圾（含餐厨废弃物）集中处置（生活垃圾发电除外）；其他处置方式日处置能力50吨以下10吨及以上</w:t>
            </w:r>
            <w:r>
              <w:rPr>
                <w:rFonts w:hint="eastAsia"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二十二、石油、煤炭及其他燃料加工业</w:t>
            </w:r>
            <w:r>
              <w:rPr>
                <w:rFonts w:hint="eastAsia" w:ascii="Times New Roman" w:hAnsi="Times New Roman" w:eastAsia="宋体" w:cs="Times New Roman"/>
                <w:b w:val="0"/>
                <w:bCs/>
                <w:color w:val="auto"/>
                <w:sz w:val="24"/>
                <w:szCs w:val="24"/>
                <w:highlight w:val="none"/>
                <w:lang w:val="en-US" w:eastAsia="zh-CN"/>
              </w:rPr>
              <w:t>；43、生物质燃料加工；生物质致密成型燃料加工”</w:t>
            </w:r>
            <w:r>
              <w:rPr>
                <w:rFonts w:hint="default" w:ascii="Times New Roman" w:hAnsi="Times New Roman" w:eastAsia="宋体" w:cs="Times New Roman"/>
                <w:b w:val="0"/>
                <w:bCs/>
                <w:color w:val="auto"/>
                <w:sz w:val="24"/>
                <w:szCs w:val="24"/>
                <w:highlight w:val="none"/>
                <w:lang w:val="en-US" w:eastAsia="zh-CN"/>
              </w:rPr>
              <w:t>，应编制环境影响报告表。</w:t>
            </w:r>
          </w:p>
          <w:p w14:paraId="3F74B55A">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为此，建设单位委托我公司承担该项目环境影响评价工作，委托书见附件1。接受委托后，我公司立即组织专业技术人员进行现场踏勘，并收集有关资料，在完成工程分析和环境影响因素识别的基础上，按照有关法律法规、环保技术规范及环境影响报告表编制技术指南等要求，编制完成了本项目环境影响报告表。</w:t>
            </w:r>
          </w:p>
          <w:p w14:paraId="1EA2674B">
            <w:pPr>
              <w:numPr>
                <w:ilvl w:val="0"/>
                <w:numId w:val="0"/>
              </w:numPr>
              <w:adjustRightInd w:val="0"/>
              <w:snapToGrid w:val="0"/>
              <w:spacing w:line="360" w:lineRule="auto"/>
              <w:jc w:val="both"/>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2、</w:t>
            </w:r>
            <w:r>
              <w:rPr>
                <w:rFonts w:hint="default" w:ascii="Times New Roman" w:hAnsi="Times New Roman" w:cs="Times New Roman"/>
                <w:b/>
                <w:bCs w:val="0"/>
                <w:color w:val="auto"/>
                <w:sz w:val="24"/>
                <w:szCs w:val="24"/>
                <w:highlight w:val="none"/>
                <w:lang w:val="en-US" w:eastAsia="zh-CN"/>
              </w:rPr>
              <w:t>项目组成及建设内容</w:t>
            </w:r>
          </w:p>
          <w:p w14:paraId="36B638EA">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项目名称：</w:t>
            </w:r>
            <w:r>
              <w:rPr>
                <w:rFonts w:hint="eastAsia" w:cs="Times New Roman"/>
                <w:b w:val="0"/>
                <w:bCs/>
                <w:color w:val="auto"/>
                <w:sz w:val="24"/>
                <w:szCs w:val="24"/>
                <w:highlight w:val="none"/>
                <w:lang w:val="en-US" w:eastAsia="zh-CN"/>
              </w:rPr>
              <w:t>一般固体废物资源化利用项目</w:t>
            </w:r>
            <w:r>
              <w:rPr>
                <w:rFonts w:hint="default" w:ascii="Times New Roman" w:hAnsi="Times New Roman" w:eastAsia="宋体" w:cs="Times New Roman"/>
                <w:b w:val="0"/>
                <w:bCs/>
                <w:color w:val="auto"/>
                <w:sz w:val="24"/>
                <w:szCs w:val="24"/>
                <w:highlight w:val="none"/>
                <w:lang w:val="en-US" w:eastAsia="zh-CN"/>
              </w:rPr>
              <w:t>；</w:t>
            </w:r>
          </w:p>
          <w:p w14:paraId="38C5C16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建设单位：</w:t>
            </w:r>
            <w:r>
              <w:rPr>
                <w:rFonts w:hint="eastAsia" w:ascii="Times New Roman" w:hAnsi="Times New Roman" w:eastAsia="宋体" w:cs="Times New Roman"/>
                <w:b w:val="0"/>
                <w:bCs/>
                <w:color w:val="auto"/>
                <w:sz w:val="24"/>
                <w:szCs w:val="24"/>
                <w:highlight w:val="none"/>
                <w:lang w:val="en-US" w:eastAsia="zh-CN"/>
              </w:rPr>
              <w:t>陕西无废大秦环保科技有限公司</w:t>
            </w:r>
            <w:r>
              <w:rPr>
                <w:rFonts w:hint="default" w:ascii="Times New Roman" w:hAnsi="Times New Roman" w:eastAsia="宋体" w:cs="Times New Roman"/>
                <w:b w:val="0"/>
                <w:bCs/>
                <w:color w:val="auto"/>
                <w:sz w:val="24"/>
                <w:szCs w:val="24"/>
                <w:highlight w:val="none"/>
                <w:lang w:val="en-US" w:eastAsia="zh-CN"/>
              </w:rPr>
              <w:t>；</w:t>
            </w:r>
          </w:p>
          <w:p w14:paraId="2EBF6FC1">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sz w:val="24"/>
                <w:szCs w:val="24"/>
                <w:highlight w:val="none"/>
                <w:lang w:val="en-US" w:eastAsia="zh-CN"/>
              </w:rPr>
              <w:t>地理位置：本项目位于</w:t>
            </w:r>
            <w:r>
              <w:rPr>
                <w:rFonts w:hint="eastAsia" w:ascii="Times New Roman" w:hAnsi="Times New Roman" w:eastAsia="宋体" w:cs="Times New Roman"/>
                <w:b w:val="0"/>
                <w:bCs/>
                <w:color w:val="auto"/>
                <w:sz w:val="24"/>
                <w:szCs w:val="24"/>
                <w:highlight w:val="none"/>
                <w:lang w:val="en-US" w:eastAsia="zh-CN"/>
              </w:rPr>
              <w:t>陕西省西咸新区泾河新城永乐工业园区南北大道陕西国坤时代科技有限公司2号厂房，该厂房中心位置坐标东经</w:t>
            </w:r>
            <w:r>
              <w:rPr>
                <w:rFonts w:hint="default" w:ascii="Times New Roman" w:hAnsi="Times New Roman" w:cs="Times New Roman"/>
                <w:b w:val="0"/>
                <w:bCs w:val="0"/>
                <w:color w:val="auto"/>
                <w:sz w:val="24"/>
                <w:szCs w:val="24"/>
                <w:highlight w:val="none"/>
                <w:lang w:val="en-US" w:eastAsia="zh-CN"/>
              </w:rPr>
              <w:t>108°</w:t>
            </w:r>
            <w:r>
              <w:rPr>
                <w:rFonts w:hint="eastAsia" w:ascii="Times New Roman" w:hAnsi="Times New Roman" w:cs="Times New Roman"/>
                <w:b w:val="0"/>
                <w:bCs w:val="0"/>
                <w:color w:val="auto"/>
                <w:sz w:val="24"/>
                <w:szCs w:val="24"/>
                <w:highlight w:val="none"/>
                <w:lang w:val="en-US" w:eastAsia="zh-CN"/>
              </w:rPr>
              <w:t>56</w:t>
            </w:r>
            <w:r>
              <w:rPr>
                <w:rFonts w:hint="default" w:ascii="Times New Roman" w:hAnsi="Times New Roman" w:cs="Times New Roman"/>
                <w:b w:val="0"/>
                <w:bCs w:val="0"/>
                <w:color w:val="auto"/>
                <w:sz w:val="24"/>
                <w:szCs w:val="24"/>
                <w:highlight w:val="none"/>
                <w:lang w:val="en-US" w:eastAsia="zh-CN"/>
              </w:rPr>
              <w:t>′</w:t>
            </w:r>
            <w:r>
              <w:rPr>
                <w:rFonts w:hint="eastAsia" w:ascii="Times New Roman" w:hAnsi="Times New Roman" w:cs="Times New Roman"/>
                <w:b w:val="0"/>
                <w:bCs w:val="0"/>
                <w:color w:val="auto"/>
                <w:sz w:val="24"/>
                <w:szCs w:val="24"/>
                <w:highlight w:val="none"/>
                <w:lang w:val="en-US" w:eastAsia="zh-CN"/>
              </w:rPr>
              <w:t>53.934</w:t>
            </w:r>
            <w:r>
              <w:rPr>
                <w:rFonts w:hint="default" w:ascii="Times New Roman" w:hAnsi="Times New Roman" w:cs="Times New Roman"/>
                <w:b w:val="0"/>
                <w:bCs w:val="0"/>
                <w:color w:val="auto"/>
                <w:sz w:val="24"/>
                <w:szCs w:val="24"/>
                <w:highlight w:val="none"/>
                <w:lang w:val="en-US" w:eastAsia="zh-CN"/>
              </w:rPr>
              <w:t>″</w:t>
            </w:r>
            <w:r>
              <w:rPr>
                <w:rFonts w:hint="eastAsia" w:ascii="Times New Roman" w:hAnsi="Times New Roman" w:cs="Times New Roman"/>
                <w:b w:val="0"/>
                <w:bCs w:val="0"/>
                <w:color w:val="auto"/>
                <w:sz w:val="24"/>
                <w:szCs w:val="24"/>
                <w:highlight w:val="none"/>
                <w:lang w:val="en-US" w:eastAsia="zh-CN"/>
              </w:rPr>
              <w:t>，北纬：</w:t>
            </w:r>
            <w:r>
              <w:rPr>
                <w:rFonts w:hint="default" w:ascii="Times New Roman" w:hAnsi="Times New Roman" w:eastAsia="宋体" w:cs="Times New Roman"/>
                <w:b w:val="0"/>
                <w:bCs w:val="0"/>
                <w:color w:val="auto"/>
                <w:sz w:val="24"/>
                <w:szCs w:val="24"/>
                <w:highlight w:val="none"/>
                <w:lang w:val="en-US" w:eastAsia="zh-CN"/>
              </w:rPr>
              <w:t>34°</w:t>
            </w:r>
            <w:r>
              <w:rPr>
                <w:rFonts w:hint="eastAsia" w:ascii="Times New Roman" w:hAnsi="Times New Roman" w:eastAsia="宋体" w:cs="Times New Roman"/>
                <w:b w:val="0"/>
                <w:bCs w:val="0"/>
                <w:color w:val="auto"/>
                <w:sz w:val="24"/>
                <w:szCs w:val="24"/>
                <w:highlight w:val="none"/>
                <w:lang w:val="en-US" w:eastAsia="zh-CN"/>
              </w:rPr>
              <w:t>32</w:t>
            </w:r>
            <w:r>
              <w:rPr>
                <w:rFonts w:hint="default" w:ascii="Times New Roman" w:hAnsi="Times New Roman" w:eastAsia="宋体" w:cs="Times New Roman"/>
                <w:b w:val="0"/>
                <w:bCs w:val="0"/>
                <w:color w:val="auto"/>
                <w:sz w:val="24"/>
                <w:szCs w:val="24"/>
                <w:highlight w:val="none"/>
                <w:lang w:val="en-US" w:eastAsia="zh-CN"/>
              </w:rPr>
              <w:t>′2</w:t>
            </w:r>
            <w:r>
              <w:rPr>
                <w:rFonts w:hint="eastAsia" w:ascii="Times New Roman" w:hAnsi="Times New Roman" w:eastAsia="宋体" w:cs="Times New Roman"/>
                <w:b w:val="0"/>
                <w:bCs w:val="0"/>
                <w:color w:val="auto"/>
                <w:sz w:val="24"/>
                <w:szCs w:val="24"/>
                <w:highlight w:val="none"/>
                <w:lang w:val="en-US" w:eastAsia="zh-CN"/>
              </w:rPr>
              <w:t>4.424</w:t>
            </w: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项目地理位置图见附图1</w:t>
            </w:r>
            <w:r>
              <w:rPr>
                <w:rFonts w:hint="eastAsia" w:ascii="Times New Roman" w:hAnsi="Times New Roman" w:cs="Times New Roman"/>
                <w:b w:val="0"/>
                <w:bCs w:val="0"/>
                <w:color w:val="auto"/>
                <w:sz w:val="24"/>
                <w:szCs w:val="24"/>
                <w:highlight w:val="none"/>
                <w:lang w:val="en-US" w:eastAsia="zh-CN"/>
              </w:rPr>
              <w:t>。</w:t>
            </w:r>
          </w:p>
          <w:p w14:paraId="38153F22">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四邻关系</w:t>
            </w:r>
            <w:r>
              <w:rPr>
                <w:rFonts w:hint="eastAsia" w:ascii="Times New Roman" w:hAnsi="Times New Roman" w:eastAsia="宋体" w:cs="Times New Roman"/>
                <w:b w:val="0"/>
                <w:bCs/>
                <w:color w:val="auto"/>
                <w:sz w:val="24"/>
                <w:szCs w:val="24"/>
                <w:highlight w:val="none"/>
                <w:lang w:val="en-US" w:eastAsia="zh-CN"/>
              </w:rPr>
              <w:t>：项目</w:t>
            </w:r>
            <w:r>
              <w:rPr>
                <w:rFonts w:hint="eastAsia" w:cs="Times New Roman"/>
                <w:b w:val="0"/>
                <w:bCs w:val="0"/>
                <w:color w:val="auto"/>
                <w:sz w:val="24"/>
                <w:szCs w:val="24"/>
                <w:highlight w:val="none"/>
                <w:lang w:val="en-US" w:eastAsia="zh-CN"/>
              </w:rPr>
              <w:t>东侧为空厂房</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南侧</w:t>
            </w:r>
            <w:r>
              <w:rPr>
                <w:rFonts w:hint="eastAsia" w:ascii="Times New Roman" w:hAnsi="Times New Roman" w:eastAsia="宋体" w:cs="Times New Roman"/>
                <w:b w:val="0"/>
                <w:bCs w:val="0"/>
                <w:color w:val="auto"/>
                <w:sz w:val="24"/>
                <w:szCs w:val="24"/>
                <w:highlight w:val="none"/>
                <w:lang w:val="en-US" w:eastAsia="zh-CN"/>
              </w:rPr>
              <w:t>和</w:t>
            </w:r>
            <w:r>
              <w:rPr>
                <w:rFonts w:hint="default" w:ascii="Times New Roman" w:hAnsi="Times New Roman" w:eastAsia="宋体" w:cs="Times New Roman"/>
                <w:b w:val="0"/>
                <w:bCs w:val="0"/>
                <w:color w:val="auto"/>
                <w:sz w:val="24"/>
                <w:szCs w:val="24"/>
                <w:highlight w:val="none"/>
                <w:lang w:val="en-US" w:eastAsia="zh-CN"/>
              </w:rPr>
              <w:t>西侧</w:t>
            </w:r>
            <w:r>
              <w:rPr>
                <w:rFonts w:hint="eastAsia" w:ascii="Times New Roman" w:hAnsi="Times New Roman" w:eastAsia="宋体" w:cs="Times New Roman"/>
                <w:b w:val="0"/>
                <w:bCs w:val="0"/>
                <w:color w:val="auto"/>
                <w:sz w:val="24"/>
                <w:szCs w:val="24"/>
                <w:highlight w:val="none"/>
                <w:lang w:val="en-US" w:eastAsia="zh-CN"/>
              </w:rPr>
              <w:t>均</w:t>
            </w:r>
            <w:r>
              <w:rPr>
                <w:rFonts w:hint="default" w:ascii="Times New Roman" w:hAnsi="Times New Roman" w:eastAsia="宋体" w:cs="Times New Roman"/>
                <w:b w:val="0"/>
                <w:bCs w:val="0"/>
                <w:color w:val="auto"/>
                <w:sz w:val="24"/>
                <w:szCs w:val="24"/>
                <w:highlight w:val="none"/>
                <w:lang w:val="en-US" w:eastAsia="zh-CN"/>
              </w:rPr>
              <w:t>为</w:t>
            </w:r>
            <w:r>
              <w:rPr>
                <w:rFonts w:hint="eastAsia" w:ascii="Times New Roman" w:hAnsi="Times New Roman" w:eastAsia="宋体" w:cs="Times New Roman"/>
                <w:b w:val="0"/>
                <w:bCs w:val="0"/>
                <w:color w:val="auto"/>
                <w:sz w:val="24"/>
                <w:szCs w:val="24"/>
                <w:highlight w:val="none"/>
                <w:lang w:val="en-US" w:eastAsia="zh-CN"/>
              </w:rPr>
              <w:t>厂区内部道路，</w:t>
            </w:r>
            <w:r>
              <w:rPr>
                <w:rFonts w:hint="default" w:ascii="Times New Roman" w:hAnsi="Times New Roman" w:eastAsia="宋体" w:cs="Times New Roman"/>
                <w:b w:val="0"/>
                <w:bCs w:val="0"/>
                <w:color w:val="auto"/>
                <w:sz w:val="24"/>
                <w:szCs w:val="24"/>
                <w:highlight w:val="none"/>
                <w:lang w:val="en-US" w:eastAsia="zh-CN"/>
              </w:rPr>
              <w:t>北侧为</w:t>
            </w:r>
            <w:r>
              <w:rPr>
                <w:rFonts w:hint="eastAsia" w:ascii="Times New Roman" w:hAnsi="Times New Roman" w:eastAsia="宋体" w:cs="Times New Roman"/>
                <w:b w:val="0"/>
                <w:bCs w:val="0"/>
                <w:color w:val="auto"/>
                <w:sz w:val="24"/>
                <w:szCs w:val="24"/>
                <w:highlight w:val="none"/>
                <w:lang w:val="en-US" w:eastAsia="zh-CN"/>
              </w:rPr>
              <w:t>陕西九迈集团有限公司。</w:t>
            </w:r>
            <w:r>
              <w:rPr>
                <w:rFonts w:hint="default" w:ascii="Times New Roman" w:hAnsi="Times New Roman" w:cs="Times New Roman"/>
                <w:b w:val="0"/>
                <w:bCs w:val="0"/>
                <w:color w:val="auto"/>
                <w:sz w:val="24"/>
                <w:szCs w:val="24"/>
                <w:highlight w:val="none"/>
                <w:lang w:val="en-US" w:eastAsia="zh-CN"/>
              </w:rPr>
              <w:t>四邻关系图见附图2。</w:t>
            </w:r>
          </w:p>
          <w:p w14:paraId="58203752">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建设内容及规模：</w:t>
            </w:r>
            <w:r>
              <w:rPr>
                <w:rFonts w:hint="default" w:ascii="Times New Roman" w:hAnsi="Times New Roman" w:cs="Times New Roman"/>
                <w:b w:val="0"/>
                <w:bCs w:val="0"/>
                <w:color w:val="auto"/>
                <w:sz w:val="24"/>
                <w:szCs w:val="24"/>
                <w:highlight w:val="none"/>
                <w:lang w:val="en-US" w:eastAsia="zh-CN"/>
              </w:rPr>
              <w:t>本项目占地面积</w:t>
            </w:r>
            <w:r>
              <w:rPr>
                <w:rFonts w:hint="eastAsia" w:cs="Times New Roman"/>
                <w:b w:val="0"/>
                <w:bCs w:val="0"/>
                <w:color w:val="auto"/>
                <w:sz w:val="24"/>
                <w:szCs w:val="24"/>
                <w:highlight w:val="none"/>
                <w:lang w:val="en-US" w:eastAsia="zh-CN"/>
              </w:rPr>
              <w:t>3504</w:t>
            </w:r>
            <w:r>
              <w:rPr>
                <w:rFonts w:hint="default" w:ascii="Times New Roman" w:hAnsi="Times New Roman" w:cs="Times New Roman"/>
                <w:b w:val="0"/>
                <w:bCs w:val="0"/>
                <w:color w:val="auto"/>
                <w:sz w:val="24"/>
                <w:szCs w:val="24"/>
                <w:highlight w:val="none"/>
                <w:lang w:val="en-US" w:eastAsia="zh-CN"/>
              </w:rPr>
              <w:t>m</w:t>
            </w:r>
            <w:r>
              <w:rPr>
                <w:rFonts w:hint="default" w:ascii="Times New Roman" w:hAnsi="Times New Roman" w:cs="Times New Roman"/>
                <w:b w:val="0"/>
                <w:bCs w:val="0"/>
                <w:color w:val="auto"/>
                <w:sz w:val="24"/>
                <w:szCs w:val="24"/>
                <w:highlight w:val="none"/>
                <w:vertAlign w:val="superscript"/>
                <w:lang w:val="en-US" w:eastAsia="zh-CN"/>
              </w:rPr>
              <w:t>2</w:t>
            </w:r>
            <w:r>
              <w:rPr>
                <w:rFonts w:hint="default" w:ascii="Times New Roman" w:hAnsi="Times New Roman" w:cs="Times New Roman"/>
                <w:b w:val="0"/>
                <w:bCs w:val="0"/>
                <w:color w:val="auto"/>
                <w:sz w:val="24"/>
                <w:szCs w:val="24"/>
                <w:highlight w:val="none"/>
                <w:vertAlign w:val="baseline"/>
                <w:lang w:val="en-US" w:eastAsia="zh-CN"/>
              </w:rPr>
              <w:t>，主要</w:t>
            </w:r>
            <w:r>
              <w:rPr>
                <w:rFonts w:hint="eastAsia" w:ascii="Times New Roman" w:hAnsi="Times New Roman" w:cs="Times New Roman"/>
                <w:b w:val="0"/>
                <w:bCs w:val="0"/>
                <w:color w:val="auto"/>
                <w:sz w:val="24"/>
                <w:szCs w:val="24"/>
                <w:highlight w:val="none"/>
                <w:vertAlign w:val="baseline"/>
                <w:lang w:val="en-US" w:eastAsia="zh-CN"/>
              </w:rPr>
              <w:t>建设1条以可燃物为原料的</w:t>
            </w:r>
            <w:r>
              <w:rPr>
                <w:rFonts w:hint="eastAsia" w:ascii="Times New Roman" w:hAnsi="Times New Roman" w:eastAsia="宋体" w:cs="Times New Roman"/>
                <w:b w:val="0"/>
                <w:bCs w:val="0"/>
                <w:color w:val="auto"/>
                <w:sz w:val="24"/>
                <w:szCs w:val="24"/>
                <w:highlight w:val="none"/>
                <w:lang w:val="zh-CN" w:eastAsia="zh-CN"/>
              </w:rPr>
              <w:t>RDF固体废物衍生燃料</w:t>
            </w:r>
            <w:r>
              <w:rPr>
                <w:rFonts w:hint="eastAsia" w:ascii="Times New Roman" w:hAnsi="Times New Roman" w:cs="Times New Roman"/>
                <w:b w:val="0"/>
                <w:bCs/>
                <w:color w:val="auto"/>
                <w:sz w:val="24"/>
                <w:szCs w:val="24"/>
                <w:highlight w:val="none"/>
                <w:lang w:val="en-US" w:eastAsia="zh-CN"/>
              </w:rPr>
              <w:t>生产线</w:t>
            </w:r>
            <w:r>
              <w:rPr>
                <w:rFonts w:hint="default" w:ascii="Times New Roman" w:hAnsi="Times New Roman" w:cs="Times New Roman"/>
                <w:b w:val="0"/>
                <w:bCs w:val="0"/>
                <w:color w:val="auto"/>
                <w:sz w:val="24"/>
                <w:szCs w:val="24"/>
                <w:highlight w:val="none"/>
                <w:vertAlign w:val="baseline"/>
                <w:lang w:val="en-US" w:eastAsia="zh-CN"/>
              </w:rPr>
              <w:t>及相关配套设施，</w:t>
            </w:r>
            <w:r>
              <w:rPr>
                <w:rFonts w:hint="default" w:ascii="Times New Roman" w:hAnsi="Times New Roman" w:cs="Times New Roman"/>
                <w:b w:val="0"/>
                <w:bCs w:val="0"/>
                <w:color w:val="auto"/>
                <w:sz w:val="24"/>
                <w:szCs w:val="24"/>
                <w:highlight w:val="none"/>
                <w:lang w:val="en-US" w:eastAsia="zh-CN"/>
              </w:rPr>
              <w:t>主要建设内容见下表。</w:t>
            </w:r>
          </w:p>
          <w:p w14:paraId="38DC4B14">
            <w:pPr>
              <w:numPr>
                <w:ilvl w:val="0"/>
                <w:numId w:val="0"/>
              </w:numPr>
              <w:adjustRightInd w:val="0"/>
              <w:snapToGrid w:val="0"/>
              <w:spacing w:line="240" w:lineRule="auto"/>
              <w:ind w:left="0" w:leftChars="0"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表2-1 项目建设内容一览表</w:t>
            </w:r>
          </w:p>
          <w:tbl>
            <w:tblPr>
              <w:tblStyle w:val="25"/>
              <w:tblW w:w="8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453"/>
              <w:gridCol w:w="860"/>
              <w:gridCol w:w="5280"/>
              <w:gridCol w:w="1087"/>
            </w:tblGrid>
            <w:tr w14:paraId="5481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4264396B">
                  <w:pPr>
                    <w:tabs>
                      <w:tab w:val="left" w:pos="1260"/>
                    </w:tabs>
                    <w:adjustRightInd w:val="0"/>
                    <w:snapToGrid w:val="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val="en-US" w:eastAsia="zh-CN"/>
                    </w:rPr>
                    <w:t>类别</w:t>
                  </w:r>
                </w:p>
              </w:tc>
              <w:tc>
                <w:tcPr>
                  <w:tcW w:w="1313" w:type="dxa"/>
                  <w:gridSpan w:val="2"/>
                  <w:tcBorders>
                    <w:tl2br w:val="nil"/>
                    <w:tr2bl w:val="nil"/>
                  </w:tcBorders>
                  <w:noWrap w:val="0"/>
                  <w:vAlign w:val="center"/>
                </w:tcPr>
                <w:p w14:paraId="0C690179">
                  <w:pPr>
                    <w:tabs>
                      <w:tab w:val="left" w:pos="1260"/>
                    </w:tabs>
                    <w:adjustRightInd w:val="0"/>
                    <w:snapToGrid w:val="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项目</w:t>
                  </w:r>
                  <w:r>
                    <w:rPr>
                      <w:rFonts w:hint="default" w:ascii="Times New Roman" w:hAnsi="Times New Roman" w:cs="Times New Roman"/>
                      <w:b/>
                      <w:bCs/>
                      <w:color w:val="auto"/>
                      <w:sz w:val="21"/>
                      <w:szCs w:val="21"/>
                      <w:highlight w:val="none"/>
                      <w:lang w:val="en-US" w:eastAsia="zh-CN"/>
                    </w:rPr>
                    <w:t>组成</w:t>
                  </w:r>
                </w:p>
              </w:tc>
              <w:tc>
                <w:tcPr>
                  <w:tcW w:w="5280" w:type="dxa"/>
                  <w:tcBorders>
                    <w:tl2br w:val="nil"/>
                    <w:tr2bl w:val="nil"/>
                  </w:tcBorders>
                  <w:noWrap w:val="0"/>
                  <w:vAlign w:val="center"/>
                </w:tcPr>
                <w:p w14:paraId="6E0B084B">
                  <w:pPr>
                    <w:tabs>
                      <w:tab w:val="left" w:pos="1260"/>
                    </w:tabs>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建设</w:t>
                  </w:r>
                  <w:r>
                    <w:rPr>
                      <w:rFonts w:hint="default" w:ascii="Times New Roman" w:hAnsi="Times New Roman" w:cs="Times New Roman"/>
                      <w:b/>
                      <w:bCs/>
                      <w:color w:val="auto"/>
                      <w:sz w:val="21"/>
                      <w:szCs w:val="21"/>
                      <w:highlight w:val="none"/>
                    </w:rPr>
                    <w:t>内容</w:t>
                  </w:r>
                  <w:r>
                    <w:rPr>
                      <w:rFonts w:hint="default" w:ascii="Times New Roman" w:hAnsi="Times New Roman" w:cs="Times New Roman"/>
                      <w:b/>
                      <w:bCs/>
                      <w:color w:val="auto"/>
                      <w:sz w:val="21"/>
                      <w:szCs w:val="21"/>
                      <w:highlight w:val="none"/>
                      <w:lang w:val="en-US" w:eastAsia="zh-CN"/>
                    </w:rPr>
                    <w:t>及规模</w:t>
                  </w:r>
                </w:p>
              </w:tc>
              <w:tc>
                <w:tcPr>
                  <w:tcW w:w="1087" w:type="dxa"/>
                  <w:tcBorders>
                    <w:tl2br w:val="nil"/>
                    <w:tr2bl w:val="nil"/>
                  </w:tcBorders>
                  <w:noWrap w:val="0"/>
                  <w:vAlign w:val="center"/>
                </w:tcPr>
                <w:p w14:paraId="69A82B4E">
                  <w:pPr>
                    <w:tabs>
                      <w:tab w:val="left" w:pos="1260"/>
                    </w:tabs>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备注</w:t>
                  </w:r>
                </w:p>
              </w:tc>
            </w:tr>
            <w:tr w14:paraId="7E784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5CFDDB24">
                  <w:pPr>
                    <w:tabs>
                      <w:tab w:val="left" w:pos="1260"/>
                    </w:tabs>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主体工程</w:t>
                  </w:r>
                </w:p>
              </w:tc>
              <w:tc>
                <w:tcPr>
                  <w:tcW w:w="1313" w:type="dxa"/>
                  <w:gridSpan w:val="2"/>
                  <w:tcBorders>
                    <w:tl2br w:val="nil"/>
                    <w:tr2bl w:val="nil"/>
                  </w:tcBorders>
                  <w:noWrap w:val="0"/>
                  <w:vAlign w:val="center"/>
                </w:tcPr>
                <w:p w14:paraId="00A3CDA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zh-CN" w:eastAsia="zh-CN"/>
                    </w:rPr>
                    <w:t>RDF固体废物衍生燃料</w:t>
                  </w:r>
                  <w:r>
                    <w:rPr>
                      <w:rFonts w:hint="eastAsia" w:ascii="Times New Roman" w:hAnsi="Times New Roman" w:eastAsia="宋体" w:cs="Times New Roman"/>
                      <w:color w:val="auto"/>
                      <w:sz w:val="21"/>
                      <w:szCs w:val="21"/>
                      <w:highlight w:val="none"/>
                      <w:lang w:val="en-US" w:eastAsia="zh-CN"/>
                    </w:rPr>
                    <w:t>生产线</w:t>
                  </w:r>
                </w:p>
              </w:tc>
              <w:tc>
                <w:tcPr>
                  <w:tcW w:w="5280" w:type="dxa"/>
                  <w:tcBorders>
                    <w:tl2br w:val="nil"/>
                    <w:tr2bl w:val="nil"/>
                  </w:tcBorders>
                  <w:noWrap w:val="0"/>
                  <w:vAlign w:val="center"/>
                </w:tcPr>
                <w:p w14:paraId="7F46DCE8">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占地面积约</w:t>
                  </w:r>
                  <w:r>
                    <w:rPr>
                      <w:rFonts w:hint="eastAsia" w:cs="Times New Roman"/>
                      <w:bCs/>
                      <w:color w:val="auto"/>
                      <w:kern w:val="2"/>
                      <w:sz w:val="21"/>
                      <w:szCs w:val="21"/>
                      <w:highlight w:val="none"/>
                      <w:lang w:val="en-US" w:eastAsia="zh-CN" w:bidi="ar-SA"/>
                    </w:rPr>
                    <w:t>1350</w:t>
                  </w:r>
                  <w:r>
                    <w:rPr>
                      <w:rFonts w:hint="eastAsia" w:ascii="Times New Roman" w:hAnsi="Times New Roman" w:eastAsia="宋体" w:cs="Times New Roman"/>
                      <w:bCs/>
                      <w:color w:val="auto"/>
                      <w:kern w:val="2"/>
                      <w:sz w:val="21"/>
                      <w:szCs w:val="21"/>
                      <w:highlight w:val="none"/>
                      <w:lang w:val="en-US" w:eastAsia="zh-CN" w:bidi="ar-SA"/>
                    </w:rPr>
                    <w:t>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，1F，高12.5m。</w:t>
                  </w:r>
                  <w:r>
                    <w:rPr>
                      <w:rFonts w:hint="default" w:ascii="Times New Roman" w:hAnsi="Times New Roman" w:eastAsia="宋体" w:cs="Times New Roman"/>
                      <w:bCs/>
                      <w:color w:val="auto"/>
                      <w:kern w:val="2"/>
                      <w:sz w:val="21"/>
                      <w:szCs w:val="21"/>
                      <w:highlight w:val="none"/>
                      <w:lang w:val="en-US" w:eastAsia="zh-CN" w:bidi="ar-SA"/>
                    </w:rPr>
                    <w:t>位于生产车间</w:t>
                  </w:r>
                  <w:r>
                    <w:rPr>
                      <w:rFonts w:hint="eastAsia" w:ascii="Times New Roman" w:hAnsi="Times New Roman" w:eastAsia="宋体" w:cs="Times New Roman"/>
                      <w:bCs/>
                      <w:color w:val="auto"/>
                      <w:kern w:val="2"/>
                      <w:sz w:val="21"/>
                      <w:szCs w:val="21"/>
                      <w:highlight w:val="none"/>
                      <w:lang w:val="en-US" w:eastAsia="zh-CN" w:bidi="ar-SA"/>
                    </w:rPr>
                    <w:t>东北侧</w:t>
                  </w:r>
                  <w:r>
                    <w:rPr>
                      <w:rFonts w:hint="default" w:ascii="Times New Roman" w:hAnsi="Times New Roman" w:eastAsia="宋体" w:cs="Times New Roman"/>
                      <w:bCs/>
                      <w:color w:val="auto"/>
                      <w:kern w:val="2"/>
                      <w:sz w:val="21"/>
                      <w:szCs w:val="21"/>
                      <w:highlight w:val="none"/>
                      <w:lang w:val="en-US" w:eastAsia="zh-CN" w:bidi="ar-SA"/>
                    </w:rPr>
                    <w:t>，主要建设</w:t>
                  </w:r>
                  <w:r>
                    <w:rPr>
                      <w:rFonts w:hint="eastAsia" w:ascii="Times New Roman" w:hAnsi="Times New Roman" w:eastAsia="宋体" w:cs="Times New Roman"/>
                      <w:bCs/>
                      <w:color w:val="auto"/>
                      <w:kern w:val="2"/>
                      <w:sz w:val="21"/>
                      <w:szCs w:val="21"/>
                      <w:highlight w:val="none"/>
                      <w:lang w:val="en-US" w:eastAsia="zh-CN" w:bidi="ar-SA"/>
                    </w:rPr>
                    <w:t>1条</w:t>
                  </w:r>
                  <w:r>
                    <w:rPr>
                      <w:rFonts w:hint="eastAsia" w:ascii="Times New Roman" w:hAnsi="Times New Roman" w:eastAsia="宋体" w:cs="Times New Roman"/>
                      <w:bCs/>
                      <w:color w:val="auto"/>
                      <w:kern w:val="2"/>
                      <w:sz w:val="21"/>
                      <w:szCs w:val="21"/>
                      <w:highlight w:val="none"/>
                      <w:lang w:val="zh-CN" w:eastAsia="zh-CN" w:bidi="ar-SA"/>
                    </w:rPr>
                    <w:t>RDF固体废物衍生燃料</w:t>
                  </w:r>
                  <w:r>
                    <w:rPr>
                      <w:rFonts w:hint="eastAsia" w:ascii="Times New Roman" w:hAnsi="Times New Roman" w:eastAsia="宋体" w:cs="Times New Roman"/>
                      <w:bCs/>
                      <w:color w:val="auto"/>
                      <w:kern w:val="2"/>
                      <w:sz w:val="21"/>
                      <w:szCs w:val="21"/>
                      <w:highlight w:val="none"/>
                      <w:lang w:val="en-US" w:eastAsia="zh-CN" w:bidi="ar-SA"/>
                    </w:rPr>
                    <w:t>生产线</w:t>
                  </w:r>
                  <w:r>
                    <w:rPr>
                      <w:rFonts w:hint="default" w:ascii="Times New Roman" w:hAnsi="Times New Roman" w:eastAsia="宋体" w:cs="Times New Roman"/>
                      <w:bCs/>
                      <w:color w:val="auto"/>
                      <w:kern w:val="2"/>
                      <w:sz w:val="21"/>
                      <w:szCs w:val="21"/>
                      <w:highlight w:val="none"/>
                      <w:lang w:val="en-US" w:eastAsia="zh-CN" w:bidi="ar-SA"/>
                    </w:rPr>
                    <w:t>，配置</w:t>
                  </w:r>
                  <w:r>
                    <w:rPr>
                      <w:rFonts w:hint="eastAsia" w:ascii="Times New Roman" w:hAnsi="Times New Roman" w:eastAsia="宋体" w:cs="Times New Roman"/>
                      <w:bCs/>
                      <w:color w:val="auto"/>
                      <w:kern w:val="2"/>
                      <w:sz w:val="21"/>
                      <w:szCs w:val="21"/>
                      <w:highlight w:val="none"/>
                      <w:lang w:val="en-US" w:eastAsia="zh-CN" w:bidi="ar-SA"/>
                    </w:rPr>
                    <w:t>三台撕碎机和</w:t>
                  </w:r>
                  <w:r>
                    <w:rPr>
                      <w:rFonts w:hint="default" w:ascii="Times New Roman" w:hAnsi="Times New Roman" w:eastAsia="宋体" w:cs="Times New Roman"/>
                      <w:bCs/>
                      <w:color w:val="auto"/>
                      <w:kern w:val="2"/>
                      <w:sz w:val="21"/>
                      <w:szCs w:val="21"/>
                      <w:highlight w:val="none"/>
                      <w:lang w:val="en-US" w:eastAsia="zh-CN" w:bidi="ar-SA"/>
                    </w:rPr>
                    <w:t>打包机等设备</w:t>
                  </w:r>
                  <w:r>
                    <w:rPr>
                      <w:rFonts w:hint="eastAsia"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0B4C1CC9">
                  <w:pPr>
                    <w:tabs>
                      <w:tab w:val="left" w:pos="1260"/>
                    </w:tabs>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依托现有厂房</w:t>
                  </w:r>
                  <w:r>
                    <w:rPr>
                      <w:rFonts w:hint="eastAsia"/>
                      <w:color w:val="auto"/>
                      <w:highlight w:val="none"/>
                      <w:lang w:eastAsia="zh-CN"/>
                    </w:rPr>
                    <w:t>，</w:t>
                  </w:r>
                  <w:r>
                    <w:rPr>
                      <w:rFonts w:hint="eastAsia"/>
                      <w:color w:val="auto"/>
                      <w:highlight w:val="none"/>
                      <w:lang w:val="en-US" w:eastAsia="zh-CN"/>
                    </w:rPr>
                    <w:t>新建设备</w:t>
                  </w:r>
                </w:p>
              </w:tc>
            </w:tr>
            <w:tr w14:paraId="2907A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restart"/>
                  <w:tcBorders>
                    <w:tl2br w:val="nil"/>
                    <w:tr2bl w:val="nil"/>
                  </w:tcBorders>
                  <w:noWrap w:val="0"/>
                  <w:vAlign w:val="center"/>
                </w:tcPr>
                <w:p w14:paraId="6B5E6FC8">
                  <w:pPr>
                    <w:tabs>
                      <w:tab w:val="left" w:pos="1260"/>
                    </w:tabs>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储运工程</w:t>
                  </w:r>
                </w:p>
              </w:tc>
              <w:tc>
                <w:tcPr>
                  <w:tcW w:w="1313" w:type="dxa"/>
                  <w:gridSpan w:val="2"/>
                  <w:tcBorders>
                    <w:tl2br w:val="nil"/>
                    <w:tr2bl w:val="nil"/>
                  </w:tcBorders>
                  <w:noWrap w:val="0"/>
                  <w:vAlign w:val="center"/>
                </w:tcPr>
                <w:p w14:paraId="1F53707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原料区</w:t>
                  </w:r>
                </w:p>
              </w:tc>
              <w:tc>
                <w:tcPr>
                  <w:tcW w:w="5280" w:type="dxa"/>
                  <w:tcBorders>
                    <w:tl2br w:val="nil"/>
                    <w:tr2bl w:val="nil"/>
                  </w:tcBorders>
                  <w:noWrap w:val="0"/>
                  <w:vAlign w:val="center"/>
                </w:tcPr>
                <w:p w14:paraId="3396B3D5">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占地面积约</w:t>
                  </w:r>
                  <w:r>
                    <w:rPr>
                      <w:rFonts w:hint="eastAsia" w:cs="Times New Roman"/>
                      <w:bCs/>
                      <w:color w:val="auto"/>
                      <w:kern w:val="2"/>
                      <w:sz w:val="21"/>
                      <w:szCs w:val="21"/>
                      <w:highlight w:val="none"/>
                      <w:lang w:val="en-US" w:eastAsia="zh-CN" w:bidi="ar-SA"/>
                    </w:rPr>
                    <w:t>582.8</w:t>
                  </w:r>
                  <w:r>
                    <w:rPr>
                      <w:rFonts w:hint="eastAsia" w:ascii="Times New Roman" w:hAnsi="Times New Roman" w:eastAsia="宋体" w:cs="Times New Roman"/>
                      <w:bCs/>
                      <w:color w:val="auto"/>
                      <w:kern w:val="2"/>
                      <w:sz w:val="21"/>
                      <w:szCs w:val="21"/>
                      <w:highlight w:val="none"/>
                      <w:lang w:val="en-US" w:eastAsia="zh-CN" w:bidi="ar-SA"/>
                    </w:rPr>
                    <w:t>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，1F，高12.5m。</w:t>
                  </w:r>
                  <w:r>
                    <w:rPr>
                      <w:rFonts w:hint="default" w:ascii="Times New Roman" w:hAnsi="Times New Roman" w:eastAsia="宋体" w:cs="Times New Roman"/>
                      <w:bCs/>
                      <w:color w:val="auto"/>
                      <w:kern w:val="2"/>
                      <w:sz w:val="21"/>
                      <w:szCs w:val="21"/>
                      <w:highlight w:val="none"/>
                      <w:lang w:val="en-US" w:eastAsia="zh-CN" w:bidi="ar-SA"/>
                    </w:rPr>
                    <w:t>位于生产车间</w:t>
                  </w:r>
                  <w:r>
                    <w:rPr>
                      <w:rFonts w:hint="eastAsia" w:ascii="Times New Roman" w:hAnsi="Times New Roman" w:eastAsia="宋体" w:cs="Times New Roman"/>
                      <w:bCs/>
                      <w:color w:val="auto"/>
                      <w:kern w:val="2"/>
                      <w:sz w:val="21"/>
                      <w:szCs w:val="21"/>
                      <w:highlight w:val="none"/>
                      <w:lang w:val="en-US" w:eastAsia="zh-CN" w:bidi="ar-SA"/>
                    </w:rPr>
                    <w:t>西南</w:t>
                  </w:r>
                  <w:r>
                    <w:rPr>
                      <w:rFonts w:hint="default" w:ascii="Times New Roman" w:hAnsi="Times New Roman" w:eastAsia="宋体" w:cs="Times New Roman"/>
                      <w:bCs/>
                      <w:color w:val="auto"/>
                      <w:kern w:val="2"/>
                      <w:sz w:val="21"/>
                      <w:szCs w:val="21"/>
                      <w:highlight w:val="none"/>
                      <w:lang w:val="en-US" w:eastAsia="zh-CN" w:bidi="ar-SA"/>
                    </w:rPr>
                    <w:t>侧，用于存储原料</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68308663">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新建</w:t>
                  </w:r>
                </w:p>
              </w:tc>
            </w:tr>
            <w:tr w14:paraId="034E6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0BDD73E4">
                  <w:pPr>
                    <w:tabs>
                      <w:tab w:val="left" w:pos="1260"/>
                    </w:tabs>
                    <w:adjustRightInd w:val="0"/>
                    <w:snapToGrid w:val="0"/>
                    <w:jc w:val="center"/>
                    <w:rPr>
                      <w:rFonts w:hint="default" w:ascii="Times New Roman" w:hAnsi="Times New Roman" w:cs="Times New Roman"/>
                      <w:color w:val="auto"/>
                      <w:sz w:val="21"/>
                      <w:szCs w:val="21"/>
                      <w:highlight w:val="none"/>
                    </w:rPr>
                  </w:pPr>
                </w:p>
              </w:tc>
              <w:tc>
                <w:tcPr>
                  <w:tcW w:w="1313" w:type="dxa"/>
                  <w:gridSpan w:val="2"/>
                  <w:tcBorders>
                    <w:tl2br w:val="nil"/>
                    <w:tr2bl w:val="nil"/>
                  </w:tcBorders>
                  <w:noWrap w:val="0"/>
                  <w:vAlign w:val="center"/>
                </w:tcPr>
                <w:p w14:paraId="300E086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成品区</w:t>
                  </w:r>
                </w:p>
              </w:tc>
              <w:tc>
                <w:tcPr>
                  <w:tcW w:w="5280" w:type="dxa"/>
                  <w:tcBorders>
                    <w:tl2br w:val="nil"/>
                    <w:tr2bl w:val="nil"/>
                  </w:tcBorders>
                  <w:noWrap w:val="0"/>
                  <w:vAlign w:val="center"/>
                </w:tcPr>
                <w:p w14:paraId="7CF51ED6">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占地面积约565.44m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，1F，高12.5m。</w:t>
                  </w:r>
                  <w:r>
                    <w:rPr>
                      <w:rFonts w:hint="default" w:ascii="Times New Roman" w:hAnsi="Times New Roman" w:eastAsia="宋体" w:cs="Times New Roman"/>
                      <w:bCs/>
                      <w:color w:val="auto"/>
                      <w:kern w:val="2"/>
                      <w:sz w:val="21"/>
                      <w:szCs w:val="21"/>
                      <w:highlight w:val="none"/>
                      <w:lang w:val="en-US" w:eastAsia="zh-CN" w:bidi="ar-SA"/>
                    </w:rPr>
                    <w:t>位于生产车间</w:t>
                  </w:r>
                  <w:r>
                    <w:rPr>
                      <w:rFonts w:hint="eastAsia" w:ascii="Times New Roman" w:hAnsi="Times New Roman" w:eastAsia="宋体" w:cs="Times New Roman"/>
                      <w:bCs/>
                      <w:color w:val="auto"/>
                      <w:kern w:val="2"/>
                      <w:sz w:val="21"/>
                      <w:szCs w:val="21"/>
                      <w:highlight w:val="none"/>
                      <w:lang w:val="en-US" w:eastAsia="zh-CN" w:bidi="ar-SA"/>
                    </w:rPr>
                    <w:t>东南</w:t>
                  </w:r>
                  <w:r>
                    <w:rPr>
                      <w:rFonts w:hint="default" w:ascii="Times New Roman" w:hAnsi="Times New Roman" w:eastAsia="宋体" w:cs="Times New Roman"/>
                      <w:bCs/>
                      <w:color w:val="auto"/>
                      <w:kern w:val="2"/>
                      <w:sz w:val="21"/>
                      <w:szCs w:val="21"/>
                      <w:highlight w:val="none"/>
                      <w:lang w:val="en-US" w:eastAsia="zh-CN" w:bidi="ar-SA"/>
                    </w:rPr>
                    <w:t>侧，用于存储成品</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6F8B780B">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新建</w:t>
                  </w:r>
                </w:p>
              </w:tc>
            </w:tr>
            <w:tr w14:paraId="13A9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09B2AEAB">
                  <w:pPr>
                    <w:tabs>
                      <w:tab w:val="left" w:pos="1260"/>
                    </w:tabs>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辅助工程</w:t>
                  </w:r>
                </w:p>
              </w:tc>
              <w:tc>
                <w:tcPr>
                  <w:tcW w:w="1313" w:type="dxa"/>
                  <w:gridSpan w:val="2"/>
                  <w:tcBorders>
                    <w:tl2br w:val="nil"/>
                    <w:tr2bl w:val="nil"/>
                  </w:tcBorders>
                  <w:noWrap w:val="0"/>
                  <w:vAlign w:val="center"/>
                </w:tcPr>
                <w:p w14:paraId="2FE03E6B">
                  <w:pPr>
                    <w:tabs>
                      <w:tab w:val="left" w:pos="1260"/>
                    </w:tabs>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办公区</w:t>
                  </w:r>
                </w:p>
              </w:tc>
              <w:tc>
                <w:tcPr>
                  <w:tcW w:w="5280" w:type="dxa"/>
                  <w:tcBorders>
                    <w:tl2br w:val="nil"/>
                    <w:tr2bl w:val="nil"/>
                  </w:tcBorders>
                  <w:noWrap w:val="0"/>
                  <w:vAlign w:val="center"/>
                </w:tcPr>
                <w:p w14:paraId="3FBAF211">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租赁园区办公室</w:t>
                  </w:r>
                  <w:r>
                    <w:rPr>
                      <w:rFonts w:hint="default" w:ascii="Times New Roman" w:hAnsi="Times New Roman" w:eastAsia="宋体" w:cs="Times New Roman"/>
                      <w:bCs/>
                      <w:color w:val="auto"/>
                      <w:kern w:val="2"/>
                      <w:sz w:val="21"/>
                      <w:szCs w:val="21"/>
                      <w:highlight w:val="none"/>
                      <w:lang w:val="en-US" w:eastAsia="zh-CN" w:bidi="ar-SA"/>
                    </w:rPr>
                    <w:t>，主要用于办公</w:t>
                  </w:r>
                  <w:r>
                    <w:rPr>
                      <w:rFonts w:hint="eastAsia" w:ascii="Times New Roman" w:hAnsi="Times New Roman" w:eastAsia="宋体" w:cs="Times New Roman"/>
                      <w:bCs/>
                      <w:color w:val="auto"/>
                      <w:kern w:val="2"/>
                      <w:sz w:val="21"/>
                      <w:szCs w:val="21"/>
                      <w:highlight w:val="none"/>
                      <w:lang w:val="en-US" w:eastAsia="zh-CN" w:bidi="ar-SA"/>
                    </w:rPr>
                    <w:t>，占地面积约60m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0DE62EEE">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依托现有办公楼</w:t>
                  </w:r>
                </w:p>
              </w:tc>
            </w:tr>
            <w:tr w14:paraId="12E8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restart"/>
                  <w:tcBorders>
                    <w:tl2br w:val="nil"/>
                    <w:tr2bl w:val="nil"/>
                  </w:tcBorders>
                  <w:noWrap w:val="0"/>
                  <w:vAlign w:val="center"/>
                </w:tcPr>
                <w:p w14:paraId="4E2A2389">
                  <w:pPr>
                    <w:tabs>
                      <w:tab w:val="left" w:pos="1260"/>
                    </w:tabs>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公用工程</w:t>
                  </w:r>
                </w:p>
              </w:tc>
              <w:tc>
                <w:tcPr>
                  <w:tcW w:w="1313" w:type="dxa"/>
                  <w:gridSpan w:val="2"/>
                  <w:tcBorders>
                    <w:tl2br w:val="nil"/>
                    <w:tr2bl w:val="nil"/>
                  </w:tcBorders>
                  <w:noWrap w:val="0"/>
                  <w:vAlign w:val="center"/>
                </w:tcPr>
                <w:p w14:paraId="20D6D1C6">
                  <w:pPr>
                    <w:tabs>
                      <w:tab w:val="left" w:pos="1260"/>
                    </w:tabs>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供水</w:t>
                  </w:r>
                </w:p>
              </w:tc>
              <w:tc>
                <w:tcPr>
                  <w:tcW w:w="5280" w:type="dxa"/>
                  <w:tcBorders>
                    <w:tl2br w:val="nil"/>
                    <w:tr2bl w:val="nil"/>
                  </w:tcBorders>
                  <w:noWrap w:val="0"/>
                  <w:vAlign w:val="center"/>
                </w:tcPr>
                <w:p w14:paraId="4E478AB2">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由市政供水管网供给。</w:t>
                  </w:r>
                </w:p>
              </w:tc>
              <w:tc>
                <w:tcPr>
                  <w:tcW w:w="1087" w:type="dxa"/>
                  <w:tcBorders>
                    <w:tl2br w:val="nil"/>
                    <w:tr2bl w:val="nil"/>
                  </w:tcBorders>
                  <w:noWrap w:val="0"/>
                  <w:vAlign w:val="center"/>
                </w:tcPr>
                <w:p w14:paraId="31351739">
                  <w:pPr>
                    <w:tabs>
                      <w:tab w:val="left" w:pos="1260"/>
                    </w:tabs>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依托</w:t>
                  </w:r>
                </w:p>
              </w:tc>
            </w:tr>
            <w:tr w14:paraId="603A8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tcBorders>
                    <w:tl2br w:val="nil"/>
                    <w:tr2bl w:val="nil"/>
                  </w:tcBorders>
                  <w:noWrap w:val="0"/>
                  <w:vAlign w:val="center"/>
                </w:tcPr>
                <w:p w14:paraId="688F698B">
                  <w:pPr>
                    <w:tabs>
                      <w:tab w:val="left" w:pos="1260"/>
                    </w:tabs>
                    <w:adjustRightInd w:val="0"/>
                    <w:snapToGrid w:val="0"/>
                    <w:jc w:val="center"/>
                    <w:rPr>
                      <w:rFonts w:hint="default" w:ascii="Times New Roman" w:hAnsi="Times New Roman" w:cs="Times New Roman"/>
                      <w:color w:val="auto"/>
                      <w:sz w:val="21"/>
                      <w:szCs w:val="21"/>
                      <w:highlight w:val="none"/>
                    </w:rPr>
                  </w:pPr>
                </w:p>
              </w:tc>
              <w:tc>
                <w:tcPr>
                  <w:tcW w:w="1313" w:type="dxa"/>
                  <w:gridSpan w:val="2"/>
                  <w:tcBorders>
                    <w:tl2br w:val="nil"/>
                    <w:tr2bl w:val="nil"/>
                  </w:tcBorders>
                  <w:noWrap w:val="0"/>
                  <w:vAlign w:val="center"/>
                </w:tcPr>
                <w:p w14:paraId="5B3248C6">
                  <w:pPr>
                    <w:tabs>
                      <w:tab w:val="left" w:pos="1260"/>
                    </w:tabs>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排水</w:t>
                  </w:r>
                </w:p>
              </w:tc>
              <w:tc>
                <w:tcPr>
                  <w:tcW w:w="5280" w:type="dxa"/>
                  <w:tcBorders>
                    <w:tl2br w:val="nil"/>
                    <w:tr2bl w:val="nil"/>
                  </w:tcBorders>
                  <w:noWrap w:val="0"/>
                  <w:vAlign w:val="center"/>
                </w:tcPr>
                <w:p w14:paraId="4D93D562">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雨污分流。雨水进入市政雨水管网；</w:t>
                  </w:r>
                  <w:r>
                    <w:rPr>
                      <w:rFonts w:hint="default" w:ascii="Times New Roman" w:hAnsi="Times New Roman" w:eastAsia="宋体" w:cs="Times New Roman"/>
                      <w:bCs/>
                      <w:color w:val="auto"/>
                      <w:kern w:val="2"/>
                      <w:sz w:val="21"/>
                      <w:szCs w:val="21"/>
                      <w:highlight w:val="none"/>
                      <w:lang w:val="en-US" w:eastAsia="zh-CN" w:bidi="ar-SA"/>
                    </w:rPr>
                    <w:t>本项目无生产废水</w:t>
                  </w:r>
                  <w:r>
                    <w:rPr>
                      <w:rFonts w:hint="eastAsia" w:ascii="Times New Roman" w:hAnsi="Times New Roman" w:eastAsia="宋体" w:cs="Times New Roman"/>
                      <w:bCs/>
                      <w:color w:val="auto"/>
                      <w:kern w:val="2"/>
                      <w:sz w:val="21"/>
                      <w:szCs w:val="21"/>
                      <w:highlight w:val="none"/>
                      <w:lang w:val="en-US" w:eastAsia="zh-CN" w:bidi="ar-SA"/>
                    </w:rPr>
                    <w:t>排放</w:t>
                  </w:r>
                  <w:r>
                    <w:rPr>
                      <w:rFonts w:hint="default" w:ascii="Times New Roman" w:hAnsi="Times New Roman" w:eastAsia="宋体" w:cs="Times New Roman"/>
                      <w:bCs/>
                      <w:color w:val="auto"/>
                      <w:kern w:val="2"/>
                      <w:sz w:val="21"/>
                      <w:szCs w:val="21"/>
                      <w:highlight w:val="none"/>
                      <w:lang w:val="en-US" w:eastAsia="zh-CN" w:bidi="ar-SA"/>
                    </w:rPr>
                    <w:t>，生活污水经</w:t>
                  </w:r>
                  <w:r>
                    <w:rPr>
                      <w:rFonts w:hint="eastAsia" w:ascii="Times New Roman" w:hAnsi="Times New Roman" w:eastAsia="宋体" w:cs="Times New Roman"/>
                      <w:bCs/>
                      <w:color w:val="auto"/>
                      <w:kern w:val="2"/>
                      <w:sz w:val="21"/>
                      <w:szCs w:val="21"/>
                      <w:highlight w:val="none"/>
                      <w:lang w:val="en-US" w:eastAsia="zh-CN" w:bidi="ar-SA"/>
                    </w:rPr>
                    <w:t>陕西国坤时代科技有限公司化</w:t>
                  </w:r>
                  <w:r>
                    <w:rPr>
                      <w:rFonts w:hint="eastAsia" w:ascii="Times New Roman" w:hAnsi="Times New Roman" w:eastAsia="宋体" w:cs="Times New Roman"/>
                      <w:bCs/>
                      <w:color w:val="auto"/>
                      <w:kern w:val="2"/>
                      <w:sz w:val="21"/>
                      <w:szCs w:val="21"/>
                      <w:highlight w:val="none"/>
                      <w:lang w:val="en-US" w:eastAsia="zh-CN" w:bidi="ar-SA"/>
                    </w:rPr>
                    <w:t>粪池处理后</w:t>
                  </w:r>
                  <w:r>
                    <w:rPr>
                      <w:rFonts w:hint="default" w:ascii="Times New Roman" w:hAnsi="Times New Roman" w:eastAsia="宋体" w:cs="Times New Roman"/>
                      <w:bCs/>
                      <w:color w:val="auto"/>
                      <w:kern w:val="2"/>
                      <w:sz w:val="21"/>
                      <w:szCs w:val="21"/>
                      <w:highlight w:val="none"/>
                      <w:lang w:val="en-US" w:eastAsia="zh-CN" w:bidi="ar-SA"/>
                    </w:rPr>
                    <w:t>排入市政污水管网，最终进入泾河新城第二污水处理厂</w:t>
                  </w:r>
                  <w:r>
                    <w:rPr>
                      <w:rFonts w:hint="eastAsia"/>
                      <w:color w:val="auto"/>
                      <w:highlight w:val="none"/>
                      <w:lang w:val="en-US" w:eastAsia="zh-CN"/>
                    </w:rPr>
                    <w:t>进一步</w:t>
                  </w:r>
                  <w:r>
                    <w:rPr>
                      <w:rFonts w:hint="default" w:ascii="Times New Roman" w:hAnsi="Times New Roman" w:eastAsia="宋体" w:cs="Times New Roman"/>
                      <w:bCs/>
                      <w:color w:val="auto"/>
                      <w:kern w:val="2"/>
                      <w:sz w:val="21"/>
                      <w:szCs w:val="21"/>
                      <w:highlight w:val="none"/>
                      <w:lang w:val="en-US" w:eastAsia="zh-CN" w:bidi="ar-SA"/>
                    </w:rPr>
                    <w:t>处理</w:t>
                  </w:r>
                  <w:r>
                    <w:rPr>
                      <w:rFonts w:hint="eastAsia" w:ascii="Times New Roman" w:hAnsi="Times New Roman" w:eastAsia="宋体" w:cs="Times New Roman"/>
                      <w:bCs/>
                      <w:color w:val="auto"/>
                      <w:kern w:val="2"/>
                      <w:sz w:val="21"/>
                      <w:szCs w:val="21"/>
                      <w:highlight w:val="none"/>
                      <w:lang w:val="en-US" w:eastAsia="zh-CN" w:bidi="ar-SA"/>
                    </w:rPr>
                    <w:t>。</w:t>
                  </w:r>
                  <w:r>
                    <w:rPr>
                      <w:rFonts w:hint="eastAsia"/>
                      <w:color w:val="auto"/>
                      <w:highlight w:val="none"/>
                      <w:lang w:val="en-US" w:eastAsia="zh-CN"/>
                    </w:rPr>
                    <w:t>化粪池容积约38m</w:t>
                  </w:r>
                  <w:r>
                    <w:rPr>
                      <w:rFonts w:hint="eastAsia"/>
                      <w:color w:val="auto"/>
                      <w:highlight w:val="none"/>
                      <w:vertAlign w:val="superscript"/>
                      <w:lang w:val="en-US" w:eastAsia="zh-CN"/>
                    </w:rPr>
                    <w:t>3</w:t>
                  </w:r>
                  <w:r>
                    <w:rPr>
                      <w:rFonts w:hint="eastAsia"/>
                      <w:color w:val="auto"/>
                      <w:highlight w:val="none"/>
                      <w:lang w:val="en-US" w:eastAsia="zh-CN"/>
                    </w:rPr>
                    <w:t>。</w:t>
                  </w:r>
                </w:p>
              </w:tc>
              <w:tc>
                <w:tcPr>
                  <w:tcW w:w="1087" w:type="dxa"/>
                  <w:tcBorders>
                    <w:tl2br w:val="nil"/>
                    <w:tr2bl w:val="nil"/>
                  </w:tcBorders>
                  <w:noWrap w:val="0"/>
                  <w:vAlign w:val="center"/>
                </w:tcPr>
                <w:p w14:paraId="682887E9">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依托</w:t>
                  </w:r>
                </w:p>
              </w:tc>
            </w:tr>
            <w:tr w14:paraId="260FC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C5EEA03">
                  <w:pPr>
                    <w:tabs>
                      <w:tab w:val="left" w:pos="1260"/>
                    </w:tabs>
                    <w:adjustRightInd w:val="0"/>
                    <w:snapToGrid w:val="0"/>
                    <w:jc w:val="center"/>
                    <w:rPr>
                      <w:rFonts w:hint="default" w:ascii="Times New Roman" w:hAnsi="Times New Roman" w:cs="Times New Roman"/>
                      <w:color w:val="auto"/>
                      <w:sz w:val="21"/>
                      <w:szCs w:val="21"/>
                      <w:highlight w:val="none"/>
                    </w:rPr>
                  </w:pPr>
                </w:p>
              </w:tc>
              <w:tc>
                <w:tcPr>
                  <w:tcW w:w="1313" w:type="dxa"/>
                  <w:gridSpan w:val="2"/>
                  <w:tcBorders>
                    <w:tl2br w:val="nil"/>
                    <w:tr2bl w:val="nil"/>
                  </w:tcBorders>
                  <w:noWrap w:val="0"/>
                  <w:vAlign w:val="center"/>
                </w:tcPr>
                <w:p w14:paraId="29EC2C21">
                  <w:pPr>
                    <w:tabs>
                      <w:tab w:val="left" w:pos="1260"/>
                    </w:tabs>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供电</w:t>
                  </w:r>
                </w:p>
              </w:tc>
              <w:tc>
                <w:tcPr>
                  <w:tcW w:w="5280" w:type="dxa"/>
                  <w:tcBorders>
                    <w:tl2br w:val="nil"/>
                    <w:tr2bl w:val="nil"/>
                  </w:tcBorders>
                  <w:noWrap w:val="0"/>
                  <w:vAlign w:val="center"/>
                </w:tcPr>
                <w:p w14:paraId="7EA82A46">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由市政供电管网供给。</w:t>
                  </w:r>
                </w:p>
              </w:tc>
              <w:tc>
                <w:tcPr>
                  <w:tcW w:w="1087" w:type="dxa"/>
                  <w:tcBorders>
                    <w:tl2br w:val="nil"/>
                    <w:tr2bl w:val="nil"/>
                  </w:tcBorders>
                  <w:noWrap w:val="0"/>
                  <w:vAlign w:val="center"/>
                </w:tcPr>
                <w:p w14:paraId="15E1742F">
                  <w:pPr>
                    <w:tabs>
                      <w:tab w:val="left" w:pos="1260"/>
                    </w:tabs>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依托</w:t>
                  </w:r>
                </w:p>
              </w:tc>
            </w:tr>
            <w:tr w14:paraId="6A325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836EB1F">
                  <w:pPr>
                    <w:tabs>
                      <w:tab w:val="left" w:pos="1260"/>
                    </w:tabs>
                    <w:adjustRightInd w:val="0"/>
                    <w:snapToGrid w:val="0"/>
                    <w:jc w:val="center"/>
                    <w:rPr>
                      <w:rFonts w:hint="default" w:ascii="Times New Roman" w:hAnsi="Times New Roman" w:cs="Times New Roman"/>
                      <w:color w:val="auto"/>
                      <w:sz w:val="21"/>
                      <w:szCs w:val="21"/>
                      <w:highlight w:val="none"/>
                    </w:rPr>
                  </w:pPr>
                </w:p>
              </w:tc>
              <w:tc>
                <w:tcPr>
                  <w:tcW w:w="1313" w:type="dxa"/>
                  <w:gridSpan w:val="2"/>
                  <w:tcBorders>
                    <w:tl2br w:val="nil"/>
                    <w:tr2bl w:val="nil"/>
                  </w:tcBorders>
                  <w:noWrap w:val="0"/>
                  <w:vAlign w:val="center"/>
                </w:tcPr>
                <w:p w14:paraId="2747C72C">
                  <w:pPr>
                    <w:pStyle w:val="15"/>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采暖与</w:t>
                  </w:r>
                  <w:r>
                    <w:rPr>
                      <w:rFonts w:hint="default" w:ascii="Times New Roman" w:hAnsi="Times New Roman" w:cs="Times New Roman"/>
                      <w:bCs/>
                      <w:color w:val="auto"/>
                      <w:sz w:val="21"/>
                      <w:szCs w:val="21"/>
                      <w:highlight w:val="none"/>
                    </w:rPr>
                    <w:t>制冷</w:t>
                  </w:r>
                </w:p>
              </w:tc>
              <w:tc>
                <w:tcPr>
                  <w:tcW w:w="5280" w:type="dxa"/>
                  <w:tcBorders>
                    <w:tl2br w:val="nil"/>
                    <w:tr2bl w:val="nil"/>
                  </w:tcBorders>
                  <w:noWrap w:val="0"/>
                  <w:vAlign w:val="center"/>
                </w:tcPr>
                <w:p w14:paraId="5276B355">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本项目生产车间不采暖，办公</w:t>
                  </w:r>
                  <w:r>
                    <w:rPr>
                      <w:rFonts w:hint="eastAsia" w:ascii="Times New Roman" w:hAnsi="Times New Roman" w:eastAsia="宋体" w:cs="Times New Roman"/>
                      <w:bCs/>
                      <w:color w:val="auto"/>
                      <w:kern w:val="2"/>
                      <w:sz w:val="21"/>
                      <w:szCs w:val="21"/>
                      <w:highlight w:val="none"/>
                      <w:lang w:val="en-US" w:eastAsia="zh-CN" w:bidi="ar-SA"/>
                    </w:rPr>
                    <w:t>室</w:t>
                  </w:r>
                  <w:r>
                    <w:rPr>
                      <w:rFonts w:hint="default" w:ascii="Times New Roman" w:hAnsi="Times New Roman" w:eastAsia="宋体" w:cs="Times New Roman"/>
                      <w:bCs/>
                      <w:color w:val="auto"/>
                      <w:kern w:val="2"/>
                      <w:sz w:val="21"/>
                      <w:szCs w:val="21"/>
                      <w:highlight w:val="none"/>
                      <w:lang w:val="en-US" w:eastAsia="zh-CN" w:bidi="ar-SA"/>
                    </w:rPr>
                    <w:t>供热制冷均采用分体空调。</w:t>
                  </w:r>
                </w:p>
              </w:tc>
              <w:tc>
                <w:tcPr>
                  <w:tcW w:w="1087" w:type="dxa"/>
                  <w:tcBorders>
                    <w:tl2br w:val="nil"/>
                    <w:tr2bl w:val="nil"/>
                  </w:tcBorders>
                  <w:noWrap w:val="0"/>
                  <w:vAlign w:val="center"/>
                </w:tcPr>
                <w:p w14:paraId="600EA2D6">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Cs/>
                      <w:color w:val="auto"/>
                      <w:szCs w:val="21"/>
                      <w:highlight w:val="none"/>
                      <w:lang w:val="en-US" w:eastAsia="zh-CN"/>
                    </w:rPr>
                    <w:t>新建</w:t>
                  </w:r>
                </w:p>
              </w:tc>
            </w:tr>
            <w:tr w14:paraId="1841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restart"/>
                  <w:tcBorders>
                    <w:tl2br w:val="nil"/>
                    <w:tr2bl w:val="nil"/>
                  </w:tcBorders>
                  <w:noWrap w:val="0"/>
                  <w:vAlign w:val="center"/>
                </w:tcPr>
                <w:p w14:paraId="67189757">
                  <w:pPr>
                    <w:tabs>
                      <w:tab w:val="left" w:pos="1260"/>
                    </w:tabs>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环保工程</w:t>
                  </w:r>
                </w:p>
              </w:tc>
              <w:tc>
                <w:tcPr>
                  <w:tcW w:w="453" w:type="dxa"/>
                  <w:vMerge w:val="restart"/>
                  <w:tcBorders>
                    <w:tl2br w:val="nil"/>
                    <w:tr2bl w:val="nil"/>
                  </w:tcBorders>
                  <w:noWrap w:val="0"/>
                  <w:vAlign w:val="center"/>
                </w:tcPr>
                <w:p w14:paraId="52DF62FB">
                  <w:pPr>
                    <w:tabs>
                      <w:tab w:val="left" w:pos="1260"/>
                    </w:tabs>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废气</w:t>
                  </w:r>
                </w:p>
              </w:tc>
              <w:tc>
                <w:tcPr>
                  <w:tcW w:w="860" w:type="dxa"/>
                  <w:tcBorders>
                    <w:tl2br w:val="nil"/>
                    <w:tr2bl w:val="nil"/>
                  </w:tcBorders>
                  <w:noWrap w:val="0"/>
                  <w:vAlign w:val="center"/>
                </w:tcPr>
                <w:p w14:paraId="04BEBB89">
                  <w:pPr>
                    <w:tabs>
                      <w:tab w:val="left" w:pos="1260"/>
                    </w:tabs>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有组织</w:t>
                  </w:r>
                </w:p>
              </w:tc>
              <w:tc>
                <w:tcPr>
                  <w:tcW w:w="5280" w:type="dxa"/>
                  <w:tcBorders>
                    <w:tl2br w:val="nil"/>
                    <w:tr2bl w:val="nil"/>
                  </w:tcBorders>
                  <w:noWrap w:val="0"/>
                  <w:vAlign w:val="center"/>
                </w:tcPr>
                <w:p w14:paraId="351397B6">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上料和打包工序粉尘经2个集气罩收集</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破碎</w:t>
                  </w:r>
                  <w:r>
                    <w:rPr>
                      <w:rFonts w:hint="eastAsia" w:ascii="Times New Roman" w:hAnsi="Times New Roman" w:cs="Times New Roman"/>
                      <w:b w:val="0"/>
                      <w:bCs w:val="0"/>
                      <w:color w:val="auto"/>
                      <w:sz w:val="21"/>
                      <w:szCs w:val="21"/>
                      <w:highlight w:val="none"/>
                      <w:lang w:val="en-US" w:eastAsia="zh-CN"/>
                    </w:rPr>
                    <w:t>工序</w:t>
                  </w:r>
                  <w:r>
                    <w:rPr>
                      <w:rFonts w:hint="eastAsia" w:ascii="Times New Roman" w:hAnsi="Times New Roman" w:eastAsia="宋体" w:cs="Times New Roman"/>
                      <w:b w:val="0"/>
                      <w:bCs w:val="0"/>
                      <w:color w:val="auto"/>
                      <w:sz w:val="21"/>
                      <w:szCs w:val="21"/>
                      <w:highlight w:val="none"/>
                      <w:lang w:val="en-US" w:eastAsia="zh-CN"/>
                    </w:rPr>
                    <w:t>粉尘经管道收集</w:t>
                  </w:r>
                  <w:r>
                    <w:rPr>
                      <w:rFonts w:hint="eastAsia" w:ascii="Times New Roman" w:hAnsi="Times New Roman" w:cs="Times New Roman"/>
                      <w:b w:val="0"/>
                      <w:bCs w:val="0"/>
                      <w:color w:val="auto"/>
                      <w:sz w:val="21"/>
                      <w:szCs w:val="21"/>
                      <w:highlight w:val="none"/>
                      <w:lang w:val="en-US" w:eastAsia="zh-CN"/>
                    </w:rPr>
                    <w:t>后</w:t>
                  </w:r>
                  <w:r>
                    <w:rPr>
                      <w:rFonts w:hint="eastAsia" w:ascii="Times New Roman" w:hAnsi="Times New Roman" w:eastAsia="宋体" w:cs="Times New Roman"/>
                      <w:b w:val="0"/>
                      <w:bCs w:val="0"/>
                      <w:color w:val="auto"/>
                      <w:sz w:val="21"/>
                      <w:szCs w:val="21"/>
                      <w:highlight w:val="none"/>
                      <w:lang w:val="en-US" w:eastAsia="zh-CN"/>
                    </w:rPr>
                    <w:t>，最终汇入一根主管道，经布袋除尘器处理后通过</w:t>
                  </w:r>
                  <w:r>
                    <w:rPr>
                      <w:rFonts w:hint="default" w:ascii="Times New Roman" w:hAnsi="Times New Roman" w:eastAsia="宋体" w:cs="Times New Roman"/>
                      <w:b w:val="0"/>
                      <w:bCs w:val="0"/>
                      <w:color w:val="auto"/>
                      <w:sz w:val="21"/>
                      <w:szCs w:val="21"/>
                      <w:highlight w:val="none"/>
                      <w:lang w:val="en-US" w:eastAsia="zh-CN"/>
                    </w:rPr>
                    <w:t>1</w:t>
                  </w:r>
                  <w:r>
                    <w:rPr>
                      <w:rFonts w:hint="eastAsia" w:ascii="Times New Roman" w:hAnsi="Times New Roman" w:eastAsia="宋体" w:cs="Times New Roman"/>
                      <w:b w:val="0"/>
                      <w:bCs w:val="0"/>
                      <w:color w:val="auto"/>
                      <w:sz w:val="21"/>
                      <w:szCs w:val="21"/>
                      <w:highlight w:val="none"/>
                      <w:lang w:val="en-US" w:eastAsia="zh-CN"/>
                    </w:rPr>
                    <w:t>根</w:t>
                  </w:r>
                  <w:r>
                    <w:rPr>
                      <w:rFonts w:hint="eastAsia" w:ascii="Times New Roman" w:hAnsi="Times New Roman" w:cs="Times New Roman"/>
                      <w:b w:val="0"/>
                      <w:bCs w:val="0"/>
                      <w:color w:val="auto"/>
                      <w:sz w:val="21"/>
                      <w:szCs w:val="21"/>
                      <w:highlight w:val="none"/>
                      <w:lang w:val="en-US" w:eastAsia="zh-CN"/>
                    </w:rPr>
                    <w:t>18</w:t>
                  </w:r>
                  <w:r>
                    <w:rPr>
                      <w:rFonts w:hint="default" w:ascii="Times New Roman" w:hAnsi="Times New Roman" w:eastAsia="宋体" w:cs="Times New Roman"/>
                      <w:b w:val="0"/>
                      <w:bCs w:val="0"/>
                      <w:color w:val="auto"/>
                      <w:sz w:val="21"/>
                      <w:szCs w:val="21"/>
                      <w:highlight w:val="none"/>
                      <w:lang w:val="en-US" w:eastAsia="zh-CN"/>
                    </w:rPr>
                    <w:t>m</w:t>
                  </w:r>
                  <w:r>
                    <w:rPr>
                      <w:rFonts w:hint="eastAsia" w:ascii="Times New Roman" w:hAnsi="Times New Roman" w:eastAsia="宋体" w:cs="Times New Roman"/>
                      <w:b w:val="0"/>
                      <w:bCs w:val="0"/>
                      <w:color w:val="auto"/>
                      <w:sz w:val="21"/>
                      <w:szCs w:val="21"/>
                      <w:highlight w:val="none"/>
                      <w:lang w:val="en-US" w:eastAsia="zh-CN"/>
                    </w:rPr>
                    <w:t>高排气筒排放。</w:t>
                  </w:r>
                </w:p>
              </w:tc>
              <w:tc>
                <w:tcPr>
                  <w:tcW w:w="1087" w:type="dxa"/>
                  <w:tcBorders>
                    <w:tl2br w:val="nil"/>
                    <w:tr2bl w:val="nil"/>
                  </w:tcBorders>
                  <w:noWrap w:val="0"/>
                  <w:vAlign w:val="center"/>
                </w:tcPr>
                <w:p w14:paraId="34996148">
                  <w:pPr>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新建</w:t>
                  </w:r>
                </w:p>
              </w:tc>
            </w:tr>
            <w:tr w14:paraId="5C7B4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432D211C">
                  <w:pPr>
                    <w:tabs>
                      <w:tab w:val="left" w:pos="1260"/>
                    </w:tabs>
                    <w:adjustRightInd w:val="0"/>
                    <w:snapToGrid w:val="0"/>
                    <w:jc w:val="center"/>
                    <w:rPr>
                      <w:rFonts w:hint="default" w:ascii="Times New Roman" w:hAnsi="Times New Roman" w:cs="Times New Roman"/>
                      <w:color w:val="auto"/>
                      <w:sz w:val="21"/>
                      <w:szCs w:val="21"/>
                      <w:highlight w:val="none"/>
                      <w:lang w:val="en-US" w:eastAsia="zh-CN"/>
                    </w:rPr>
                  </w:pPr>
                </w:p>
              </w:tc>
              <w:tc>
                <w:tcPr>
                  <w:tcW w:w="453" w:type="dxa"/>
                  <w:vMerge w:val="continue"/>
                  <w:tcBorders>
                    <w:tl2br w:val="nil"/>
                    <w:tr2bl w:val="nil"/>
                  </w:tcBorders>
                  <w:noWrap w:val="0"/>
                  <w:vAlign w:val="center"/>
                </w:tcPr>
                <w:p w14:paraId="08491F18">
                  <w:pPr>
                    <w:tabs>
                      <w:tab w:val="left" w:pos="1260"/>
                    </w:tabs>
                    <w:adjustRightInd w:val="0"/>
                    <w:snapToGrid w:val="0"/>
                    <w:jc w:val="center"/>
                    <w:rPr>
                      <w:rFonts w:hint="default" w:ascii="Times New Roman" w:hAnsi="Times New Roman" w:cs="Times New Roman"/>
                      <w:color w:val="auto"/>
                      <w:sz w:val="21"/>
                      <w:szCs w:val="21"/>
                      <w:highlight w:val="none"/>
                      <w:lang w:eastAsia="zh-CN"/>
                    </w:rPr>
                  </w:pPr>
                </w:p>
              </w:tc>
              <w:tc>
                <w:tcPr>
                  <w:tcW w:w="860" w:type="dxa"/>
                  <w:tcBorders>
                    <w:tl2br w:val="nil"/>
                    <w:tr2bl w:val="nil"/>
                  </w:tcBorders>
                  <w:noWrap w:val="0"/>
                  <w:vAlign w:val="center"/>
                </w:tcPr>
                <w:p w14:paraId="63AAB32D">
                  <w:pPr>
                    <w:tabs>
                      <w:tab w:val="left" w:pos="1260"/>
                    </w:tabs>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无组织</w:t>
                  </w:r>
                </w:p>
              </w:tc>
              <w:tc>
                <w:tcPr>
                  <w:tcW w:w="5280" w:type="dxa"/>
                  <w:tcBorders>
                    <w:tl2br w:val="nil"/>
                    <w:tr2bl w:val="nil"/>
                  </w:tcBorders>
                  <w:noWrap w:val="0"/>
                  <w:vAlign w:val="center"/>
                </w:tcPr>
                <w:p w14:paraId="324CB201">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原料</w:t>
                  </w:r>
                  <w:r>
                    <w:rPr>
                      <w:rFonts w:hint="default" w:ascii="Times New Roman" w:hAnsi="Times New Roman" w:eastAsia="宋体" w:cs="Times New Roman"/>
                      <w:bCs/>
                      <w:color w:val="auto"/>
                      <w:kern w:val="2"/>
                      <w:sz w:val="21"/>
                      <w:szCs w:val="21"/>
                      <w:highlight w:val="none"/>
                      <w:lang w:val="en-US" w:eastAsia="zh-CN" w:bidi="ar-SA"/>
                    </w:rPr>
                    <w:t>、生产设施位于封闭车间，</w:t>
                  </w:r>
                  <w:r>
                    <w:rPr>
                      <w:rFonts w:hint="eastAsia" w:ascii="Times New Roman" w:hAnsi="Times New Roman" w:eastAsia="宋体" w:cs="Times New Roman"/>
                      <w:bCs/>
                      <w:color w:val="auto"/>
                      <w:kern w:val="2"/>
                      <w:sz w:val="21"/>
                      <w:szCs w:val="21"/>
                      <w:highlight w:val="none"/>
                      <w:lang w:val="en-US" w:eastAsia="zh-CN" w:bidi="ar-SA"/>
                    </w:rPr>
                    <w:t>原料</w:t>
                  </w:r>
                  <w:r>
                    <w:rPr>
                      <w:rFonts w:hint="default" w:ascii="Times New Roman" w:hAnsi="Times New Roman" w:eastAsia="宋体" w:cs="Times New Roman"/>
                      <w:bCs/>
                      <w:color w:val="auto"/>
                      <w:kern w:val="2"/>
                      <w:sz w:val="21"/>
                      <w:szCs w:val="21"/>
                      <w:highlight w:val="none"/>
                      <w:lang w:val="en-US" w:eastAsia="zh-CN" w:bidi="ar-SA"/>
                    </w:rPr>
                    <w:t>输送系统封闭</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498EEA63">
                  <w:pPr>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新建</w:t>
                  </w:r>
                </w:p>
              </w:tc>
            </w:tr>
            <w:tr w14:paraId="24CB7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2CF4F535">
                  <w:pPr>
                    <w:tabs>
                      <w:tab w:val="left" w:pos="1260"/>
                    </w:tabs>
                    <w:adjustRightInd w:val="0"/>
                    <w:snapToGrid w:val="0"/>
                    <w:jc w:val="center"/>
                    <w:rPr>
                      <w:rFonts w:hint="default" w:ascii="Times New Roman" w:hAnsi="Times New Roman" w:cs="Times New Roman"/>
                      <w:color w:val="auto"/>
                      <w:sz w:val="21"/>
                      <w:szCs w:val="21"/>
                      <w:highlight w:val="none"/>
                      <w:lang w:val="en-US" w:eastAsia="zh-CN"/>
                    </w:rPr>
                  </w:pPr>
                </w:p>
              </w:tc>
              <w:tc>
                <w:tcPr>
                  <w:tcW w:w="1313" w:type="dxa"/>
                  <w:gridSpan w:val="2"/>
                  <w:tcBorders>
                    <w:tl2br w:val="nil"/>
                    <w:tr2bl w:val="nil"/>
                  </w:tcBorders>
                  <w:noWrap w:val="0"/>
                  <w:vAlign w:val="center"/>
                </w:tcPr>
                <w:p w14:paraId="2058333A">
                  <w:pPr>
                    <w:tabs>
                      <w:tab w:val="left" w:pos="1260"/>
                    </w:tabs>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废水</w:t>
                  </w:r>
                </w:p>
              </w:tc>
              <w:tc>
                <w:tcPr>
                  <w:tcW w:w="5280" w:type="dxa"/>
                  <w:tcBorders>
                    <w:tl2br w:val="nil"/>
                    <w:tr2bl w:val="nil"/>
                  </w:tcBorders>
                  <w:noWrap w:val="0"/>
                  <w:vAlign w:val="center"/>
                </w:tcPr>
                <w:p w14:paraId="6A1196D3">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本项目无生产废水</w:t>
                  </w:r>
                  <w:r>
                    <w:rPr>
                      <w:rFonts w:hint="eastAsia" w:ascii="Times New Roman" w:hAnsi="Times New Roman" w:eastAsia="宋体" w:cs="Times New Roman"/>
                      <w:bCs/>
                      <w:color w:val="auto"/>
                      <w:kern w:val="2"/>
                      <w:sz w:val="21"/>
                      <w:szCs w:val="21"/>
                      <w:highlight w:val="none"/>
                      <w:lang w:val="en-US" w:eastAsia="zh-CN" w:bidi="ar-SA"/>
                    </w:rPr>
                    <w:t>；</w:t>
                  </w:r>
                  <w:r>
                    <w:rPr>
                      <w:rFonts w:hint="default" w:ascii="Times New Roman" w:hAnsi="Times New Roman" w:eastAsia="宋体" w:cs="Times New Roman"/>
                      <w:bCs/>
                      <w:color w:val="auto"/>
                      <w:kern w:val="2"/>
                      <w:sz w:val="21"/>
                      <w:szCs w:val="21"/>
                      <w:highlight w:val="none"/>
                      <w:lang w:val="en-US" w:eastAsia="zh-CN" w:bidi="ar-SA"/>
                    </w:rPr>
                    <w:t>生活污水经</w:t>
                  </w:r>
                  <w:r>
                    <w:rPr>
                      <w:rFonts w:hint="eastAsia" w:ascii="Times New Roman" w:hAnsi="Times New Roman" w:eastAsia="宋体" w:cs="Times New Roman"/>
                      <w:bCs/>
                      <w:color w:val="auto"/>
                      <w:kern w:val="2"/>
                      <w:sz w:val="21"/>
                      <w:szCs w:val="21"/>
                      <w:highlight w:val="none"/>
                      <w:lang w:val="en-US" w:eastAsia="zh-CN" w:bidi="ar-SA"/>
                    </w:rPr>
                    <w:t>陕西国坤时代科技有限公司化粪池处理后</w:t>
                  </w:r>
                  <w:r>
                    <w:rPr>
                      <w:rFonts w:hint="default" w:ascii="Times New Roman" w:hAnsi="Times New Roman" w:eastAsia="宋体" w:cs="Times New Roman"/>
                      <w:bCs/>
                      <w:color w:val="auto"/>
                      <w:kern w:val="2"/>
                      <w:sz w:val="21"/>
                      <w:szCs w:val="21"/>
                      <w:highlight w:val="none"/>
                      <w:lang w:val="en-US" w:eastAsia="zh-CN" w:bidi="ar-SA"/>
                    </w:rPr>
                    <w:t>排入市政污水管网，最终进入泾河新城第二污水处理厂</w:t>
                  </w:r>
                  <w:r>
                    <w:rPr>
                      <w:rFonts w:hint="eastAsia"/>
                      <w:color w:val="auto"/>
                      <w:highlight w:val="none"/>
                      <w:lang w:val="en-US" w:eastAsia="zh-CN"/>
                    </w:rPr>
                    <w:t>进一步</w:t>
                  </w:r>
                  <w:r>
                    <w:rPr>
                      <w:rFonts w:hint="default" w:ascii="Times New Roman" w:hAnsi="Times New Roman" w:eastAsia="宋体" w:cs="Times New Roman"/>
                      <w:bCs/>
                      <w:color w:val="auto"/>
                      <w:kern w:val="2"/>
                      <w:sz w:val="21"/>
                      <w:szCs w:val="21"/>
                      <w:highlight w:val="none"/>
                      <w:lang w:val="en-US" w:eastAsia="zh-CN" w:bidi="ar-SA"/>
                    </w:rPr>
                    <w:t>处理。</w:t>
                  </w:r>
                </w:p>
              </w:tc>
              <w:tc>
                <w:tcPr>
                  <w:tcW w:w="1087" w:type="dxa"/>
                  <w:tcBorders>
                    <w:tl2br w:val="nil"/>
                    <w:tr2bl w:val="nil"/>
                  </w:tcBorders>
                  <w:noWrap w:val="0"/>
                  <w:vAlign w:val="center"/>
                </w:tcPr>
                <w:p w14:paraId="1922E0DB">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依托</w:t>
                  </w:r>
                </w:p>
              </w:tc>
            </w:tr>
            <w:tr w14:paraId="7FEB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448C444">
                  <w:pPr>
                    <w:tabs>
                      <w:tab w:val="left" w:pos="1260"/>
                    </w:tabs>
                    <w:adjustRightInd w:val="0"/>
                    <w:snapToGrid w:val="0"/>
                    <w:jc w:val="center"/>
                    <w:rPr>
                      <w:rFonts w:hint="default" w:ascii="Times New Roman" w:hAnsi="Times New Roman" w:cs="Times New Roman"/>
                      <w:color w:val="auto"/>
                      <w:sz w:val="21"/>
                      <w:szCs w:val="21"/>
                      <w:highlight w:val="none"/>
                    </w:rPr>
                  </w:pPr>
                </w:p>
              </w:tc>
              <w:tc>
                <w:tcPr>
                  <w:tcW w:w="1313" w:type="dxa"/>
                  <w:gridSpan w:val="2"/>
                  <w:tcBorders>
                    <w:tl2br w:val="nil"/>
                    <w:tr2bl w:val="nil"/>
                  </w:tcBorders>
                  <w:noWrap w:val="0"/>
                  <w:vAlign w:val="center"/>
                </w:tcPr>
                <w:p w14:paraId="3C5AFFCD">
                  <w:pPr>
                    <w:tabs>
                      <w:tab w:val="left" w:pos="1260"/>
                    </w:tabs>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噪声</w:t>
                  </w:r>
                </w:p>
              </w:tc>
              <w:tc>
                <w:tcPr>
                  <w:tcW w:w="5280" w:type="dxa"/>
                  <w:tcBorders>
                    <w:tl2br w:val="nil"/>
                    <w:tr2bl w:val="nil"/>
                  </w:tcBorders>
                  <w:noWrap w:val="0"/>
                  <w:vAlign w:val="center"/>
                </w:tcPr>
                <w:p w14:paraId="454649FD">
                  <w:pPr>
                    <w:keepNext w:val="0"/>
                    <w:keepLines w:val="0"/>
                    <w:pageBreakBefore w:val="0"/>
                    <w:widowControl w:val="0"/>
                    <w:tabs>
                      <w:tab w:val="left" w:pos="1260"/>
                    </w:tabs>
                    <w:kinsoku/>
                    <w:wordWrap/>
                    <w:overflowPunct/>
                    <w:topLinePunct w:val="0"/>
                    <w:autoSpaceDE/>
                    <w:autoSpaceDN/>
                    <w:bidi w:val="0"/>
                    <w:adjustRightInd w:val="0"/>
                    <w:snapToGrid w:val="0"/>
                    <w:jc w:val="both"/>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选用低噪声设备、基础减振、厂房隔声、</w:t>
                  </w:r>
                  <w:r>
                    <w:rPr>
                      <w:rFonts w:hint="eastAsia" w:cs="Times New Roman"/>
                      <w:bCs/>
                      <w:color w:val="auto"/>
                      <w:kern w:val="2"/>
                      <w:sz w:val="21"/>
                      <w:szCs w:val="21"/>
                      <w:highlight w:val="none"/>
                      <w:lang w:val="en-US" w:eastAsia="zh-CN" w:bidi="ar-SA"/>
                    </w:rPr>
                    <w:t>距离衰减</w:t>
                  </w:r>
                  <w:r>
                    <w:rPr>
                      <w:rFonts w:hint="default" w:ascii="Times New Roman" w:hAnsi="Times New Roman" w:eastAsia="宋体" w:cs="Times New Roman"/>
                      <w:bCs/>
                      <w:color w:val="auto"/>
                      <w:kern w:val="2"/>
                      <w:sz w:val="21"/>
                      <w:szCs w:val="21"/>
                      <w:highlight w:val="none"/>
                      <w:lang w:val="en-US" w:eastAsia="zh-CN" w:bidi="ar-SA"/>
                    </w:rPr>
                    <w:t>等措施</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1B2165C2">
                  <w:pPr>
                    <w:tabs>
                      <w:tab w:val="left" w:pos="1260"/>
                    </w:tabs>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Cs/>
                      <w:color w:val="auto"/>
                      <w:szCs w:val="21"/>
                      <w:highlight w:val="none"/>
                      <w:lang w:val="en-US" w:eastAsia="zh-CN"/>
                    </w:rPr>
                    <w:t>新建</w:t>
                  </w:r>
                </w:p>
              </w:tc>
            </w:tr>
            <w:tr w14:paraId="1447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02" w:type="dxa"/>
                  <w:vMerge w:val="continue"/>
                  <w:tcBorders>
                    <w:tl2br w:val="nil"/>
                    <w:tr2bl w:val="nil"/>
                  </w:tcBorders>
                  <w:noWrap w:val="0"/>
                  <w:vAlign w:val="center"/>
                </w:tcPr>
                <w:p w14:paraId="0FFC8FAC">
                  <w:pPr>
                    <w:tabs>
                      <w:tab w:val="left" w:pos="1260"/>
                    </w:tabs>
                    <w:adjustRightInd w:val="0"/>
                    <w:snapToGrid w:val="0"/>
                    <w:jc w:val="center"/>
                    <w:rPr>
                      <w:rFonts w:hint="default" w:ascii="Times New Roman" w:hAnsi="Times New Roman" w:cs="Times New Roman"/>
                      <w:color w:val="auto"/>
                      <w:sz w:val="21"/>
                      <w:szCs w:val="21"/>
                      <w:highlight w:val="none"/>
                    </w:rPr>
                  </w:pPr>
                </w:p>
              </w:tc>
              <w:tc>
                <w:tcPr>
                  <w:tcW w:w="453" w:type="dxa"/>
                  <w:vMerge w:val="restart"/>
                  <w:tcBorders>
                    <w:tl2br w:val="nil"/>
                    <w:tr2bl w:val="nil"/>
                  </w:tcBorders>
                  <w:noWrap w:val="0"/>
                  <w:vAlign w:val="center"/>
                </w:tcPr>
                <w:p w14:paraId="605A46C1">
                  <w:pPr>
                    <w:tabs>
                      <w:tab w:val="left" w:pos="1260"/>
                    </w:tabs>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固废</w:t>
                  </w:r>
                </w:p>
              </w:tc>
              <w:tc>
                <w:tcPr>
                  <w:tcW w:w="860" w:type="dxa"/>
                  <w:tcBorders>
                    <w:tl2br w:val="nil"/>
                    <w:tr2bl w:val="nil"/>
                  </w:tcBorders>
                  <w:noWrap w:val="0"/>
                  <w:vAlign w:val="center"/>
                </w:tcPr>
                <w:p w14:paraId="21117C69">
                  <w:pPr>
                    <w:tabs>
                      <w:tab w:val="left" w:pos="1260"/>
                    </w:tabs>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w:t>
                  </w:r>
                </w:p>
                <w:p w14:paraId="2531A41A">
                  <w:pPr>
                    <w:tabs>
                      <w:tab w:val="left" w:pos="1260"/>
                    </w:tabs>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垃圾</w:t>
                  </w:r>
                </w:p>
              </w:tc>
              <w:tc>
                <w:tcPr>
                  <w:tcW w:w="5280" w:type="dxa"/>
                  <w:tcBorders>
                    <w:tl2br w:val="nil"/>
                    <w:tr2bl w:val="nil"/>
                  </w:tcBorders>
                  <w:noWrap w:val="0"/>
                  <w:vAlign w:val="center"/>
                </w:tcPr>
                <w:p w14:paraId="1692F4F1">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生活垃圾统一收集，由环卫部门统一清运</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5E2ADC20">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Cs/>
                      <w:color w:val="auto"/>
                      <w:szCs w:val="21"/>
                      <w:highlight w:val="none"/>
                      <w:lang w:val="en-US" w:eastAsia="zh-CN"/>
                    </w:rPr>
                    <w:t>新建</w:t>
                  </w:r>
                </w:p>
              </w:tc>
            </w:tr>
            <w:tr w14:paraId="2CFB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1F0CA1FA">
                  <w:pPr>
                    <w:tabs>
                      <w:tab w:val="left" w:pos="1260"/>
                    </w:tabs>
                    <w:adjustRightInd w:val="0"/>
                    <w:snapToGrid w:val="0"/>
                    <w:jc w:val="center"/>
                    <w:rPr>
                      <w:rFonts w:hint="default" w:ascii="Times New Roman" w:hAnsi="Times New Roman" w:cs="Times New Roman"/>
                      <w:color w:val="auto"/>
                      <w:sz w:val="21"/>
                      <w:szCs w:val="21"/>
                      <w:highlight w:val="none"/>
                    </w:rPr>
                  </w:pPr>
                </w:p>
              </w:tc>
              <w:tc>
                <w:tcPr>
                  <w:tcW w:w="453" w:type="dxa"/>
                  <w:vMerge w:val="continue"/>
                  <w:tcBorders>
                    <w:tl2br w:val="nil"/>
                    <w:tr2bl w:val="nil"/>
                  </w:tcBorders>
                  <w:noWrap w:val="0"/>
                  <w:vAlign w:val="center"/>
                </w:tcPr>
                <w:p w14:paraId="0EC9A446">
                  <w:pPr>
                    <w:tabs>
                      <w:tab w:val="left" w:pos="1260"/>
                    </w:tabs>
                    <w:adjustRightInd w:val="0"/>
                    <w:snapToGrid w:val="0"/>
                    <w:jc w:val="center"/>
                    <w:rPr>
                      <w:rFonts w:hint="default" w:ascii="Times New Roman" w:hAnsi="Times New Roman" w:cs="Times New Roman"/>
                      <w:color w:val="auto"/>
                      <w:sz w:val="21"/>
                      <w:szCs w:val="21"/>
                      <w:highlight w:val="none"/>
                    </w:rPr>
                  </w:pPr>
                </w:p>
              </w:tc>
              <w:tc>
                <w:tcPr>
                  <w:tcW w:w="860" w:type="dxa"/>
                  <w:tcBorders>
                    <w:tl2br w:val="nil"/>
                    <w:tr2bl w:val="nil"/>
                  </w:tcBorders>
                  <w:noWrap w:val="0"/>
                  <w:vAlign w:val="center"/>
                </w:tcPr>
                <w:p w14:paraId="41DAC873">
                  <w:pPr>
                    <w:tabs>
                      <w:tab w:val="left" w:pos="1260"/>
                    </w:tabs>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一般</w:t>
                  </w:r>
                </w:p>
                <w:p w14:paraId="39347FB7">
                  <w:pPr>
                    <w:tabs>
                      <w:tab w:val="left" w:pos="1260"/>
                    </w:tabs>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固废</w:t>
                  </w:r>
                </w:p>
              </w:tc>
              <w:tc>
                <w:tcPr>
                  <w:tcW w:w="5280" w:type="dxa"/>
                  <w:tcBorders>
                    <w:tl2br w:val="nil"/>
                    <w:tr2bl w:val="nil"/>
                  </w:tcBorders>
                  <w:noWrap w:val="0"/>
                  <w:vAlign w:val="center"/>
                </w:tcPr>
                <w:p w14:paraId="1B4EB31C">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一般固废暂存间</w:t>
                  </w:r>
                  <w:r>
                    <w:rPr>
                      <w:rFonts w:hint="default" w:ascii="Times New Roman" w:hAnsi="Times New Roman" w:eastAsia="宋体" w:cs="Times New Roman"/>
                      <w:bCs/>
                      <w:color w:val="auto"/>
                      <w:kern w:val="2"/>
                      <w:sz w:val="21"/>
                      <w:szCs w:val="21"/>
                      <w:highlight w:val="none"/>
                      <w:lang w:val="en-US" w:eastAsia="zh-CN" w:bidi="ar-SA"/>
                    </w:rPr>
                    <w:t>：位于</w:t>
                  </w:r>
                  <w:r>
                    <w:rPr>
                      <w:rFonts w:hint="eastAsia" w:ascii="Times New Roman" w:hAnsi="Times New Roman" w:eastAsia="宋体" w:cs="Times New Roman"/>
                      <w:bCs/>
                      <w:color w:val="auto"/>
                      <w:kern w:val="2"/>
                      <w:sz w:val="21"/>
                      <w:szCs w:val="21"/>
                      <w:highlight w:val="none"/>
                      <w:lang w:val="en-US" w:eastAsia="zh-CN" w:bidi="ar-SA"/>
                    </w:rPr>
                    <w:t>车间西南侧</w:t>
                  </w:r>
                  <w:r>
                    <w:rPr>
                      <w:rFonts w:hint="default" w:ascii="Times New Roman" w:hAnsi="Times New Roman" w:eastAsia="宋体" w:cs="Times New Roman"/>
                      <w:bCs/>
                      <w:color w:val="auto"/>
                      <w:kern w:val="2"/>
                      <w:sz w:val="21"/>
                      <w:szCs w:val="21"/>
                      <w:highlight w:val="none"/>
                      <w:lang w:val="en-US" w:eastAsia="zh-CN" w:bidi="ar-SA"/>
                    </w:rPr>
                    <w:t>，</w:t>
                  </w:r>
                  <w:r>
                    <w:rPr>
                      <w:rFonts w:hint="eastAsia" w:ascii="Times New Roman" w:hAnsi="Times New Roman" w:eastAsia="宋体" w:cs="Times New Roman"/>
                      <w:bCs/>
                      <w:color w:val="auto"/>
                      <w:kern w:val="2"/>
                      <w:sz w:val="21"/>
                      <w:szCs w:val="21"/>
                      <w:highlight w:val="none"/>
                      <w:lang w:val="en-US" w:eastAsia="zh-CN" w:bidi="ar-SA"/>
                    </w:rPr>
                    <w:t>占地</w:t>
                  </w:r>
                  <w:r>
                    <w:rPr>
                      <w:rFonts w:hint="default" w:ascii="Times New Roman" w:hAnsi="Times New Roman" w:eastAsia="宋体" w:cs="Times New Roman"/>
                      <w:bCs/>
                      <w:color w:val="auto"/>
                      <w:kern w:val="2"/>
                      <w:sz w:val="21"/>
                      <w:szCs w:val="21"/>
                      <w:highlight w:val="none"/>
                      <w:lang w:val="en-US" w:eastAsia="zh-CN" w:bidi="ar-SA"/>
                    </w:rPr>
                    <w:t>面积</w:t>
                  </w:r>
                  <w:r>
                    <w:rPr>
                      <w:rFonts w:hint="eastAsia" w:ascii="Times New Roman" w:hAnsi="Times New Roman" w:eastAsia="宋体" w:cs="Times New Roman"/>
                      <w:bCs/>
                      <w:color w:val="auto"/>
                      <w:kern w:val="2"/>
                      <w:sz w:val="21"/>
                      <w:szCs w:val="21"/>
                      <w:highlight w:val="none"/>
                      <w:lang w:val="en-US" w:eastAsia="zh-CN" w:bidi="ar-SA"/>
                    </w:rPr>
                    <w:t>约</w:t>
                  </w:r>
                  <w:r>
                    <w:rPr>
                      <w:rFonts w:hint="default" w:ascii="Times New Roman" w:hAnsi="Times New Roman" w:eastAsia="宋体" w:cs="Times New Roman"/>
                      <w:bCs/>
                      <w:color w:val="auto"/>
                      <w:kern w:val="2"/>
                      <w:sz w:val="21"/>
                      <w:szCs w:val="21"/>
                      <w:highlight w:val="none"/>
                      <w:lang w:val="en-US" w:eastAsia="zh-CN" w:bidi="ar-SA"/>
                    </w:rPr>
                    <w:t>15m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。磁选工序</w:t>
                  </w:r>
                  <w:r>
                    <w:rPr>
                      <w:rFonts w:hint="default" w:ascii="Times New Roman" w:hAnsi="Times New Roman" w:eastAsia="宋体" w:cs="Times New Roman"/>
                      <w:bCs/>
                      <w:color w:val="auto"/>
                      <w:kern w:val="2"/>
                      <w:sz w:val="21"/>
                      <w:szCs w:val="21"/>
                      <w:highlight w:val="none"/>
                      <w:lang w:val="en-US" w:eastAsia="zh-CN" w:bidi="ar-SA"/>
                    </w:rPr>
                    <w:t>产生的废铁</w:t>
                  </w:r>
                  <w:r>
                    <w:rPr>
                      <w:rFonts w:hint="eastAsia" w:ascii="Times New Roman" w:hAnsi="Times New Roman" w:eastAsia="宋体" w:cs="Times New Roman"/>
                      <w:bCs/>
                      <w:color w:val="auto"/>
                      <w:kern w:val="2"/>
                      <w:sz w:val="21"/>
                      <w:szCs w:val="21"/>
                      <w:highlight w:val="none"/>
                      <w:lang w:val="en-US" w:eastAsia="zh-CN" w:bidi="ar-SA"/>
                    </w:rPr>
                    <w:t>等</w:t>
                  </w:r>
                  <w:r>
                    <w:rPr>
                      <w:rFonts w:hint="default" w:ascii="Times New Roman" w:hAnsi="Times New Roman" w:eastAsia="宋体" w:cs="Times New Roman"/>
                      <w:bCs/>
                      <w:color w:val="auto"/>
                      <w:kern w:val="2"/>
                      <w:sz w:val="21"/>
                      <w:szCs w:val="21"/>
                      <w:highlight w:val="none"/>
                      <w:lang w:val="en-US" w:eastAsia="zh-CN" w:bidi="ar-SA"/>
                    </w:rPr>
                    <w:t>金属</w:t>
                  </w:r>
                  <w:r>
                    <w:rPr>
                      <w:rFonts w:hint="eastAsia" w:ascii="Times New Roman" w:hAnsi="Times New Roman" w:eastAsia="宋体" w:cs="Times New Roman"/>
                      <w:bCs/>
                      <w:color w:val="auto"/>
                      <w:kern w:val="2"/>
                      <w:sz w:val="21"/>
                      <w:szCs w:val="21"/>
                      <w:highlight w:val="none"/>
                      <w:lang w:val="en-US" w:eastAsia="zh-CN" w:bidi="ar-SA"/>
                    </w:rPr>
                    <w:t>统一</w:t>
                  </w:r>
                  <w:r>
                    <w:rPr>
                      <w:rFonts w:hint="default" w:ascii="Times New Roman" w:hAnsi="Times New Roman" w:eastAsia="宋体" w:cs="Times New Roman"/>
                      <w:bCs/>
                      <w:color w:val="auto"/>
                      <w:kern w:val="2"/>
                      <w:sz w:val="21"/>
                      <w:szCs w:val="21"/>
                      <w:highlight w:val="none"/>
                      <w:lang w:val="en-US" w:eastAsia="zh-CN" w:bidi="ar-SA"/>
                    </w:rPr>
                    <w:t>收集后外售物资回收公司；除尘器收集粉尘</w:t>
                  </w:r>
                  <w:r>
                    <w:rPr>
                      <w:rFonts w:hint="eastAsia" w:ascii="Times New Roman" w:hAnsi="Times New Roman" w:eastAsia="宋体" w:cs="Times New Roman"/>
                      <w:bCs/>
                      <w:color w:val="auto"/>
                      <w:kern w:val="2"/>
                      <w:sz w:val="21"/>
                      <w:szCs w:val="21"/>
                      <w:highlight w:val="none"/>
                      <w:lang w:val="en-US" w:eastAsia="zh-CN" w:bidi="ar-SA"/>
                    </w:rPr>
                    <w:t>和</w:t>
                  </w:r>
                  <w:r>
                    <w:rPr>
                      <w:rFonts w:hint="default" w:ascii="Times New Roman" w:hAnsi="Times New Roman" w:eastAsia="宋体" w:cs="Times New Roman"/>
                      <w:bCs/>
                      <w:color w:val="auto"/>
                      <w:kern w:val="2"/>
                      <w:sz w:val="21"/>
                      <w:szCs w:val="21"/>
                      <w:highlight w:val="none"/>
                      <w:lang w:val="en-US" w:eastAsia="zh-CN" w:bidi="ar-SA"/>
                    </w:rPr>
                    <w:t>车间</w:t>
                  </w:r>
                  <w:r>
                    <w:rPr>
                      <w:rFonts w:hint="eastAsia" w:ascii="Times New Roman" w:hAnsi="Times New Roman" w:eastAsia="宋体" w:cs="Times New Roman"/>
                      <w:bCs/>
                      <w:color w:val="auto"/>
                      <w:kern w:val="2"/>
                      <w:sz w:val="21"/>
                      <w:szCs w:val="21"/>
                      <w:highlight w:val="none"/>
                      <w:lang w:val="en-US" w:eastAsia="zh-CN" w:bidi="ar-SA"/>
                    </w:rPr>
                    <w:t>沉降</w:t>
                  </w:r>
                  <w:r>
                    <w:rPr>
                      <w:rFonts w:hint="default" w:ascii="Times New Roman" w:hAnsi="Times New Roman" w:eastAsia="宋体" w:cs="Times New Roman"/>
                      <w:bCs/>
                      <w:color w:val="auto"/>
                      <w:kern w:val="2"/>
                      <w:sz w:val="21"/>
                      <w:szCs w:val="21"/>
                      <w:highlight w:val="none"/>
                      <w:lang w:val="en-US" w:eastAsia="zh-CN" w:bidi="ar-SA"/>
                    </w:rPr>
                    <w:t>粉尘</w:t>
                  </w:r>
                  <w:r>
                    <w:rPr>
                      <w:rFonts w:hint="eastAsia" w:ascii="Times New Roman" w:hAnsi="Times New Roman" w:cs="Times New Roman"/>
                      <w:bCs/>
                      <w:color w:val="auto"/>
                      <w:kern w:val="2"/>
                      <w:sz w:val="21"/>
                      <w:szCs w:val="21"/>
                      <w:highlight w:val="none"/>
                      <w:lang w:val="en-US" w:eastAsia="zh-CN" w:bidi="ar-SA"/>
                    </w:rPr>
                    <w:t>集中收集外售水泥厂作原料</w:t>
                  </w:r>
                  <w:r>
                    <w:rPr>
                      <w:rFonts w:hint="eastAsia" w:ascii="Times New Roman" w:hAnsi="Times New Roman" w:eastAsia="宋体" w:cs="Times New Roman"/>
                      <w:bCs/>
                      <w:color w:val="auto"/>
                      <w:kern w:val="2"/>
                      <w:sz w:val="21"/>
                      <w:szCs w:val="21"/>
                      <w:highlight w:val="none"/>
                      <w:lang w:val="en-US" w:eastAsia="zh-CN" w:bidi="ar-SA"/>
                    </w:rPr>
                    <w:t>；废旧布袋回用于生产。</w:t>
                  </w:r>
                </w:p>
              </w:tc>
              <w:tc>
                <w:tcPr>
                  <w:tcW w:w="1087" w:type="dxa"/>
                  <w:tcBorders>
                    <w:tl2br w:val="nil"/>
                    <w:tr2bl w:val="nil"/>
                  </w:tcBorders>
                  <w:noWrap w:val="0"/>
                  <w:vAlign w:val="center"/>
                </w:tcPr>
                <w:p w14:paraId="2FF24D40">
                  <w:pPr>
                    <w:adjustRightInd w:val="0"/>
                    <w:snapToGrid w:val="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bCs/>
                      <w:color w:val="auto"/>
                      <w:szCs w:val="21"/>
                      <w:highlight w:val="none"/>
                      <w:lang w:val="en-US" w:eastAsia="zh-CN"/>
                    </w:rPr>
                    <w:t>新建</w:t>
                  </w:r>
                </w:p>
              </w:tc>
            </w:tr>
            <w:tr w14:paraId="27DB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51824B2">
                  <w:pPr>
                    <w:tabs>
                      <w:tab w:val="left" w:pos="1260"/>
                    </w:tabs>
                    <w:adjustRightInd w:val="0"/>
                    <w:snapToGrid w:val="0"/>
                    <w:jc w:val="center"/>
                    <w:rPr>
                      <w:rFonts w:hint="default" w:ascii="Times New Roman" w:hAnsi="Times New Roman" w:cs="Times New Roman"/>
                      <w:color w:val="auto"/>
                      <w:sz w:val="21"/>
                      <w:szCs w:val="21"/>
                      <w:highlight w:val="none"/>
                    </w:rPr>
                  </w:pPr>
                </w:p>
              </w:tc>
              <w:tc>
                <w:tcPr>
                  <w:tcW w:w="453" w:type="dxa"/>
                  <w:vMerge w:val="continue"/>
                  <w:tcBorders>
                    <w:tl2br w:val="nil"/>
                    <w:tr2bl w:val="nil"/>
                  </w:tcBorders>
                  <w:noWrap w:val="0"/>
                  <w:vAlign w:val="center"/>
                </w:tcPr>
                <w:p w14:paraId="5DCEEE7D">
                  <w:pPr>
                    <w:tabs>
                      <w:tab w:val="left" w:pos="1260"/>
                    </w:tabs>
                    <w:adjustRightInd w:val="0"/>
                    <w:snapToGrid w:val="0"/>
                    <w:jc w:val="center"/>
                    <w:rPr>
                      <w:rFonts w:hint="default" w:ascii="Times New Roman" w:hAnsi="Times New Roman" w:cs="Times New Roman"/>
                      <w:color w:val="auto"/>
                      <w:sz w:val="21"/>
                      <w:szCs w:val="21"/>
                      <w:highlight w:val="none"/>
                    </w:rPr>
                  </w:pPr>
                </w:p>
              </w:tc>
              <w:tc>
                <w:tcPr>
                  <w:tcW w:w="860" w:type="dxa"/>
                  <w:tcBorders>
                    <w:tl2br w:val="nil"/>
                    <w:tr2bl w:val="nil"/>
                  </w:tcBorders>
                  <w:noWrap w:val="0"/>
                  <w:vAlign w:val="center"/>
                </w:tcPr>
                <w:p w14:paraId="48830309">
                  <w:pPr>
                    <w:tabs>
                      <w:tab w:val="left" w:pos="1260"/>
                    </w:tabs>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w:t>
                  </w:r>
                </w:p>
                <w:p w14:paraId="204F8950">
                  <w:pPr>
                    <w:tabs>
                      <w:tab w:val="left" w:pos="1260"/>
                    </w:tabs>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废</w:t>
                  </w:r>
                  <w:r>
                    <w:rPr>
                      <w:rFonts w:hint="default" w:ascii="Times New Roman" w:hAnsi="Times New Roman" w:cs="Times New Roman"/>
                      <w:color w:val="auto"/>
                      <w:sz w:val="21"/>
                      <w:szCs w:val="21"/>
                      <w:highlight w:val="none"/>
                      <w:lang w:eastAsia="zh-CN"/>
                    </w:rPr>
                    <w:t>物</w:t>
                  </w:r>
                </w:p>
              </w:tc>
              <w:tc>
                <w:tcPr>
                  <w:tcW w:w="5280" w:type="dxa"/>
                  <w:tcBorders>
                    <w:tl2br w:val="nil"/>
                    <w:tr2bl w:val="nil"/>
                  </w:tcBorders>
                  <w:noWrap w:val="0"/>
                  <w:vAlign w:val="center"/>
                </w:tcPr>
                <w:p w14:paraId="532F42D3">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危废贮存库：</w:t>
                  </w:r>
                  <w:r>
                    <w:rPr>
                      <w:rFonts w:hint="default" w:ascii="Times New Roman" w:hAnsi="Times New Roman" w:eastAsia="宋体" w:cs="Times New Roman"/>
                      <w:bCs/>
                      <w:color w:val="auto"/>
                      <w:kern w:val="2"/>
                      <w:sz w:val="21"/>
                      <w:szCs w:val="21"/>
                      <w:highlight w:val="none"/>
                      <w:lang w:val="en-US" w:eastAsia="zh-CN" w:bidi="ar-SA"/>
                    </w:rPr>
                    <w:t>位于</w:t>
                  </w:r>
                  <w:r>
                    <w:rPr>
                      <w:rFonts w:hint="eastAsia" w:ascii="Times New Roman" w:hAnsi="Times New Roman" w:eastAsia="宋体" w:cs="Times New Roman"/>
                      <w:bCs/>
                      <w:color w:val="auto"/>
                      <w:kern w:val="2"/>
                      <w:sz w:val="21"/>
                      <w:szCs w:val="21"/>
                      <w:highlight w:val="none"/>
                      <w:lang w:val="en-US" w:eastAsia="zh-CN" w:bidi="ar-SA"/>
                    </w:rPr>
                    <w:t>车间西北侧</w:t>
                  </w:r>
                  <w:r>
                    <w:rPr>
                      <w:rFonts w:hint="default" w:ascii="Times New Roman" w:hAnsi="Times New Roman" w:eastAsia="宋体" w:cs="Times New Roman"/>
                      <w:bCs/>
                      <w:color w:val="auto"/>
                      <w:kern w:val="2"/>
                      <w:sz w:val="21"/>
                      <w:szCs w:val="21"/>
                      <w:highlight w:val="none"/>
                      <w:lang w:val="en-US" w:eastAsia="zh-CN" w:bidi="ar-SA"/>
                    </w:rPr>
                    <w:t>，</w:t>
                  </w:r>
                  <w:r>
                    <w:rPr>
                      <w:rFonts w:hint="eastAsia" w:ascii="Times New Roman" w:hAnsi="Times New Roman" w:eastAsia="宋体" w:cs="Times New Roman"/>
                      <w:bCs/>
                      <w:color w:val="auto"/>
                      <w:kern w:val="2"/>
                      <w:sz w:val="21"/>
                      <w:szCs w:val="21"/>
                      <w:highlight w:val="none"/>
                      <w:lang w:val="en-US" w:eastAsia="zh-CN" w:bidi="ar-SA"/>
                    </w:rPr>
                    <w:t>占地</w:t>
                  </w:r>
                  <w:r>
                    <w:rPr>
                      <w:rFonts w:hint="default" w:ascii="Times New Roman" w:hAnsi="Times New Roman" w:eastAsia="宋体" w:cs="Times New Roman"/>
                      <w:bCs/>
                      <w:color w:val="auto"/>
                      <w:kern w:val="2"/>
                      <w:sz w:val="21"/>
                      <w:szCs w:val="21"/>
                      <w:highlight w:val="none"/>
                      <w:lang w:val="en-US" w:eastAsia="zh-CN" w:bidi="ar-SA"/>
                    </w:rPr>
                    <w:t>面积</w:t>
                  </w:r>
                  <w:r>
                    <w:rPr>
                      <w:rFonts w:hint="eastAsia" w:ascii="Times New Roman" w:hAnsi="Times New Roman" w:eastAsia="宋体" w:cs="Times New Roman"/>
                      <w:bCs/>
                      <w:color w:val="auto"/>
                      <w:kern w:val="2"/>
                      <w:sz w:val="21"/>
                      <w:szCs w:val="21"/>
                      <w:highlight w:val="none"/>
                      <w:lang w:val="en-US" w:eastAsia="zh-CN" w:bidi="ar-SA"/>
                    </w:rPr>
                    <w:t>约6m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w:t>
                  </w:r>
                  <w:r>
                    <w:rPr>
                      <w:rFonts w:hint="default" w:ascii="Times New Roman" w:hAnsi="Times New Roman" w:eastAsia="宋体" w:cs="Times New Roman"/>
                      <w:bCs/>
                      <w:color w:val="auto"/>
                      <w:kern w:val="2"/>
                      <w:sz w:val="21"/>
                      <w:szCs w:val="21"/>
                      <w:highlight w:val="none"/>
                      <w:lang w:val="en-US" w:eastAsia="zh-CN" w:bidi="ar-SA"/>
                    </w:rPr>
                    <w:t>设备</w:t>
                  </w:r>
                  <w:r>
                    <w:rPr>
                      <w:rFonts w:hint="eastAsia" w:ascii="Times New Roman" w:hAnsi="Times New Roman" w:eastAsia="宋体" w:cs="Times New Roman"/>
                      <w:bCs/>
                      <w:color w:val="auto"/>
                      <w:kern w:val="2"/>
                      <w:sz w:val="21"/>
                      <w:szCs w:val="21"/>
                      <w:highlight w:val="none"/>
                      <w:lang w:val="en-US" w:eastAsia="zh-CN" w:bidi="ar-SA"/>
                    </w:rPr>
                    <w:t>维护</w:t>
                  </w:r>
                  <w:r>
                    <w:rPr>
                      <w:rFonts w:hint="default" w:ascii="Times New Roman" w:hAnsi="Times New Roman" w:eastAsia="宋体" w:cs="Times New Roman"/>
                      <w:bCs/>
                      <w:color w:val="auto"/>
                      <w:kern w:val="2"/>
                      <w:sz w:val="21"/>
                      <w:szCs w:val="21"/>
                      <w:highlight w:val="none"/>
                      <w:lang w:val="en-US" w:eastAsia="zh-CN" w:bidi="ar-SA"/>
                    </w:rPr>
                    <w:t>保养产生的废润滑油、</w:t>
                  </w:r>
                  <w:r>
                    <w:rPr>
                      <w:rFonts w:hint="eastAsia" w:ascii="Times New Roman" w:hAnsi="Times New Roman" w:eastAsia="宋体" w:cs="Times New Roman"/>
                      <w:bCs/>
                      <w:color w:val="auto"/>
                      <w:kern w:val="2"/>
                      <w:sz w:val="21"/>
                      <w:szCs w:val="21"/>
                      <w:highlight w:val="none"/>
                      <w:lang w:val="en-US" w:eastAsia="zh-CN" w:bidi="ar-SA"/>
                    </w:rPr>
                    <w:t>废油桶和</w:t>
                  </w:r>
                  <w:r>
                    <w:rPr>
                      <w:rFonts w:hint="default" w:ascii="Times New Roman" w:hAnsi="Times New Roman" w:eastAsia="宋体" w:cs="Times New Roman"/>
                      <w:bCs/>
                      <w:color w:val="auto"/>
                      <w:kern w:val="2"/>
                      <w:sz w:val="21"/>
                      <w:szCs w:val="21"/>
                      <w:highlight w:val="none"/>
                      <w:lang w:val="en-US" w:eastAsia="zh-CN" w:bidi="ar-SA"/>
                    </w:rPr>
                    <w:t>废含油抹布及手套，暂存</w:t>
                  </w:r>
                  <w:r>
                    <w:rPr>
                      <w:rFonts w:hint="eastAsia" w:ascii="Times New Roman" w:hAnsi="Times New Roman" w:eastAsia="宋体" w:cs="Times New Roman"/>
                      <w:bCs/>
                      <w:color w:val="auto"/>
                      <w:kern w:val="2"/>
                      <w:sz w:val="21"/>
                      <w:szCs w:val="21"/>
                      <w:highlight w:val="none"/>
                      <w:lang w:val="en-US" w:eastAsia="zh-CN" w:bidi="ar-SA"/>
                    </w:rPr>
                    <w:t>于危废贮存库内</w:t>
                  </w:r>
                  <w:r>
                    <w:rPr>
                      <w:rFonts w:hint="default" w:ascii="Times New Roman" w:hAnsi="Times New Roman" w:eastAsia="宋体" w:cs="Times New Roman"/>
                      <w:bCs/>
                      <w:color w:val="auto"/>
                      <w:kern w:val="2"/>
                      <w:sz w:val="21"/>
                      <w:szCs w:val="21"/>
                      <w:highlight w:val="none"/>
                      <w:lang w:val="en-US" w:eastAsia="zh-CN" w:bidi="ar-SA"/>
                    </w:rPr>
                    <w:t>，</w:t>
                  </w:r>
                  <w:r>
                    <w:rPr>
                      <w:rFonts w:hint="eastAsia" w:ascii="Times New Roman" w:hAnsi="Times New Roman" w:eastAsia="宋体" w:cs="Times New Roman"/>
                      <w:bCs/>
                      <w:color w:val="auto"/>
                      <w:kern w:val="2"/>
                      <w:sz w:val="21"/>
                      <w:szCs w:val="21"/>
                      <w:highlight w:val="none"/>
                      <w:lang w:val="en-US" w:eastAsia="zh-CN" w:bidi="ar-SA"/>
                    </w:rPr>
                    <w:t>定期</w:t>
                  </w:r>
                  <w:r>
                    <w:rPr>
                      <w:rFonts w:hint="default" w:ascii="Times New Roman" w:hAnsi="Times New Roman" w:eastAsia="宋体" w:cs="Times New Roman"/>
                      <w:bCs/>
                      <w:color w:val="auto"/>
                      <w:kern w:val="2"/>
                      <w:sz w:val="21"/>
                      <w:szCs w:val="21"/>
                      <w:highlight w:val="none"/>
                      <w:lang w:val="en-US" w:eastAsia="zh-CN" w:bidi="ar-SA"/>
                    </w:rPr>
                    <w:t>交</w:t>
                  </w:r>
                  <w:r>
                    <w:rPr>
                      <w:rFonts w:hint="eastAsia" w:ascii="Times New Roman" w:hAnsi="Times New Roman" w:eastAsia="宋体" w:cs="Times New Roman"/>
                      <w:bCs/>
                      <w:color w:val="auto"/>
                      <w:kern w:val="2"/>
                      <w:sz w:val="21"/>
                      <w:szCs w:val="21"/>
                      <w:highlight w:val="none"/>
                      <w:lang w:val="en-US" w:eastAsia="zh-CN" w:bidi="ar-SA"/>
                    </w:rPr>
                    <w:t>由</w:t>
                  </w:r>
                  <w:r>
                    <w:rPr>
                      <w:rFonts w:hint="default" w:ascii="Times New Roman" w:hAnsi="Times New Roman" w:eastAsia="宋体" w:cs="Times New Roman"/>
                      <w:bCs/>
                      <w:color w:val="auto"/>
                      <w:kern w:val="2"/>
                      <w:sz w:val="21"/>
                      <w:szCs w:val="21"/>
                      <w:highlight w:val="none"/>
                      <w:lang w:val="en-US" w:eastAsia="zh-CN" w:bidi="ar-SA"/>
                    </w:rPr>
                    <w:t>有资质单位处置</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14FBD7A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Cs w:val="21"/>
                      <w:highlight w:val="none"/>
                      <w:lang w:val="en-US" w:eastAsia="zh-CN"/>
                    </w:rPr>
                    <w:t>新建</w:t>
                  </w:r>
                </w:p>
              </w:tc>
            </w:tr>
          </w:tbl>
          <w:p w14:paraId="2665C218">
            <w:pPr>
              <w:numPr>
                <w:ilvl w:val="0"/>
                <w:numId w:val="0"/>
              </w:numPr>
              <w:adjustRightInd w:val="0"/>
              <w:snapToGrid w:val="0"/>
              <w:spacing w:line="360" w:lineRule="auto"/>
              <w:jc w:val="both"/>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color w:val="auto"/>
                <w:kern w:val="2"/>
                <w:sz w:val="24"/>
                <w:szCs w:val="24"/>
                <w:highlight w:val="none"/>
                <w:lang w:val="en-US" w:eastAsia="zh-CN" w:bidi="ar-SA"/>
              </w:rPr>
              <w:t>3、</w:t>
            </w:r>
            <w:r>
              <w:rPr>
                <w:rFonts w:hint="default" w:ascii="Times New Roman" w:hAnsi="Times New Roman" w:cs="Times New Roman"/>
                <w:b/>
                <w:bCs w:val="0"/>
                <w:color w:val="auto"/>
                <w:sz w:val="24"/>
                <w:szCs w:val="24"/>
                <w:highlight w:val="none"/>
                <w:lang w:val="en-US" w:eastAsia="zh-CN"/>
              </w:rPr>
              <w:t>产品方案</w:t>
            </w:r>
          </w:p>
          <w:p w14:paraId="15355EFA">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本项目产品方案见下表。</w:t>
            </w:r>
          </w:p>
          <w:p w14:paraId="3DEA9CFF">
            <w:pPr>
              <w:numPr>
                <w:ilvl w:val="0"/>
                <w:numId w:val="0"/>
              </w:numPr>
              <w:adjustRightInd w:val="0"/>
              <w:snapToGrid w:val="0"/>
              <w:spacing w:line="240" w:lineRule="auto"/>
              <w:ind w:left="0" w:leftChars="0" w:firstLine="0" w:firstLineChars="0"/>
              <w:jc w:val="center"/>
              <w:rPr>
                <w:rFonts w:hint="default" w:ascii="Times New Roman" w:hAnsi="Times New Roman" w:cs="Times New Roman"/>
                <w:b/>
                <w:bCs w:val="0"/>
                <w:color w:val="auto"/>
                <w:sz w:val="21"/>
                <w:szCs w:val="21"/>
                <w:highlight w:val="none"/>
                <w:lang w:val="en-US" w:eastAsia="zh-CN"/>
              </w:rPr>
            </w:pPr>
            <w:r>
              <w:rPr>
                <w:rFonts w:hint="default" w:ascii="Times New Roman" w:hAnsi="Times New Roman" w:cs="Times New Roman"/>
                <w:b/>
                <w:bCs w:val="0"/>
                <w:color w:val="auto"/>
                <w:sz w:val="21"/>
                <w:szCs w:val="21"/>
                <w:highlight w:val="none"/>
                <w:lang w:val="en-US" w:eastAsia="zh-CN"/>
              </w:rPr>
              <w:t>表2-2 项目产品方案一览表</w:t>
            </w:r>
          </w:p>
          <w:tbl>
            <w:tblPr>
              <w:tblStyle w:val="26"/>
              <w:tblW w:w="49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333"/>
              <w:gridCol w:w="1422"/>
              <w:gridCol w:w="3803"/>
            </w:tblGrid>
            <w:tr w14:paraId="1310B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6" w:type="pct"/>
                  <w:tcBorders>
                    <w:top w:val="single" w:color="auto" w:sz="4" w:space="0"/>
                    <w:left w:val="single" w:color="auto" w:sz="0" w:space="0"/>
                    <w:bottom w:val="single" w:color="auto" w:sz="4" w:space="0"/>
                    <w:right w:val="single" w:color="auto" w:sz="4" w:space="0"/>
                  </w:tcBorders>
                  <w:noWrap w:val="0"/>
                  <w:vAlign w:val="center"/>
                </w:tcPr>
                <w:p w14:paraId="6B182EDB">
                  <w:pPr>
                    <w:spacing w:line="240" w:lineRule="auto"/>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kern w:val="2"/>
                      <w:sz w:val="21"/>
                      <w:szCs w:val="21"/>
                      <w:highlight w:val="none"/>
                      <w:lang w:val="en-US" w:eastAsia="zh-CN" w:bidi="ar-SA"/>
                    </w:rPr>
                    <w:t>序号</w:t>
                  </w:r>
                </w:p>
              </w:tc>
              <w:tc>
                <w:tcPr>
                  <w:tcW w:w="1414" w:type="pct"/>
                  <w:tcBorders>
                    <w:top w:val="single" w:color="auto" w:sz="4" w:space="0"/>
                    <w:left w:val="single" w:color="auto" w:sz="4" w:space="0"/>
                    <w:bottom w:val="single" w:color="auto" w:sz="4" w:space="0"/>
                    <w:right w:val="single" w:color="auto" w:sz="4" w:space="0"/>
                  </w:tcBorders>
                  <w:noWrap w:val="0"/>
                  <w:vAlign w:val="center"/>
                </w:tcPr>
                <w:p w14:paraId="7A114006">
                  <w:pPr>
                    <w:snapToGrid w:val="0"/>
                    <w:jc w:val="center"/>
                    <w:rPr>
                      <w:rFonts w:hint="default" w:ascii="Times New Roman" w:hAnsi="Times New Roman" w:eastAsia="宋体" w:cs="Times New Roman"/>
                      <w:b/>
                      <w:bCs w:val="0"/>
                      <w:color w:val="auto"/>
                      <w:kern w:val="2"/>
                      <w:sz w:val="21"/>
                      <w:szCs w:val="21"/>
                      <w:highlight w:val="none"/>
                      <w:lang w:val="en-US" w:eastAsia="zh-CN" w:bidi="ar-SA"/>
                    </w:rPr>
                  </w:pPr>
                  <w:r>
                    <w:rPr>
                      <w:rFonts w:hint="eastAsia" w:cs="Times New Roman"/>
                      <w:b/>
                      <w:bCs w:val="0"/>
                      <w:color w:val="auto"/>
                      <w:kern w:val="2"/>
                      <w:sz w:val="21"/>
                      <w:szCs w:val="21"/>
                      <w:highlight w:val="none"/>
                      <w:lang w:val="en-US" w:eastAsia="zh-CN" w:bidi="ar-SA"/>
                    </w:rPr>
                    <w:t>产品</w:t>
                  </w:r>
                  <w:r>
                    <w:rPr>
                      <w:rFonts w:hint="default" w:ascii="Times New Roman" w:hAnsi="Times New Roman" w:eastAsia="宋体" w:cs="Times New Roman"/>
                      <w:b/>
                      <w:bCs w:val="0"/>
                      <w:color w:val="auto"/>
                      <w:kern w:val="2"/>
                      <w:sz w:val="21"/>
                      <w:szCs w:val="21"/>
                      <w:highlight w:val="none"/>
                      <w:lang w:val="zh-CN" w:eastAsia="zh-CN" w:bidi="ar-SA"/>
                    </w:rPr>
                    <w:t>名称</w:t>
                  </w:r>
                </w:p>
              </w:tc>
              <w:tc>
                <w:tcPr>
                  <w:tcW w:w="862" w:type="pct"/>
                  <w:tcBorders>
                    <w:top w:val="single" w:color="auto" w:sz="4" w:space="0"/>
                    <w:left w:val="single" w:color="auto" w:sz="4" w:space="0"/>
                    <w:bottom w:val="single" w:color="auto" w:sz="4" w:space="0"/>
                    <w:right w:val="single" w:color="auto" w:sz="4" w:space="0"/>
                  </w:tcBorders>
                  <w:noWrap w:val="0"/>
                  <w:vAlign w:val="center"/>
                </w:tcPr>
                <w:p w14:paraId="3FD5FCF8">
                  <w:pPr>
                    <w:snapToGrid w:val="0"/>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kern w:val="2"/>
                      <w:sz w:val="21"/>
                      <w:szCs w:val="21"/>
                      <w:highlight w:val="none"/>
                      <w:lang w:val="zh-CN" w:eastAsia="zh-CN" w:bidi="ar-SA"/>
                    </w:rPr>
                    <w:t>年产量（</w:t>
                  </w:r>
                  <w:r>
                    <w:rPr>
                      <w:rFonts w:hint="default" w:ascii="Times New Roman" w:hAnsi="Times New Roman" w:eastAsia="宋体" w:cs="Times New Roman"/>
                      <w:b/>
                      <w:bCs w:val="0"/>
                      <w:color w:val="auto"/>
                      <w:kern w:val="2"/>
                      <w:sz w:val="21"/>
                      <w:szCs w:val="21"/>
                      <w:highlight w:val="none"/>
                      <w:lang w:val="en-US" w:eastAsia="zh-CN" w:bidi="ar-SA"/>
                    </w:rPr>
                    <w:t>t/a</w:t>
                  </w:r>
                  <w:r>
                    <w:rPr>
                      <w:rFonts w:hint="default" w:ascii="Times New Roman" w:hAnsi="Times New Roman" w:eastAsia="宋体" w:cs="Times New Roman"/>
                      <w:b/>
                      <w:bCs w:val="0"/>
                      <w:color w:val="auto"/>
                      <w:kern w:val="2"/>
                      <w:sz w:val="21"/>
                      <w:szCs w:val="21"/>
                      <w:highlight w:val="none"/>
                      <w:lang w:val="zh-CN" w:eastAsia="zh-CN" w:bidi="ar-SA"/>
                    </w:rPr>
                    <w:t>）</w:t>
                  </w:r>
                </w:p>
              </w:tc>
              <w:tc>
                <w:tcPr>
                  <w:tcW w:w="2306" w:type="pct"/>
                  <w:tcBorders>
                    <w:top w:val="single" w:color="auto" w:sz="4" w:space="0"/>
                    <w:left w:val="single" w:color="auto" w:sz="4" w:space="0"/>
                    <w:bottom w:val="single" w:color="auto" w:sz="4" w:space="0"/>
                    <w:right w:val="single" w:color="auto" w:sz="4" w:space="0"/>
                  </w:tcBorders>
                  <w:noWrap w:val="0"/>
                  <w:vAlign w:val="center"/>
                </w:tcPr>
                <w:p w14:paraId="5854AD4A">
                  <w:pPr>
                    <w:snapToGrid w:val="0"/>
                    <w:jc w:val="center"/>
                    <w:rPr>
                      <w:rFonts w:hint="default" w:ascii="Times New Roman" w:hAnsi="Times New Roman" w:eastAsia="宋体" w:cs="Times New Roman"/>
                      <w:b/>
                      <w:bCs w:val="0"/>
                      <w:color w:val="auto"/>
                      <w:kern w:val="2"/>
                      <w:sz w:val="21"/>
                      <w:szCs w:val="21"/>
                      <w:highlight w:val="none"/>
                      <w:lang w:val="en-US" w:eastAsia="zh-CN" w:bidi="ar-SA"/>
                    </w:rPr>
                  </w:pPr>
                  <w:r>
                    <w:rPr>
                      <w:rFonts w:hint="eastAsia" w:cs="Times New Roman"/>
                      <w:b/>
                      <w:bCs w:val="0"/>
                      <w:color w:val="auto"/>
                      <w:kern w:val="2"/>
                      <w:sz w:val="21"/>
                      <w:szCs w:val="21"/>
                      <w:highlight w:val="none"/>
                      <w:lang w:val="en-US" w:eastAsia="zh-CN" w:bidi="ar-SA"/>
                    </w:rPr>
                    <w:t>产品去向</w:t>
                  </w:r>
                </w:p>
              </w:tc>
            </w:tr>
            <w:tr w14:paraId="6EC5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6" w:type="pct"/>
                  <w:tcBorders>
                    <w:top w:val="single" w:color="auto" w:sz="4" w:space="0"/>
                    <w:left w:val="single" w:color="auto" w:sz="4" w:space="0"/>
                    <w:right w:val="single" w:color="auto" w:sz="4" w:space="0"/>
                  </w:tcBorders>
                  <w:noWrap w:val="0"/>
                  <w:vAlign w:val="center"/>
                </w:tcPr>
                <w:p w14:paraId="682F3249">
                  <w:pPr>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1</w:t>
                  </w:r>
                </w:p>
              </w:tc>
              <w:tc>
                <w:tcPr>
                  <w:tcW w:w="1414" w:type="pct"/>
                  <w:tcBorders>
                    <w:top w:val="single" w:color="auto" w:sz="4" w:space="0"/>
                    <w:left w:val="single" w:color="auto" w:sz="4" w:space="0"/>
                    <w:bottom w:val="single" w:color="auto" w:sz="4" w:space="0"/>
                    <w:right w:val="single" w:color="auto" w:sz="4" w:space="0"/>
                  </w:tcBorders>
                  <w:noWrap w:val="0"/>
                  <w:vAlign w:val="center"/>
                </w:tcPr>
                <w:p w14:paraId="4AC88353">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zh-CN" w:eastAsia="zh-CN" w:bidi="ar-SA"/>
                    </w:rPr>
                    <w:t>RDF固体废物衍生燃料</w:t>
                  </w:r>
                </w:p>
              </w:tc>
              <w:tc>
                <w:tcPr>
                  <w:tcW w:w="862" w:type="pct"/>
                  <w:tcBorders>
                    <w:top w:val="single" w:color="auto" w:sz="4" w:space="0"/>
                    <w:left w:val="single" w:color="auto" w:sz="4" w:space="0"/>
                    <w:right w:val="single" w:color="auto" w:sz="4" w:space="0"/>
                  </w:tcBorders>
                  <w:noWrap w:val="0"/>
                  <w:vAlign w:val="center"/>
                </w:tcPr>
                <w:p w14:paraId="64820D01">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180000</w:t>
                  </w:r>
                </w:p>
              </w:tc>
              <w:tc>
                <w:tcPr>
                  <w:tcW w:w="2306" w:type="pct"/>
                  <w:tcBorders>
                    <w:top w:val="single" w:color="auto" w:sz="4" w:space="0"/>
                    <w:left w:val="single" w:color="auto" w:sz="4" w:space="0"/>
                    <w:right w:val="single" w:color="auto" w:sz="4" w:space="0"/>
                  </w:tcBorders>
                  <w:noWrap w:val="0"/>
                  <w:vAlign w:val="center"/>
                </w:tcPr>
                <w:p w14:paraId="16143E27">
                  <w:pPr>
                    <w:snapToGrid w:val="0"/>
                    <w:jc w:val="center"/>
                    <w:rPr>
                      <w:rFonts w:hint="eastAsia"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水泥厂（冀东水泥厂、海螺水泥厂等），作为水泥窑助燃补充燃料</w:t>
                  </w:r>
                </w:p>
              </w:tc>
            </w:tr>
          </w:tbl>
          <w:p w14:paraId="73AD750A">
            <w:pPr>
              <w:pStyle w:val="61"/>
              <w:keepNext w:val="0"/>
              <w:keepLines w:val="0"/>
              <w:pageBreakBefore w:val="0"/>
              <w:widowControl w:val="0"/>
              <w:kinsoku/>
              <w:wordWrap w:val="0"/>
              <w:overflowPunct w:val="0"/>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本项目RDF燃料制备标准参照《固体替代燃料定义与分类》（T/CIC046-2021）和《固体替代燃料制备技术规范》（T/CIC47-2021）</w:t>
            </w:r>
            <w:r>
              <w:rPr>
                <w:rFonts w:hint="eastAsia" w:ascii="Times New Roman" w:hAnsi="Times New Roman" w:eastAsia="宋体" w:cs="Times New Roman"/>
                <w:b w:val="0"/>
                <w:bCs/>
                <w:color w:val="auto"/>
                <w:kern w:val="2"/>
                <w:sz w:val="24"/>
                <w:szCs w:val="24"/>
                <w:highlight w:val="none"/>
                <w:lang w:val="en-US" w:eastAsia="zh-CN" w:bidi="ar-SA"/>
              </w:rPr>
              <w:t>，</w:t>
            </w:r>
            <w:r>
              <w:rPr>
                <w:rFonts w:hint="default" w:ascii="Times New Roman" w:hAnsi="Times New Roman" w:eastAsia="宋体" w:cs="Times New Roman"/>
                <w:b w:val="0"/>
                <w:bCs/>
                <w:color w:val="auto"/>
                <w:kern w:val="2"/>
                <w:sz w:val="24"/>
                <w:szCs w:val="24"/>
                <w:highlight w:val="none"/>
                <w:lang w:val="en-US" w:eastAsia="zh-CN" w:bidi="ar-SA"/>
              </w:rPr>
              <w:t>生产的RDF尺寸在</w:t>
            </w:r>
            <w:r>
              <w:rPr>
                <w:rFonts w:hint="eastAsia" w:ascii="Times New Roman" w:hAnsi="Times New Roman" w:eastAsia="宋体" w:cs="Times New Roman"/>
                <w:b w:val="0"/>
                <w:bCs/>
                <w:color w:val="auto"/>
                <w:kern w:val="2"/>
                <w:sz w:val="24"/>
                <w:szCs w:val="24"/>
                <w:highlight w:val="none"/>
                <w:lang w:val="en-US" w:eastAsia="zh-CN" w:bidi="ar-SA"/>
              </w:rPr>
              <w:t>30</w:t>
            </w:r>
            <w:r>
              <w:rPr>
                <w:rFonts w:hint="eastAsia" w:ascii="Times New Roman" w:hAnsi="Times New Roman" w:cs="Times New Roman"/>
                <w:b w:val="0"/>
                <w:bCs/>
                <w:color w:val="auto"/>
                <w:kern w:val="2"/>
                <w:sz w:val="24"/>
                <w:szCs w:val="24"/>
                <w:highlight w:val="none"/>
                <w:lang w:val="en-US" w:eastAsia="zh-CN" w:bidi="ar-SA"/>
              </w:rPr>
              <w:t>-</w:t>
            </w:r>
            <w:r>
              <w:rPr>
                <w:rFonts w:hint="default" w:ascii="Times New Roman" w:hAnsi="Times New Roman" w:eastAsia="宋体" w:cs="Times New Roman"/>
                <w:b w:val="0"/>
                <w:bCs/>
                <w:color w:val="auto"/>
                <w:kern w:val="2"/>
                <w:sz w:val="24"/>
                <w:szCs w:val="24"/>
                <w:highlight w:val="none"/>
                <w:lang w:val="en-US" w:eastAsia="zh-CN" w:bidi="ar-SA"/>
              </w:rPr>
              <w:t>50mm以内，热值4000-4200大卡。</w:t>
            </w:r>
          </w:p>
          <w:p w14:paraId="59748083">
            <w:pPr>
              <w:pStyle w:val="61"/>
              <w:spacing w:before="19" w:line="377" w:lineRule="auto"/>
              <w:ind w:left="106" w:right="3" w:firstLine="482"/>
              <w:jc w:val="both"/>
              <w:rPr>
                <w:color w:val="auto"/>
                <w:highlight w:val="none"/>
              </w:rPr>
            </w:pPr>
            <w:r>
              <w:rPr>
                <w:color w:val="auto"/>
                <w:spacing w:val="-5"/>
                <w:highlight w:val="none"/>
              </w:rPr>
              <w:t>本项目</w:t>
            </w:r>
            <w:r>
              <w:rPr>
                <w:rFonts w:ascii="Times New Roman" w:hAnsi="Times New Roman" w:eastAsia="Times New Roman" w:cs="Times New Roman"/>
                <w:color w:val="auto"/>
                <w:spacing w:val="-5"/>
                <w:highlight w:val="none"/>
              </w:rPr>
              <w:t>RDF</w:t>
            </w:r>
            <w:r>
              <w:rPr>
                <w:color w:val="auto"/>
                <w:spacing w:val="-5"/>
                <w:highlight w:val="none"/>
              </w:rPr>
              <w:t>燃料制备标准参照《固体替代燃料定义与分类》（</w:t>
            </w:r>
            <w:r>
              <w:rPr>
                <w:rFonts w:ascii="Times New Roman" w:hAnsi="Times New Roman" w:eastAsia="Times New Roman" w:cs="Times New Roman"/>
                <w:color w:val="auto"/>
                <w:spacing w:val="-5"/>
                <w:highlight w:val="none"/>
              </w:rPr>
              <w:t>T/CIC046-20</w:t>
            </w:r>
            <w:r>
              <w:rPr>
                <w:rFonts w:ascii="Times New Roman" w:hAnsi="Times New Roman" w:eastAsia="Times New Roman" w:cs="Times New Roman"/>
                <w:color w:val="auto"/>
                <w:spacing w:val="-6"/>
                <w:highlight w:val="none"/>
              </w:rPr>
              <w:t>21</w:t>
            </w:r>
            <w:r>
              <w:rPr>
                <w:color w:val="auto"/>
                <w:spacing w:val="-6"/>
                <w:highlight w:val="none"/>
              </w:rPr>
              <w:t>）</w:t>
            </w:r>
            <w:r>
              <w:rPr>
                <w:color w:val="auto"/>
                <w:spacing w:val="2"/>
                <w:highlight w:val="none"/>
              </w:rPr>
              <w:t>和《固体替代燃料制备技术规范》（</w:t>
            </w:r>
            <w:r>
              <w:rPr>
                <w:rFonts w:ascii="Times New Roman" w:hAnsi="Times New Roman" w:eastAsia="Times New Roman" w:cs="Times New Roman"/>
                <w:color w:val="auto"/>
                <w:spacing w:val="2"/>
                <w:highlight w:val="none"/>
              </w:rPr>
              <w:t>T/</w:t>
            </w:r>
            <w:r>
              <w:rPr>
                <w:rFonts w:ascii="Times New Roman" w:hAnsi="Times New Roman" w:eastAsia="Times New Roman" w:cs="Times New Roman"/>
                <w:color w:val="auto"/>
                <w:highlight w:val="none"/>
              </w:rPr>
              <w:t>CIC</w:t>
            </w:r>
            <w:r>
              <w:rPr>
                <w:rFonts w:ascii="Times New Roman" w:hAnsi="Times New Roman" w:eastAsia="Times New Roman" w:cs="Times New Roman"/>
                <w:color w:val="auto"/>
                <w:spacing w:val="2"/>
                <w:highlight w:val="none"/>
              </w:rPr>
              <w:t>47-2021</w:t>
            </w:r>
            <w:r>
              <w:rPr>
                <w:color w:val="auto"/>
                <w:spacing w:val="11"/>
                <w:highlight w:val="none"/>
              </w:rPr>
              <w:t>），</w:t>
            </w:r>
            <w:r>
              <w:rPr>
                <w:color w:val="auto"/>
                <w:spacing w:val="2"/>
                <w:highlight w:val="none"/>
              </w:rPr>
              <w:t>可供具有完善环保</w:t>
            </w:r>
            <w:r>
              <w:rPr>
                <w:color w:val="auto"/>
                <w:spacing w:val="1"/>
                <w:highlight w:val="none"/>
              </w:rPr>
              <w:t>处理设</w:t>
            </w:r>
            <w:r>
              <w:rPr>
                <w:color w:val="auto"/>
                <w:spacing w:val="2"/>
                <w:highlight w:val="none"/>
              </w:rPr>
              <w:t>施能力的水泥厂作为水泥窑助燃补充燃料，以弥补部分固体废物可燃</w:t>
            </w:r>
            <w:r>
              <w:rPr>
                <w:color w:val="auto"/>
                <w:spacing w:val="1"/>
                <w:highlight w:val="none"/>
              </w:rPr>
              <w:t>性不足的缺</w:t>
            </w:r>
            <w:r>
              <w:rPr>
                <w:color w:val="auto"/>
                <w:spacing w:val="-5"/>
                <w:highlight w:val="none"/>
              </w:rPr>
              <w:t>点。本项目</w:t>
            </w:r>
            <w:r>
              <w:rPr>
                <w:rFonts w:ascii="Times New Roman" w:hAnsi="Times New Roman" w:eastAsia="Times New Roman" w:cs="Times New Roman"/>
                <w:color w:val="auto"/>
                <w:spacing w:val="-5"/>
                <w:highlight w:val="none"/>
              </w:rPr>
              <w:t>RDF</w:t>
            </w:r>
            <w:r>
              <w:rPr>
                <w:color w:val="auto"/>
                <w:spacing w:val="-5"/>
                <w:highlight w:val="none"/>
              </w:rPr>
              <w:t>燃料执行《水泥窑用固体替代燃料》（</w:t>
            </w:r>
            <w:r>
              <w:rPr>
                <w:rFonts w:ascii="Times New Roman" w:hAnsi="Times New Roman" w:eastAsia="Times New Roman" w:cs="Times New Roman"/>
                <w:color w:val="auto"/>
                <w:spacing w:val="-5"/>
                <w:highlight w:val="none"/>
              </w:rPr>
              <w:t>T/CIC049-2021</w:t>
            </w:r>
            <w:r>
              <w:rPr>
                <w:color w:val="auto"/>
                <w:spacing w:val="-5"/>
                <w:highlight w:val="none"/>
              </w:rPr>
              <w:t>）中表</w:t>
            </w:r>
            <w:r>
              <w:rPr>
                <w:rFonts w:ascii="Times New Roman" w:hAnsi="Times New Roman" w:eastAsia="Times New Roman" w:cs="Times New Roman"/>
                <w:color w:val="auto"/>
                <w:spacing w:val="-5"/>
                <w:highlight w:val="none"/>
              </w:rPr>
              <w:t>1</w:t>
            </w:r>
            <w:r>
              <w:rPr>
                <w:color w:val="auto"/>
                <w:spacing w:val="-5"/>
                <w:highlight w:val="none"/>
              </w:rPr>
              <w:t>窑</w:t>
            </w:r>
            <w:r>
              <w:rPr>
                <w:color w:val="auto"/>
                <w:spacing w:val="-3"/>
                <w:highlight w:val="none"/>
              </w:rPr>
              <w:t>头用</w:t>
            </w:r>
            <w:r>
              <w:rPr>
                <w:rFonts w:ascii="Times New Roman" w:hAnsi="Times New Roman" w:eastAsia="Times New Roman" w:cs="Times New Roman"/>
                <w:color w:val="auto"/>
                <w:spacing w:val="-3"/>
                <w:highlight w:val="none"/>
              </w:rPr>
              <w:t>SRF</w:t>
            </w:r>
            <w:r>
              <w:rPr>
                <w:color w:val="auto"/>
                <w:spacing w:val="-3"/>
                <w:highlight w:val="none"/>
              </w:rPr>
              <w:t>主要理化指标限值。</w:t>
            </w:r>
          </w:p>
          <w:p w14:paraId="59108F78">
            <w:pPr>
              <w:numPr>
                <w:ilvl w:val="0"/>
                <w:numId w:val="0"/>
              </w:numPr>
              <w:adjustRightInd w:val="0"/>
              <w:snapToGrid w:val="0"/>
              <w:spacing w:line="360" w:lineRule="auto"/>
              <w:jc w:val="both"/>
              <w:rPr>
                <w:rFonts w:hint="default" w:ascii="Times New Roman" w:hAnsi="Times New Roman" w:cs="Times New Roman"/>
                <w:bCs/>
                <w:color w:val="auto"/>
                <w:sz w:val="24"/>
                <w:szCs w:val="24"/>
                <w:highlight w:val="none"/>
                <w:lang w:val="en-US" w:eastAsia="zh-CN"/>
              </w:rPr>
            </w:pPr>
            <w:r>
              <w:rPr>
                <w:rFonts w:hint="eastAsia" w:ascii="Times New Roman" w:hAnsi="Times New Roman" w:cs="Times New Roman"/>
                <w:b/>
                <w:bCs/>
                <w:color w:val="auto"/>
                <w:kern w:val="2"/>
                <w:sz w:val="24"/>
                <w:szCs w:val="24"/>
                <w:highlight w:val="none"/>
                <w:lang w:val="en-US" w:eastAsia="zh-CN" w:bidi="ar-SA"/>
              </w:rPr>
              <w:t>4</w:t>
            </w:r>
            <w:r>
              <w:rPr>
                <w:rFonts w:hint="default" w:ascii="Times New Roman" w:hAnsi="Times New Roman" w:cs="Times New Roman"/>
                <w:b/>
                <w:bCs/>
                <w:color w:val="auto"/>
                <w:kern w:val="2"/>
                <w:sz w:val="24"/>
                <w:szCs w:val="24"/>
                <w:highlight w:val="none"/>
                <w:lang w:val="en-US" w:eastAsia="zh-CN" w:bidi="ar-SA"/>
              </w:rPr>
              <w:t>、</w:t>
            </w:r>
            <w:r>
              <w:rPr>
                <w:rFonts w:hint="default" w:ascii="Times New Roman" w:hAnsi="Times New Roman" w:cs="Times New Roman"/>
                <w:b/>
                <w:bCs w:val="0"/>
                <w:color w:val="auto"/>
                <w:sz w:val="24"/>
                <w:szCs w:val="24"/>
                <w:highlight w:val="none"/>
                <w:lang w:val="en-US" w:eastAsia="zh-CN"/>
              </w:rPr>
              <w:t>主要原辅料及能源消耗</w:t>
            </w:r>
          </w:p>
          <w:p w14:paraId="633C4F7C">
            <w:pPr>
              <w:numPr>
                <w:ilvl w:val="0"/>
                <w:numId w:val="0"/>
              </w:numPr>
              <w:adjustRightInd w:val="0"/>
              <w:snapToGrid w:val="0"/>
              <w:spacing w:line="360" w:lineRule="auto"/>
              <w:ind w:firstLine="480" w:firstLineChars="200"/>
              <w:jc w:val="both"/>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本项目主要原辅料及能源消耗见下表。</w:t>
            </w:r>
          </w:p>
        </w:tc>
      </w:tr>
    </w:tbl>
    <w:p w14:paraId="3C3DE274">
      <w:pPr>
        <w:pStyle w:val="21"/>
        <w:adjustRightInd w:val="0"/>
        <w:snapToGrid w:val="0"/>
        <w:spacing w:before="0" w:beforeAutospacing="0" w:after="0" w:afterAutospacing="0"/>
        <w:jc w:val="center"/>
        <w:rPr>
          <w:rFonts w:hint="default" w:ascii="Times New Roman" w:hAnsi="Times New Roman" w:cs="Times New Roman"/>
          <w:b w:val="0"/>
          <w:bCs w:val="0"/>
          <w:color w:val="auto"/>
          <w:sz w:val="24"/>
          <w:szCs w:val="24"/>
          <w:highlight w:val="none"/>
        </w:rPr>
        <w:sectPr>
          <w:type w:val="continuous"/>
          <w:pgSz w:w="11906" w:h="16838"/>
          <w:pgMar w:top="1701" w:right="1531" w:bottom="1701" w:left="1531" w:header="851" w:footer="851" w:gutter="0"/>
          <w:pgNumType w:fmt="decimal"/>
          <w:cols w:space="72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13223"/>
      </w:tblGrid>
      <w:tr w14:paraId="7BB3A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tcPr>
          <w:p w14:paraId="3A496883">
            <w:pPr>
              <w:numPr>
                <w:ilvl w:val="0"/>
                <w:numId w:val="0"/>
              </w:numPr>
              <w:adjustRightInd w:val="0"/>
              <w:snapToGrid w:val="0"/>
              <w:spacing w:line="240" w:lineRule="auto"/>
              <w:jc w:val="center"/>
              <w:rPr>
                <w:rFonts w:hint="default" w:ascii="Times New Roman" w:hAnsi="Times New Roman" w:eastAsia="宋体" w:cs="Times New Roman"/>
                <w:b/>
                <w:bCs w:val="0"/>
                <w:color w:val="auto"/>
                <w:sz w:val="21"/>
                <w:szCs w:val="21"/>
                <w:highlight w:val="none"/>
                <w:vertAlign w:val="baseline"/>
                <w:lang w:val="en-US" w:eastAsia="zh-CN"/>
              </w:rPr>
            </w:pPr>
          </w:p>
        </w:tc>
        <w:tc>
          <w:tcPr>
            <w:tcW w:w="13223" w:type="dxa"/>
          </w:tcPr>
          <w:p w14:paraId="5C1F6D75">
            <w:pPr>
              <w:numPr>
                <w:ilvl w:val="0"/>
                <w:numId w:val="0"/>
              </w:numPr>
              <w:adjustRightInd w:val="0"/>
              <w:snapToGrid w:val="0"/>
              <w:spacing w:line="240" w:lineRule="auto"/>
              <w:jc w:val="center"/>
              <w:rPr>
                <w:color w:val="auto"/>
                <w:highlight w:val="none"/>
              </w:rPr>
            </w:pPr>
            <w:r>
              <w:rPr>
                <w:rFonts w:hint="default" w:ascii="Times New Roman" w:hAnsi="Times New Roman" w:eastAsia="宋体" w:cs="Times New Roman"/>
                <w:b/>
                <w:bCs w:val="0"/>
                <w:color w:val="auto"/>
                <w:sz w:val="21"/>
                <w:szCs w:val="21"/>
                <w:highlight w:val="none"/>
                <w:lang w:val="en-US" w:eastAsia="zh-CN"/>
              </w:rPr>
              <w:t>表2-</w:t>
            </w:r>
            <w:r>
              <w:rPr>
                <w:rFonts w:hint="eastAsia" w:cs="Times New Roman"/>
                <w:b/>
                <w:bCs w:val="0"/>
                <w:color w:val="auto"/>
                <w:sz w:val="21"/>
                <w:szCs w:val="21"/>
                <w:highlight w:val="none"/>
                <w:lang w:val="en-US" w:eastAsia="zh-CN"/>
              </w:rPr>
              <w:t xml:space="preserve">3 </w:t>
            </w:r>
            <w:r>
              <w:rPr>
                <w:rFonts w:hint="eastAsia" w:ascii="Times New Roman" w:hAnsi="Times New Roman" w:eastAsia="宋体" w:cs="Times New Roman"/>
                <w:b/>
                <w:bCs w:val="0"/>
                <w:color w:val="auto"/>
                <w:sz w:val="21"/>
                <w:szCs w:val="21"/>
                <w:highlight w:val="none"/>
                <w:lang w:val="zh-CN" w:eastAsia="zh-CN"/>
              </w:rPr>
              <w:t>RDF固体废物衍生燃料</w:t>
            </w:r>
            <w:r>
              <w:rPr>
                <w:rFonts w:hint="eastAsia" w:ascii="Times New Roman" w:hAnsi="Times New Roman" w:eastAsia="宋体" w:cs="Times New Roman"/>
                <w:b/>
                <w:bCs w:val="0"/>
                <w:color w:val="auto"/>
                <w:sz w:val="21"/>
                <w:szCs w:val="21"/>
                <w:highlight w:val="none"/>
                <w:lang w:val="en-US" w:eastAsia="zh-CN"/>
              </w:rPr>
              <w:t>生产线原辅料</w:t>
            </w:r>
            <w:r>
              <w:rPr>
                <w:rFonts w:hint="default" w:ascii="Times New Roman" w:hAnsi="Times New Roman" w:eastAsia="宋体" w:cs="Times New Roman"/>
                <w:b/>
                <w:bCs w:val="0"/>
                <w:color w:val="auto"/>
                <w:sz w:val="21"/>
                <w:szCs w:val="21"/>
                <w:highlight w:val="none"/>
                <w:lang w:val="en-US" w:eastAsia="zh-CN"/>
              </w:rPr>
              <w:t>一览表</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0" w:type="dxa"/>
              </w:tblCellMar>
            </w:tblPr>
            <w:tblGrid>
              <w:gridCol w:w="510"/>
              <w:gridCol w:w="905"/>
              <w:gridCol w:w="992"/>
              <w:gridCol w:w="1174"/>
              <w:gridCol w:w="86"/>
              <w:gridCol w:w="3285"/>
              <w:gridCol w:w="945"/>
              <w:gridCol w:w="1185"/>
              <w:gridCol w:w="2415"/>
              <w:gridCol w:w="1500"/>
            </w:tblGrid>
            <w:tr w14:paraId="5D35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3508F78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val="en-US" w:eastAsia="zh-CN"/>
                    </w:rPr>
                  </w:pPr>
                  <w:r>
                    <w:rPr>
                      <w:rFonts w:hint="eastAsia" w:ascii="Times New Roman" w:hAnsi="Times New Roman" w:eastAsia="Arial" w:cs="Times New Roman"/>
                      <w:b/>
                      <w:bCs/>
                      <w:color w:val="auto"/>
                      <w:highlight w:val="none"/>
                      <w:lang w:val="en-US" w:eastAsia="zh-CN"/>
                    </w:rPr>
                    <w:t>序号</w:t>
                  </w:r>
                </w:p>
              </w:tc>
              <w:tc>
                <w:tcPr>
                  <w:tcW w:w="348" w:type="pct"/>
                  <w:vAlign w:val="center"/>
                </w:tcPr>
                <w:p w14:paraId="6A3C6B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废物种类</w:t>
                  </w:r>
                </w:p>
              </w:tc>
              <w:tc>
                <w:tcPr>
                  <w:tcW w:w="381" w:type="pct"/>
                  <w:vAlign w:val="center"/>
                </w:tcPr>
                <w:p w14:paraId="2AFF78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行业来源</w:t>
                  </w:r>
                </w:p>
              </w:tc>
              <w:tc>
                <w:tcPr>
                  <w:tcW w:w="484" w:type="pct"/>
                  <w:gridSpan w:val="2"/>
                  <w:vAlign w:val="center"/>
                </w:tcPr>
                <w:p w14:paraId="25B5099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废物代码</w:t>
                  </w:r>
                </w:p>
              </w:tc>
              <w:tc>
                <w:tcPr>
                  <w:tcW w:w="1263" w:type="pct"/>
                  <w:vAlign w:val="center"/>
                </w:tcPr>
                <w:p w14:paraId="57C490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固体废物名称</w:t>
                  </w:r>
                </w:p>
              </w:tc>
              <w:tc>
                <w:tcPr>
                  <w:tcW w:w="363" w:type="pct"/>
                  <w:vAlign w:val="center"/>
                </w:tcPr>
                <w:p w14:paraId="1A5327F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年收集量</w:t>
                  </w:r>
                </w:p>
                <w:p w14:paraId="55A1682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b/>
                      <w:bCs/>
                      <w:color w:val="auto"/>
                      <w:highlight w:val="none"/>
                      <w:lang w:eastAsia="zh-CN"/>
                    </w:rPr>
                  </w:pPr>
                  <w:r>
                    <w:rPr>
                      <w:rFonts w:hint="eastAsia" w:eastAsia="Arial" w:cs="Times New Roman"/>
                      <w:b/>
                      <w:bCs/>
                      <w:color w:val="auto"/>
                      <w:highlight w:val="none"/>
                      <w:lang w:eastAsia="zh-CN"/>
                    </w:rPr>
                    <w:t>（</w:t>
                  </w:r>
                  <w:r>
                    <w:rPr>
                      <w:rFonts w:hint="default" w:ascii="Times New Roman" w:hAnsi="Times New Roman" w:eastAsia="Arial" w:cs="Times New Roman"/>
                      <w:b/>
                      <w:bCs/>
                      <w:color w:val="auto"/>
                      <w:highlight w:val="none"/>
                      <w:lang w:eastAsia="zh-CN"/>
                    </w:rPr>
                    <w:t>t/a</w:t>
                  </w:r>
                  <w:r>
                    <w:rPr>
                      <w:rFonts w:hint="eastAsia" w:eastAsia="Arial" w:cs="Times New Roman"/>
                      <w:b/>
                      <w:bCs/>
                      <w:color w:val="auto"/>
                      <w:highlight w:val="none"/>
                      <w:lang w:eastAsia="zh-CN"/>
                    </w:rPr>
                    <w:t>）</w:t>
                  </w:r>
                </w:p>
              </w:tc>
              <w:tc>
                <w:tcPr>
                  <w:tcW w:w="455" w:type="pct"/>
                  <w:vAlign w:val="center"/>
                </w:tcPr>
                <w:p w14:paraId="22774D6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color w:val="auto"/>
                      <w:sz w:val="21"/>
                      <w:szCs w:val="21"/>
                      <w:highlight w:val="none"/>
                      <w:lang w:val="en-US" w:eastAsia="zh-CN"/>
                    </w:rPr>
                    <w:t>最大暂存量</w:t>
                  </w:r>
                </w:p>
                <w:p w14:paraId="63F7ACE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b/>
                      <w:bCs/>
                      <w:color w:val="auto"/>
                      <w:highlight w:val="none"/>
                      <w:lang w:eastAsia="zh-CN"/>
                    </w:rPr>
                  </w:pPr>
                  <w:r>
                    <w:rPr>
                      <w:rFonts w:hint="eastAsia" w:cs="Times New Roman"/>
                      <w:b/>
                      <w:color w:val="auto"/>
                      <w:sz w:val="21"/>
                      <w:szCs w:val="21"/>
                      <w:highlight w:val="none"/>
                      <w:lang w:val="en-US" w:eastAsia="zh-CN"/>
                    </w:rPr>
                    <w:t>（</w:t>
                  </w:r>
                  <w:r>
                    <w:rPr>
                      <w:rFonts w:hint="eastAsia" w:ascii="Times New Roman" w:hAnsi="Times New Roman" w:eastAsia="宋体" w:cs="Times New Roman"/>
                      <w:b/>
                      <w:color w:val="auto"/>
                      <w:sz w:val="21"/>
                      <w:szCs w:val="21"/>
                      <w:highlight w:val="none"/>
                      <w:lang w:val="en-US" w:eastAsia="zh-CN"/>
                    </w:rPr>
                    <w:t>t/a</w:t>
                  </w:r>
                  <w:r>
                    <w:rPr>
                      <w:rFonts w:hint="eastAsia" w:cs="Times New Roman"/>
                      <w:b/>
                      <w:color w:val="auto"/>
                      <w:sz w:val="21"/>
                      <w:szCs w:val="21"/>
                      <w:highlight w:val="none"/>
                      <w:lang w:val="en-US" w:eastAsia="zh-CN"/>
                    </w:rPr>
                    <w:t>）</w:t>
                  </w:r>
                </w:p>
              </w:tc>
              <w:tc>
                <w:tcPr>
                  <w:tcW w:w="929" w:type="pct"/>
                  <w:vAlign w:val="center"/>
                </w:tcPr>
                <w:p w14:paraId="6C17FF4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val="en-US" w:eastAsia="zh-CN"/>
                    </w:rPr>
                  </w:pPr>
                  <w:r>
                    <w:rPr>
                      <w:rFonts w:hint="eastAsia" w:ascii="Times New Roman" w:hAnsi="Times New Roman" w:cs="Times New Roman"/>
                      <w:b/>
                      <w:bCs/>
                      <w:color w:val="auto"/>
                      <w:highlight w:val="none"/>
                      <w:lang w:val="en-US" w:eastAsia="zh-CN"/>
                    </w:rPr>
                    <w:t>理化性质</w:t>
                  </w:r>
                </w:p>
              </w:tc>
              <w:tc>
                <w:tcPr>
                  <w:tcW w:w="577" w:type="pct"/>
                  <w:vAlign w:val="center"/>
                </w:tcPr>
                <w:p w14:paraId="1C912F4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b/>
                      <w:bCs/>
                      <w:color w:val="auto"/>
                      <w:highlight w:val="none"/>
                      <w:lang w:val="en-US" w:eastAsia="zh-CN"/>
                    </w:rPr>
                  </w:pPr>
                  <w:r>
                    <w:rPr>
                      <w:rFonts w:hint="eastAsia" w:cs="Times New Roman"/>
                      <w:b/>
                      <w:bCs/>
                      <w:color w:val="auto"/>
                      <w:highlight w:val="none"/>
                      <w:lang w:val="en-US" w:eastAsia="zh-CN"/>
                    </w:rPr>
                    <w:t>备注</w:t>
                  </w:r>
                </w:p>
              </w:tc>
            </w:tr>
            <w:tr w14:paraId="5EB8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5000" w:type="pct"/>
                  <w:gridSpan w:val="10"/>
                  <w:vAlign w:val="center"/>
                </w:tcPr>
                <w:p w14:paraId="4FBE02B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cs="Times New Roman"/>
                      <w:bCs/>
                      <w:color w:val="auto"/>
                      <w:kern w:val="2"/>
                      <w:sz w:val="21"/>
                      <w:szCs w:val="21"/>
                      <w:highlight w:val="none"/>
                      <w:lang w:val="en-US" w:eastAsia="zh-CN" w:bidi="ar-SA"/>
                    </w:rPr>
                  </w:pPr>
                  <w:r>
                    <w:rPr>
                      <w:rFonts w:hint="default" w:ascii="Times New Roman" w:hAnsi="Times New Roman" w:eastAsia="Arial" w:cs="Times New Roman"/>
                      <w:b/>
                      <w:bCs/>
                      <w:color w:val="auto"/>
                      <w:highlight w:val="none"/>
                      <w:lang w:eastAsia="zh-CN"/>
                    </w:rPr>
                    <w:t>工业固体废物</w:t>
                  </w:r>
                </w:p>
              </w:tc>
            </w:tr>
            <w:tr w14:paraId="1F3B1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67706E3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w:t>
                  </w:r>
                </w:p>
                <w:p w14:paraId="68221D3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restart"/>
                  <w:vAlign w:val="center"/>
                </w:tcPr>
                <w:p w14:paraId="517B374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SW14</w:t>
                  </w:r>
                </w:p>
                <w:p w14:paraId="7AAD32B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纺织皮革业废物</w:t>
                  </w:r>
                </w:p>
                <w:p w14:paraId="10704C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Align w:val="center"/>
                </w:tcPr>
                <w:p w14:paraId="1494495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机织服装制造</w:t>
                  </w:r>
                </w:p>
              </w:tc>
              <w:tc>
                <w:tcPr>
                  <w:tcW w:w="484" w:type="pct"/>
                  <w:gridSpan w:val="2"/>
                  <w:vAlign w:val="center"/>
                </w:tcPr>
                <w:p w14:paraId="17CD6D5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181-001-S14</w:t>
                  </w:r>
                </w:p>
              </w:tc>
              <w:tc>
                <w:tcPr>
                  <w:tcW w:w="1263" w:type="pct"/>
                  <w:vAlign w:val="center"/>
                </w:tcPr>
                <w:p w14:paraId="155AA0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废丝。制丝过程中缫丝时产生的废丝。</w:t>
                  </w:r>
                </w:p>
              </w:tc>
              <w:tc>
                <w:tcPr>
                  <w:tcW w:w="363" w:type="pct"/>
                  <w:vAlign w:val="center"/>
                </w:tcPr>
                <w:p w14:paraId="5E0FA14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2500</w:t>
                  </w:r>
                </w:p>
              </w:tc>
              <w:tc>
                <w:tcPr>
                  <w:tcW w:w="455" w:type="pct"/>
                  <w:vAlign w:val="center"/>
                </w:tcPr>
                <w:p w14:paraId="6ED2A384">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167</w:t>
                  </w:r>
                </w:p>
              </w:tc>
              <w:tc>
                <w:tcPr>
                  <w:tcW w:w="929" w:type="pct"/>
                  <w:vAlign w:val="center"/>
                </w:tcPr>
                <w:p w14:paraId="4CE41D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cs="Times New Roman"/>
                      <w:bCs/>
                      <w:color w:val="auto"/>
                      <w:kern w:val="2"/>
                      <w:sz w:val="21"/>
                      <w:szCs w:val="21"/>
                      <w:highlight w:val="none"/>
                      <w:lang w:val="en-US" w:eastAsia="zh-CN" w:bidi="ar-SA"/>
                    </w:rPr>
                    <w:t>主要</w:t>
                  </w:r>
                  <w:r>
                    <w:rPr>
                      <w:rFonts w:hint="default" w:ascii="Times New Roman" w:hAnsi="Times New Roman" w:eastAsia="宋体" w:cs="Times New Roman"/>
                      <w:bCs/>
                      <w:color w:val="auto"/>
                      <w:kern w:val="2"/>
                      <w:sz w:val="21"/>
                      <w:szCs w:val="21"/>
                      <w:highlight w:val="none"/>
                      <w:lang w:val="en-US" w:eastAsia="zh-CN" w:bidi="ar-SA"/>
                    </w:rPr>
                    <w:t>为纤维碎屑，成分含棉、化纤等，易燃，有一定吸湿性，密度与原纤维相近，无毒性但易扬尘。</w:t>
                  </w:r>
                </w:p>
              </w:tc>
              <w:tc>
                <w:tcPr>
                  <w:tcW w:w="577" w:type="pct"/>
                  <w:vAlign w:val="center"/>
                </w:tcPr>
                <w:p w14:paraId="3EE1FB58">
                  <w:pPr>
                    <w:keepNext w:val="0"/>
                    <w:keepLines w:val="0"/>
                    <w:pageBreakBefore w:val="0"/>
                    <w:widowControl/>
                    <w:kinsoku/>
                    <w:wordWrap/>
                    <w:overflowPunct w:val="0"/>
                    <w:topLinePunct w:val="0"/>
                    <w:autoSpaceDE w:val="0"/>
                    <w:autoSpaceDN w:val="0"/>
                    <w:bidi w:val="0"/>
                    <w:adjustRightInd w:val="0"/>
                    <w:snapToGrid/>
                    <w:spacing w:line="240" w:lineRule="auto"/>
                    <w:ind w:left="0" w:right="0"/>
                    <w:jc w:val="center"/>
                    <w:textAlignment w:val="baseline"/>
                    <w:rPr>
                      <w:rFonts w:hint="default"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w:t>
                  </w:r>
                </w:p>
              </w:tc>
            </w:tr>
            <w:tr w14:paraId="68F3A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39F676D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454D4F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restart"/>
                  <w:vAlign w:val="center"/>
                </w:tcPr>
                <w:p w14:paraId="390C931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皮革鞣制加工</w:t>
                  </w:r>
                </w:p>
              </w:tc>
              <w:tc>
                <w:tcPr>
                  <w:tcW w:w="484" w:type="pct"/>
                  <w:gridSpan w:val="2"/>
                  <w:vAlign w:val="center"/>
                </w:tcPr>
                <w:p w14:paraId="327295C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191-001-S14</w:t>
                  </w:r>
                </w:p>
              </w:tc>
              <w:tc>
                <w:tcPr>
                  <w:tcW w:w="1263" w:type="pct"/>
                  <w:vAlign w:val="center"/>
                </w:tcPr>
                <w:p w14:paraId="44989F9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革屑和革灰。在皮革整饰工段产生的磨革固体废物。</w:t>
                  </w:r>
                </w:p>
              </w:tc>
              <w:tc>
                <w:tcPr>
                  <w:tcW w:w="363" w:type="pct"/>
                  <w:vAlign w:val="center"/>
                </w:tcPr>
                <w:p w14:paraId="7D0D210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7000</w:t>
                  </w:r>
                </w:p>
              </w:tc>
              <w:tc>
                <w:tcPr>
                  <w:tcW w:w="455" w:type="pct"/>
                  <w:vAlign w:val="center"/>
                </w:tcPr>
                <w:p w14:paraId="26898A06">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467</w:t>
                  </w:r>
                </w:p>
              </w:tc>
              <w:tc>
                <w:tcPr>
                  <w:tcW w:w="929" w:type="pct"/>
                  <w:vAlign w:val="center"/>
                </w:tcPr>
                <w:p w14:paraId="22E7988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eastAsia="宋体" w:cs="Times New Roman"/>
                      <w:color w:val="auto"/>
                      <w:highlight w:val="none"/>
                      <w:lang w:eastAsia="zh-CN"/>
                    </w:rPr>
                  </w:pPr>
                  <w:r>
                    <w:rPr>
                      <w:rFonts w:hint="eastAsia" w:cs="Times New Roman"/>
                      <w:bCs/>
                      <w:color w:val="auto"/>
                      <w:kern w:val="2"/>
                      <w:sz w:val="21"/>
                      <w:szCs w:val="21"/>
                      <w:highlight w:val="none"/>
                      <w:lang w:val="en-US" w:eastAsia="zh-CN" w:bidi="ar-SA"/>
                    </w:rPr>
                    <w:t>主要</w:t>
                  </w:r>
                  <w:r>
                    <w:rPr>
                      <w:rFonts w:hint="default" w:ascii="Times New Roman" w:hAnsi="Times New Roman" w:eastAsia="宋体" w:cs="Times New Roman"/>
                      <w:bCs/>
                      <w:color w:val="auto"/>
                      <w:kern w:val="2"/>
                      <w:sz w:val="21"/>
                      <w:szCs w:val="21"/>
                      <w:highlight w:val="none"/>
                      <w:lang w:val="en-US" w:eastAsia="zh-CN" w:bidi="ar-SA"/>
                    </w:rPr>
                    <w:t>为片状</w:t>
                  </w:r>
                  <w:r>
                    <w:rPr>
                      <w:rFonts w:hint="eastAsia" w:cs="Times New Roman"/>
                      <w:bCs/>
                      <w:color w:val="auto"/>
                      <w:kern w:val="2"/>
                      <w:sz w:val="21"/>
                      <w:szCs w:val="21"/>
                      <w:highlight w:val="none"/>
                      <w:lang w:val="en-US" w:eastAsia="zh-CN" w:bidi="ar-SA"/>
                    </w:rPr>
                    <w:t>或</w:t>
                  </w:r>
                  <w:r>
                    <w:rPr>
                      <w:rFonts w:hint="default" w:ascii="Times New Roman" w:hAnsi="Times New Roman" w:eastAsia="宋体" w:cs="Times New Roman"/>
                      <w:bCs/>
                      <w:color w:val="auto"/>
                      <w:kern w:val="2"/>
                      <w:sz w:val="21"/>
                      <w:szCs w:val="21"/>
                      <w:highlight w:val="none"/>
                      <w:lang w:val="en-US" w:eastAsia="zh-CN" w:bidi="ar-SA"/>
                    </w:rPr>
                    <w:t>碎屑，革灰呈粉末状，多含胶原蛋白，有吸湿性，易燃，无毒性</w:t>
                  </w:r>
                  <w:r>
                    <w:rPr>
                      <w:rFonts w:hint="eastAsia" w:ascii="Segoe UI" w:hAnsi="Segoe UI" w:eastAsia="宋体" w:cs="Segoe UI"/>
                      <w:i w:val="0"/>
                      <w:iCs w:val="0"/>
                      <w:caps w:val="0"/>
                      <w:color w:val="auto"/>
                      <w:spacing w:val="0"/>
                      <w:sz w:val="24"/>
                      <w:szCs w:val="24"/>
                      <w:highlight w:val="none"/>
                      <w:shd w:val="clear" w:fill="FFFFFF"/>
                      <w:lang w:eastAsia="zh-CN"/>
                    </w:rPr>
                    <w:t>。</w:t>
                  </w:r>
                </w:p>
              </w:tc>
              <w:tc>
                <w:tcPr>
                  <w:tcW w:w="577" w:type="pct"/>
                  <w:vAlign w:val="center"/>
                </w:tcPr>
                <w:p w14:paraId="5F12035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w:t>
                  </w:r>
                </w:p>
              </w:tc>
            </w:tr>
            <w:tr w14:paraId="79B05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529A83F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35FCEF8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4E8413A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3BF31B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191-002-S14</w:t>
                  </w:r>
                </w:p>
              </w:tc>
              <w:tc>
                <w:tcPr>
                  <w:tcW w:w="1263" w:type="pct"/>
                  <w:vAlign w:val="center"/>
                </w:tcPr>
                <w:p w14:paraId="1271ECD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废弃动物毛。在皮革脱毛工序中产生的废弃牛毛和猪毛等（羊皮加工中脱毛工序产生的完整羊毛除外）。</w:t>
                  </w:r>
                </w:p>
              </w:tc>
              <w:tc>
                <w:tcPr>
                  <w:tcW w:w="363" w:type="pct"/>
                  <w:vAlign w:val="center"/>
                </w:tcPr>
                <w:p w14:paraId="02FF1DA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w:t>
                  </w:r>
                </w:p>
              </w:tc>
              <w:tc>
                <w:tcPr>
                  <w:tcW w:w="455" w:type="pct"/>
                  <w:vAlign w:val="center"/>
                </w:tcPr>
                <w:p w14:paraId="435C034B">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w:t>
                  </w:r>
                </w:p>
              </w:tc>
              <w:tc>
                <w:tcPr>
                  <w:tcW w:w="929" w:type="pct"/>
                  <w:vAlign w:val="center"/>
                </w:tcPr>
                <w:p w14:paraId="7FDB0A1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val="en-US" w:eastAsia="zh-CN"/>
                    </w:rPr>
                  </w:pPr>
                  <w:r>
                    <w:rPr>
                      <w:rFonts w:hint="eastAsia" w:cs="Times New Roman"/>
                      <w:bCs/>
                      <w:color w:val="auto"/>
                      <w:kern w:val="2"/>
                      <w:sz w:val="21"/>
                      <w:szCs w:val="21"/>
                      <w:highlight w:val="none"/>
                      <w:lang w:val="en-US" w:eastAsia="zh-CN" w:bidi="ar-SA"/>
                    </w:rPr>
                    <w:t>呈纤维状，含角蛋白，有吸湿性、弹性，易燃，无毒性。</w:t>
                  </w:r>
                </w:p>
              </w:tc>
              <w:tc>
                <w:tcPr>
                  <w:tcW w:w="577" w:type="pct"/>
                  <w:vAlign w:val="center"/>
                </w:tcPr>
                <w:p w14:paraId="234B9C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cs="Times New Roman"/>
                      <w:bCs/>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禁止混入动物腐肉</w:t>
                  </w:r>
                </w:p>
              </w:tc>
            </w:tr>
            <w:tr w14:paraId="5BD0E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37B13F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478E35D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Align w:val="center"/>
                </w:tcPr>
                <w:p w14:paraId="240ED2E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非特定行业</w:t>
                  </w:r>
                </w:p>
              </w:tc>
              <w:tc>
                <w:tcPr>
                  <w:tcW w:w="484" w:type="pct"/>
                  <w:gridSpan w:val="2"/>
                  <w:vAlign w:val="center"/>
                </w:tcPr>
                <w:p w14:paraId="67BDA20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900-099-S14</w:t>
                  </w:r>
                </w:p>
              </w:tc>
              <w:tc>
                <w:tcPr>
                  <w:tcW w:w="1263" w:type="pct"/>
                  <w:vAlign w:val="center"/>
                </w:tcPr>
                <w:p w14:paraId="0542F07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其他纺织皮革业废物。纺织皮革品加工过程中产生的其他固体废物。</w:t>
                  </w:r>
                </w:p>
              </w:tc>
              <w:tc>
                <w:tcPr>
                  <w:tcW w:w="363" w:type="pct"/>
                  <w:vAlign w:val="center"/>
                </w:tcPr>
                <w:p w14:paraId="073010B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cs="Times New Roman"/>
                      <w:color w:val="auto"/>
                      <w:highlight w:val="none"/>
                      <w:lang w:val="en-US" w:eastAsia="zh-CN"/>
                    </w:rPr>
                    <w:t>12000</w:t>
                  </w:r>
                </w:p>
              </w:tc>
              <w:tc>
                <w:tcPr>
                  <w:tcW w:w="455" w:type="pct"/>
                  <w:vAlign w:val="center"/>
                </w:tcPr>
                <w:p w14:paraId="6E385FD8">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800</w:t>
                  </w:r>
                </w:p>
              </w:tc>
              <w:tc>
                <w:tcPr>
                  <w:tcW w:w="929" w:type="pct"/>
                  <w:vAlign w:val="center"/>
                </w:tcPr>
                <w:p w14:paraId="1045C98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10B1C18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0B4B0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3E26811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2</w:t>
                  </w:r>
                </w:p>
              </w:tc>
              <w:tc>
                <w:tcPr>
                  <w:tcW w:w="348" w:type="pct"/>
                  <w:vMerge w:val="restart"/>
                  <w:vAlign w:val="center"/>
                </w:tcPr>
                <w:p w14:paraId="29BE273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SW15</w:t>
                  </w:r>
                </w:p>
                <w:p w14:paraId="0289AE1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造纸印刷业废物</w:t>
                  </w:r>
                </w:p>
                <w:p w14:paraId="392C4B4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restart"/>
                  <w:vAlign w:val="center"/>
                </w:tcPr>
                <w:p w14:paraId="7AC369E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纸浆制造</w:t>
                  </w:r>
                </w:p>
              </w:tc>
              <w:tc>
                <w:tcPr>
                  <w:tcW w:w="484" w:type="pct"/>
                  <w:gridSpan w:val="2"/>
                  <w:vAlign w:val="center"/>
                </w:tcPr>
                <w:p w14:paraId="35C2ADB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221-001-S15</w:t>
                  </w:r>
                </w:p>
              </w:tc>
              <w:tc>
                <w:tcPr>
                  <w:tcW w:w="1263" w:type="pct"/>
                  <w:vAlign w:val="center"/>
                </w:tcPr>
                <w:p w14:paraId="5247365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碎浆废物。在废纸碎浆生产工艺中产生的固体废物，包括砂、石、金属等重杂质及绳索、破布条、塑料等杂质。</w:t>
                  </w:r>
                </w:p>
              </w:tc>
              <w:tc>
                <w:tcPr>
                  <w:tcW w:w="363" w:type="pct"/>
                  <w:vAlign w:val="center"/>
                </w:tcPr>
                <w:p w14:paraId="3186D75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753F441E">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780CF69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cs="Times New Roman"/>
                      <w:bCs/>
                      <w:color w:val="auto"/>
                      <w:kern w:val="2"/>
                      <w:sz w:val="21"/>
                      <w:szCs w:val="21"/>
                      <w:highlight w:val="none"/>
                      <w:lang w:val="en-US" w:eastAsia="zh-CN" w:bidi="ar-SA"/>
                    </w:rPr>
                    <w:t>纸浆制造碎浆废物多为纤维残渣，含少量木质素，呈絮状或碎屑，吸湿性强，易燃，无毒性。</w:t>
                  </w:r>
                </w:p>
              </w:tc>
              <w:tc>
                <w:tcPr>
                  <w:tcW w:w="577" w:type="pct"/>
                  <w:vAlign w:val="center"/>
                </w:tcPr>
                <w:p w14:paraId="2B841C8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eastAsia" w:cs="Times New Roman"/>
                      <w:bCs/>
                      <w:color w:val="auto"/>
                      <w:kern w:val="2"/>
                      <w:sz w:val="21"/>
                      <w:szCs w:val="21"/>
                      <w:highlight w:val="none"/>
                      <w:lang w:val="en-US" w:eastAsia="zh-CN" w:bidi="ar-SA"/>
                    </w:rPr>
                    <w:t>/</w:t>
                  </w:r>
                </w:p>
              </w:tc>
            </w:tr>
            <w:tr w14:paraId="06152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4ED9B7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3ED098A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7D95DC6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7934F1F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221-003-S15</w:t>
                  </w:r>
                </w:p>
              </w:tc>
              <w:tc>
                <w:tcPr>
                  <w:tcW w:w="1263" w:type="pct"/>
                  <w:vAlign w:val="center"/>
                </w:tcPr>
                <w:p w14:paraId="7C2E85D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筛浆废物。在筛浆生产工艺中产生的固体废物，包括胶黏剂、塑料碎片、流失纤维等杂质颗粒。</w:t>
                  </w:r>
                </w:p>
              </w:tc>
              <w:tc>
                <w:tcPr>
                  <w:tcW w:w="363" w:type="pct"/>
                  <w:vAlign w:val="center"/>
                </w:tcPr>
                <w:p w14:paraId="298A042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34C65575">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37611D0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val="en-US" w:eastAsia="zh-CN"/>
                    </w:rPr>
                  </w:pPr>
                  <w:r>
                    <w:rPr>
                      <w:rFonts w:hint="eastAsia" w:cs="Times New Roman"/>
                      <w:bCs/>
                      <w:color w:val="auto"/>
                      <w:kern w:val="2"/>
                      <w:sz w:val="21"/>
                      <w:szCs w:val="21"/>
                      <w:highlight w:val="none"/>
                      <w:lang w:val="en-US" w:eastAsia="zh-CN" w:bidi="ar-SA"/>
                    </w:rPr>
                    <w:t>多为粗硬杂质，含木屑、泥沙等，呈颗粒或碎屑状，吸湿性较差，不易燃，无毒性。</w:t>
                  </w:r>
                </w:p>
              </w:tc>
              <w:tc>
                <w:tcPr>
                  <w:tcW w:w="577" w:type="pct"/>
                  <w:vAlign w:val="center"/>
                </w:tcPr>
                <w:p w14:paraId="4DFC169D">
                  <w:pPr>
                    <w:keepNext w:val="0"/>
                    <w:keepLines w:val="0"/>
                    <w:pageBreakBefore w:val="0"/>
                    <w:widowControl/>
                    <w:suppressLineNumbers w:val="0"/>
                    <w:kinsoku/>
                    <w:wordWrap w:val="0"/>
                    <w:overflowPunct w:val="0"/>
                    <w:topLinePunct w:val="0"/>
                    <w:autoSpaceDE/>
                    <w:autoSpaceDN/>
                    <w:bidi w:val="0"/>
                    <w:adjustRightInd/>
                    <w:snapToGrid/>
                    <w:jc w:val="both"/>
                    <w:textAlignment w:val="auto"/>
                    <w:rPr>
                      <w:rFonts w:hint="eastAsia" w:ascii="Times New Roman" w:hAnsi="Times New Roman" w:cs="Times New Roman"/>
                      <w:color w:val="auto"/>
                      <w:highlight w:val="none"/>
                      <w:lang w:val="en-US" w:eastAsia="zh-CN"/>
                    </w:rPr>
                  </w:pPr>
                  <w:r>
                    <w:rPr>
                      <w:rFonts w:hint="eastAsia" w:ascii="Times New Roman" w:hAnsi="Times New Roman" w:eastAsia="宋体" w:cs="Times New Roman"/>
                      <w:color w:val="auto"/>
                      <w:highlight w:val="none"/>
                      <w:lang w:val="en-US" w:eastAsia="zh-CN"/>
                    </w:rPr>
                    <w:t>禁止混入粘合剂和密封剂（水基型和热熔型粘合剂和密封剂除外）类危险废物</w:t>
                  </w:r>
                </w:p>
              </w:tc>
            </w:tr>
            <w:tr w14:paraId="6FCF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416EA0E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5C676D2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1D167A7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0264A55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221-004-S15</w:t>
                  </w:r>
                </w:p>
              </w:tc>
              <w:tc>
                <w:tcPr>
                  <w:tcW w:w="1263" w:type="pct"/>
                  <w:vAlign w:val="center"/>
                </w:tcPr>
                <w:p w14:paraId="2EB063D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备料废渣。制浆厂在原料的备料工段除尘过程中产生的麦渣、叶渣、树皮、木屑等废渣。</w:t>
                  </w:r>
                </w:p>
              </w:tc>
              <w:tc>
                <w:tcPr>
                  <w:tcW w:w="363" w:type="pct"/>
                  <w:vAlign w:val="center"/>
                </w:tcPr>
                <w:p w14:paraId="4781DC99">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715839CA">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5B8698A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cs="Times New Roman"/>
                      <w:bCs/>
                      <w:color w:val="auto"/>
                      <w:kern w:val="2"/>
                      <w:sz w:val="21"/>
                      <w:szCs w:val="21"/>
                      <w:highlight w:val="none"/>
                      <w:lang w:val="en-US" w:eastAsia="zh-CN" w:bidi="ar-SA"/>
                    </w:rPr>
                    <w:t>多为木屑、树皮等，呈块状或碎屑，含纤维素、木质素，吸湿性较强，易燃，无毒性。</w:t>
                  </w:r>
                </w:p>
              </w:tc>
              <w:tc>
                <w:tcPr>
                  <w:tcW w:w="577" w:type="pct"/>
                  <w:vAlign w:val="center"/>
                </w:tcPr>
                <w:p w14:paraId="0C05A67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1C1E2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15AA434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6AB9936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2AF8C6D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24F2217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221-008-S15</w:t>
                  </w:r>
                </w:p>
              </w:tc>
              <w:tc>
                <w:tcPr>
                  <w:tcW w:w="1263" w:type="pct"/>
                  <w:vAlign w:val="center"/>
                </w:tcPr>
                <w:p w14:paraId="6A5F756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碎浆废渣。在碎浆工段产生的砂石、金属和塑料等。</w:t>
                  </w:r>
                </w:p>
              </w:tc>
              <w:tc>
                <w:tcPr>
                  <w:tcW w:w="363" w:type="pct"/>
                  <w:vAlign w:val="center"/>
                </w:tcPr>
                <w:p w14:paraId="0C5E0CB8">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2B5E9692">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6E85412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cs="Times New Roman"/>
                      <w:bCs/>
                      <w:color w:val="auto"/>
                      <w:kern w:val="2"/>
                      <w:sz w:val="21"/>
                      <w:szCs w:val="21"/>
                      <w:highlight w:val="none"/>
                      <w:lang w:val="en-US" w:eastAsia="zh-CN" w:bidi="ar-SA"/>
                    </w:rPr>
                    <w:t>多为纤维残渣、少量油墨或填料，呈絮状或碎屑，吸湿性强，易燃，无毒性。</w:t>
                  </w:r>
                </w:p>
              </w:tc>
              <w:tc>
                <w:tcPr>
                  <w:tcW w:w="577" w:type="pct"/>
                  <w:vAlign w:val="center"/>
                </w:tcPr>
                <w:p w14:paraId="410141F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1B478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0945D0D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1F058DF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Align w:val="center"/>
                </w:tcPr>
                <w:p w14:paraId="0AE69BD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造纸</w:t>
                  </w:r>
                </w:p>
              </w:tc>
              <w:tc>
                <w:tcPr>
                  <w:tcW w:w="484" w:type="pct"/>
                  <w:gridSpan w:val="2"/>
                  <w:vAlign w:val="center"/>
                </w:tcPr>
                <w:p w14:paraId="4BF5A8C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222-001-S15</w:t>
                  </w:r>
                </w:p>
              </w:tc>
              <w:tc>
                <w:tcPr>
                  <w:tcW w:w="1263" w:type="pct"/>
                  <w:vAlign w:val="center"/>
                </w:tcPr>
                <w:p w14:paraId="4A65020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造纸备料废渣。木（竹）材备料过程中产生的树皮和木（竹）屑等残渣以及非木材备料过程产生的麦糠、苇叶、蔗髓及砂尘等废料。</w:t>
                  </w:r>
                </w:p>
              </w:tc>
              <w:tc>
                <w:tcPr>
                  <w:tcW w:w="363" w:type="pct"/>
                  <w:vAlign w:val="center"/>
                </w:tcPr>
                <w:p w14:paraId="08067E9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w:t>
                  </w:r>
                </w:p>
              </w:tc>
              <w:tc>
                <w:tcPr>
                  <w:tcW w:w="455" w:type="pct"/>
                  <w:vAlign w:val="center"/>
                </w:tcPr>
                <w:p w14:paraId="57BEE8A7">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w:t>
                  </w:r>
                </w:p>
              </w:tc>
              <w:tc>
                <w:tcPr>
                  <w:tcW w:w="929" w:type="pct"/>
                  <w:vAlign w:val="center"/>
                </w:tcPr>
                <w:p w14:paraId="5248430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cs="Times New Roman"/>
                      <w:bCs/>
                      <w:color w:val="auto"/>
                      <w:kern w:val="2"/>
                      <w:sz w:val="21"/>
                      <w:szCs w:val="21"/>
                      <w:highlight w:val="none"/>
                      <w:lang w:val="en-US" w:eastAsia="zh-CN" w:bidi="ar-SA"/>
                    </w:rPr>
                    <w:t>多为木屑、树皮等，呈块状或碎屑，含纤维素、木质素，吸湿性较强，易燃，无毒性。</w:t>
                  </w:r>
                </w:p>
              </w:tc>
              <w:tc>
                <w:tcPr>
                  <w:tcW w:w="577" w:type="pct"/>
                  <w:vAlign w:val="center"/>
                </w:tcPr>
                <w:p w14:paraId="206135D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31087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2F93956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5374CF6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Align w:val="center"/>
                </w:tcPr>
                <w:p w14:paraId="7049105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印刷</w:t>
                  </w:r>
                </w:p>
              </w:tc>
              <w:tc>
                <w:tcPr>
                  <w:tcW w:w="484" w:type="pct"/>
                  <w:gridSpan w:val="2"/>
                  <w:vAlign w:val="center"/>
                </w:tcPr>
                <w:p w14:paraId="3E03F41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231-001-S15</w:t>
                  </w:r>
                </w:p>
              </w:tc>
              <w:tc>
                <w:tcPr>
                  <w:tcW w:w="1263" w:type="pct"/>
                  <w:vAlign w:val="center"/>
                </w:tcPr>
                <w:p w14:paraId="71950E7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废版。印刷厂在生产过程中产生的废版。</w:t>
                  </w:r>
                </w:p>
              </w:tc>
              <w:tc>
                <w:tcPr>
                  <w:tcW w:w="363" w:type="pct"/>
                  <w:vAlign w:val="center"/>
                </w:tcPr>
                <w:p w14:paraId="68B1DD2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w:t>
                  </w:r>
                </w:p>
              </w:tc>
              <w:tc>
                <w:tcPr>
                  <w:tcW w:w="455" w:type="pct"/>
                  <w:vAlign w:val="center"/>
                </w:tcPr>
                <w:p w14:paraId="3C1D48B4">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w:t>
                  </w:r>
                </w:p>
              </w:tc>
              <w:tc>
                <w:tcPr>
                  <w:tcW w:w="929" w:type="pct"/>
                  <w:vAlign w:val="center"/>
                </w:tcPr>
                <w:p w14:paraId="1F39057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val="en-US" w:eastAsia="zh-CN"/>
                    </w:rPr>
                  </w:pPr>
                  <w:r>
                    <w:rPr>
                      <w:rFonts w:hint="eastAsia" w:cs="Times New Roman"/>
                      <w:bCs/>
                      <w:color w:val="auto"/>
                      <w:kern w:val="2"/>
                      <w:sz w:val="21"/>
                      <w:szCs w:val="21"/>
                      <w:highlight w:val="none"/>
                      <w:lang w:val="en-US" w:eastAsia="zh-CN" w:bidi="ar-SA"/>
                    </w:rPr>
                    <w:t>多为金属（锌、铝）或树脂材质，呈片状，有一定硬度，金属版导电、可回收，树脂版易燃，无毒性。</w:t>
                  </w:r>
                </w:p>
              </w:tc>
              <w:tc>
                <w:tcPr>
                  <w:tcW w:w="577" w:type="pct"/>
                  <w:vAlign w:val="center"/>
                </w:tcPr>
                <w:p w14:paraId="43D32C2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禁止混入</w:t>
                  </w:r>
                  <w:r>
                    <w:rPr>
                      <w:rFonts w:hint="eastAsia" w:ascii="Times New Roman" w:hAnsi="Times New Roman" w:cs="Times New Roman"/>
                      <w:color w:val="auto"/>
                      <w:highlight w:val="none"/>
                      <w:lang w:val="en-US" w:eastAsia="zh-CN"/>
                    </w:rPr>
                    <w:t>沾染</w:t>
                  </w:r>
                  <w:r>
                    <w:rPr>
                      <w:rFonts w:hint="eastAsia" w:ascii="Times New Roman" w:hAnsi="Times New Roman" w:eastAsia="Arial" w:cs="Times New Roman"/>
                      <w:color w:val="auto"/>
                      <w:highlight w:val="none"/>
                      <w:lang w:val="en-US" w:eastAsia="zh-CN"/>
                    </w:rPr>
                    <w:t>显影剂</w:t>
                  </w:r>
                  <w:r>
                    <w:rPr>
                      <w:rFonts w:hint="eastAsia" w:ascii="Times New Roman" w:hAnsi="Times New Roman" w:cs="Times New Roman"/>
                      <w:color w:val="auto"/>
                      <w:highlight w:val="none"/>
                      <w:lang w:val="en-US" w:eastAsia="zh-CN"/>
                    </w:rPr>
                    <w:t>的废版</w:t>
                  </w:r>
                </w:p>
              </w:tc>
            </w:tr>
            <w:tr w14:paraId="02D23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2E3E4FB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20D7A96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Align w:val="center"/>
                </w:tcPr>
                <w:p w14:paraId="5F6605C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非特定行业</w:t>
                  </w:r>
                </w:p>
              </w:tc>
              <w:tc>
                <w:tcPr>
                  <w:tcW w:w="484" w:type="pct"/>
                  <w:gridSpan w:val="2"/>
                  <w:vAlign w:val="center"/>
                </w:tcPr>
                <w:p w14:paraId="67F9B09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900-099-S15</w:t>
                  </w:r>
                </w:p>
              </w:tc>
              <w:tc>
                <w:tcPr>
                  <w:tcW w:w="1263" w:type="pct"/>
                  <w:vAlign w:val="center"/>
                </w:tcPr>
                <w:p w14:paraId="5D3A0BF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其他造纸印刷业废物。造纸印刷过程中产生的其他固体废物。</w:t>
                  </w:r>
                </w:p>
              </w:tc>
              <w:tc>
                <w:tcPr>
                  <w:tcW w:w="363" w:type="pct"/>
                  <w:vAlign w:val="center"/>
                </w:tcPr>
                <w:p w14:paraId="1221E7E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1393E4EA">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15D0404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7F51A7A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68F5D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0985662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3</w:t>
                  </w:r>
                </w:p>
              </w:tc>
              <w:tc>
                <w:tcPr>
                  <w:tcW w:w="348" w:type="pct"/>
                  <w:vMerge w:val="restart"/>
                  <w:vAlign w:val="center"/>
                </w:tcPr>
                <w:p w14:paraId="2842C31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p w14:paraId="0CE9DCE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SW17</w:t>
                  </w:r>
                </w:p>
                <w:p w14:paraId="60F614D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可再生类废物</w:t>
                  </w:r>
                </w:p>
                <w:p w14:paraId="2732D67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restart"/>
                  <w:vAlign w:val="center"/>
                </w:tcPr>
                <w:p w14:paraId="6C58A48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非特定行业</w:t>
                  </w:r>
                </w:p>
              </w:tc>
              <w:tc>
                <w:tcPr>
                  <w:tcW w:w="484" w:type="pct"/>
                  <w:gridSpan w:val="2"/>
                  <w:vAlign w:val="center"/>
                </w:tcPr>
                <w:p w14:paraId="1FAE03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900-003-S17</w:t>
                  </w:r>
                </w:p>
              </w:tc>
              <w:tc>
                <w:tcPr>
                  <w:tcW w:w="1263" w:type="pct"/>
                  <w:vAlign w:val="center"/>
                </w:tcPr>
                <w:p w14:paraId="4C1A5A6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废塑料。工业生产活动中产生的塑料废弃边角料、废弃塑料包装等废物。</w:t>
                  </w:r>
                </w:p>
              </w:tc>
              <w:tc>
                <w:tcPr>
                  <w:tcW w:w="363" w:type="pct"/>
                  <w:vAlign w:val="center"/>
                </w:tcPr>
                <w:p w14:paraId="1BB8765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4521A95B">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518DC3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val="en-US" w:eastAsia="zh-CN"/>
                    </w:rPr>
                  </w:pPr>
                  <w:r>
                    <w:rPr>
                      <w:rFonts w:hint="default" w:ascii="Times New Roman" w:hAnsi="Times New Roman" w:eastAsia="Arial" w:cs="Times New Roman"/>
                      <w:color w:val="auto"/>
                      <w:highlight w:val="none"/>
                      <w:lang w:eastAsia="zh-CN"/>
                    </w:rPr>
                    <w:t>塑料边角料多为块状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碎屑，含PE、PP等树脂，易燃，不溶于水，耐酸碱，难降解；废弃塑料包装</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薄膜</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盒状，成分</w:t>
                  </w:r>
                  <w:r>
                    <w:rPr>
                      <w:rFonts w:hint="eastAsia" w:ascii="Times New Roman" w:hAnsi="Times New Roman" w:eastAsia="Arial" w:cs="Times New Roman"/>
                      <w:color w:val="auto"/>
                      <w:highlight w:val="none"/>
                      <w:lang w:val="en-US" w:eastAsia="zh-CN"/>
                    </w:rPr>
                    <w:t>和理化性质同前。</w:t>
                  </w:r>
                </w:p>
              </w:tc>
              <w:tc>
                <w:tcPr>
                  <w:tcW w:w="577" w:type="pct"/>
                  <w:vAlign w:val="center"/>
                </w:tcPr>
                <w:p w14:paraId="1BFA6D3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4A0E6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7C577A9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0100CF1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1FA61B8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427AAF2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900-005-S17</w:t>
                  </w:r>
                </w:p>
              </w:tc>
              <w:tc>
                <w:tcPr>
                  <w:tcW w:w="1263" w:type="pct"/>
                  <w:vAlign w:val="center"/>
                </w:tcPr>
                <w:p w14:paraId="708A204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废纸。工业生产活动中产生的废纸、废纸质包装、废边角料、残次品等废物。</w:t>
                  </w:r>
                </w:p>
              </w:tc>
              <w:tc>
                <w:tcPr>
                  <w:tcW w:w="363" w:type="pct"/>
                  <w:vAlign w:val="center"/>
                </w:tcPr>
                <w:p w14:paraId="2F050DC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09BC95AD">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2AF4BC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废纸类多为碎屑</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片状，含纤维素，吸湿性强，易燃，易被酸</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碱水解</w:t>
                  </w:r>
                  <w:r>
                    <w:rPr>
                      <w:rFonts w:hint="eastAsia" w:ascii="Times New Roman" w:hAnsi="Times New Roman" w:eastAsia="Arial" w:cs="Times New Roman"/>
                      <w:color w:val="auto"/>
                      <w:highlight w:val="none"/>
                      <w:lang w:eastAsia="zh-CN"/>
                    </w:rPr>
                    <w:t>。</w:t>
                  </w:r>
                </w:p>
              </w:tc>
              <w:tc>
                <w:tcPr>
                  <w:tcW w:w="577" w:type="pct"/>
                  <w:vAlign w:val="center"/>
                </w:tcPr>
                <w:p w14:paraId="52A5489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42CDB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258E66D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0D04D92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432830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77EA168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900-006-S17</w:t>
                  </w:r>
                </w:p>
              </w:tc>
              <w:tc>
                <w:tcPr>
                  <w:tcW w:w="1263" w:type="pct"/>
                  <w:vAlign w:val="center"/>
                </w:tcPr>
                <w:p w14:paraId="58083E7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废橡胶。工业生产活动中产生的包括废轮胎在内的废橡胶制品以及机动车拆解过程中产生的废轮胎和其他废橡胶制品。</w:t>
                  </w:r>
                </w:p>
              </w:tc>
              <w:tc>
                <w:tcPr>
                  <w:tcW w:w="363" w:type="pct"/>
                  <w:vAlign w:val="center"/>
                </w:tcPr>
                <w:p w14:paraId="5A1CA0E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29D7AD22">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228E6ED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多为块状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碎屑，含橡胶烃、炭黑，弹性好，易燃有焦味黑烟，耐酸碱溶剂，高温软化，难降解。</w:t>
                  </w:r>
                </w:p>
              </w:tc>
              <w:tc>
                <w:tcPr>
                  <w:tcW w:w="577" w:type="pct"/>
                  <w:vAlign w:val="center"/>
                </w:tcPr>
                <w:p w14:paraId="013F718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禁止混入沾染油类的废物</w:t>
                  </w:r>
                </w:p>
              </w:tc>
            </w:tr>
            <w:tr w14:paraId="4A92D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03527E1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77ED627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0B8B6CB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7ED751B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900-007-S17</w:t>
                  </w:r>
                </w:p>
              </w:tc>
              <w:tc>
                <w:tcPr>
                  <w:tcW w:w="1263" w:type="pct"/>
                  <w:vAlign w:val="center"/>
                </w:tcPr>
                <w:p w14:paraId="78FE5AC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废纺织品。工业生产活动中产生的废纺织品边角料、残次品等废物。</w:t>
                  </w:r>
                </w:p>
              </w:tc>
              <w:tc>
                <w:tcPr>
                  <w:tcW w:w="363" w:type="pct"/>
                  <w:vAlign w:val="center"/>
                </w:tcPr>
                <w:p w14:paraId="0DCDA7D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eastAsia="Arial" w:cs="Times New Roman"/>
                      <w:color w:val="auto"/>
                      <w:highlight w:val="none"/>
                      <w:lang w:val="en-US" w:eastAsia="zh-CN"/>
                    </w:rPr>
                    <w:t>6000</w:t>
                  </w:r>
                </w:p>
              </w:tc>
              <w:tc>
                <w:tcPr>
                  <w:tcW w:w="455" w:type="pct"/>
                  <w:vAlign w:val="center"/>
                </w:tcPr>
                <w:p w14:paraId="0E6132E1">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400</w:t>
                  </w:r>
                </w:p>
              </w:tc>
              <w:tc>
                <w:tcPr>
                  <w:tcW w:w="929" w:type="pct"/>
                  <w:vAlign w:val="center"/>
                </w:tcPr>
                <w:p w14:paraId="18B288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天然纤维类</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纤维状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/块状，含纤维素</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角蛋白，吸湿易燃，易降解；</w:t>
                  </w:r>
                </w:p>
                <w:p w14:paraId="585843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合成纤维类含聚酯</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尼龙，低吸湿难降解，燃烧有熔融滴落，耐酸碱</w:t>
                  </w:r>
                  <w:r>
                    <w:rPr>
                      <w:rFonts w:hint="eastAsia" w:ascii="Times New Roman" w:hAnsi="Times New Roman" w:eastAsia="Arial" w:cs="Times New Roman"/>
                      <w:color w:val="auto"/>
                      <w:highlight w:val="none"/>
                      <w:lang w:eastAsia="zh-CN"/>
                    </w:rPr>
                    <w:t>。</w:t>
                  </w:r>
                </w:p>
              </w:tc>
              <w:tc>
                <w:tcPr>
                  <w:tcW w:w="577" w:type="pct"/>
                  <w:vAlign w:val="center"/>
                </w:tcPr>
                <w:p w14:paraId="58BAB66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eastAsia="Arial" w:cs="Times New Roman"/>
                      <w:color w:val="auto"/>
                      <w:highlight w:val="none"/>
                      <w:lang w:val="en-US" w:eastAsia="zh-CN"/>
                    </w:rPr>
                    <w:t>/</w:t>
                  </w:r>
                </w:p>
              </w:tc>
            </w:tr>
            <w:tr w14:paraId="58DBF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1769D5A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246FDD3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08D73A3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43E2138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900-009-S17</w:t>
                  </w:r>
                </w:p>
              </w:tc>
              <w:tc>
                <w:tcPr>
                  <w:tcW w:w="1263" w:type="pct"/>
                  <w:vAlign w:val="center"/>
                </w:tcPr>
                <w:p w14:paraId="38C9C9E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废木材。工业生产活动中产生的废木材类边角料、废包装、残次品等废物。</w:t>
                  </w:r>
                </w:p>
              </w:tc>
              <w:tc>
                <w:tcPr>
                  <w:tcW w:w="363" w:type="pct"/>
                  <w:vAlign w:val="center"/>
                </w:tcPr>
                <w:p w14:paraId="4CE5E15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45A99BD6">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58337CC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废木材边角料</w:t>
                  </w:r>
                  <w:r>
                    <w:rPr>
                      <w:rFonts w:hint="eastAsia" w:ascii="Times New Roman" w:hAnsi="Times New Roman" w:eastAsia="Arial" w:cs="Times New Roman"/>
                      <w:color w:val="auto"/>
                      <w:highlight w:val="none"/>
                      <w:lang w:val="en-US" w:eastAsia="zh-CN"/>
                    </w:rPr>
                    <w:t>多</w:t>
                  </w:r>
                  <w:r>
                    <w:rPr>
                      <w:rFonts w:hint="default" w:ascii="Times New Roman" w:hAnsi="Times New Roman" w:eastAsia="Arial" w:cs="Times New Roman"/>
                      <w:color w:val="auto"/>
                      <w:highlight w:val="none"/>
                      <w:lang w:eastAsia="zh-CN"/>
                    </w:rPr>
                    <w:t>块状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碎屑，含纤维素、木质素，吸湿性强，易燃有木焦味，易被微生物腐朽；废木包装</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残次品耐弱酸碱，遇浓酸易水解。</w:t>
                  </w:r>
                </w:p>
              </w:tc>
              <w:tc>
                <w:tcPr>
                  <w:tcW w:w="577" w:type="pct"/>
                  <w:vAlign w:val="center"/>
                </w:tcPr>
                <w:p w14:paraId="1888559D">
                  <w:pPr>
                    <w:keepNext w:val="0"/>
                    <w:keepLines w:val="0"/>
                    <w:pageBreakBefore w:val="0"/>
                    <w:widowControl/>
                    <w:suppressLineNumbers w:val="0"/>
                    <w:kinsoku/>
                    <w:wordWrap w:val="0"/>
                    <w:overflowPunct w:val="0"/>
                    <w:topLinePunct w:val="0"/>
                    <w:autoSpaceDE/>
                    <w:autoSpaceDN/>
                    <w:bidi w:val="0"/>
                    <w:adjustRightInd/>
                    <w:snapToGrid/>
                    <w:jc w:val="both"/>
                    <w:textAlignment w:val="auto"/>
                    <w:rPr>
                      <w:rFonts w:hint="default" w:ascii="Times New Roman" w:hAnsi="Times New Roman" w:eastAsia="Arial" w:cs="Times New Roman"/>
                      <w:color w:val="auto"/>
                      <w:highlight w:val="none"/>
                      <w:lang w:eastAsia="zh-CN"/>
                    </w:rPr>
                  </w:pPr>
                  <w:r>
                    <w:rPr>
                      <w:rFonts w:hint="eastAsia" w:ascii="Times New Roman" w:hAnsi="Times New Roman" w:eastAsia="宋体" w:cs="Times New Roman"/>
                      <w:color w:val="auto"/>
                      <w:highlight w:val="none"/>
                      <w:lang w:val="en-US" w:eastAsia="zh-CN"/>
                    </w:rPr>
                    <w:t>禁止混入粘合剂和密封剂（水基型和热熔型粘合剂和密封剂除外）类危险废物</w:t>
                  </w:r>
                </w:p>
              </w:tc>
            </w:tr>
            <w:tr w14:paraId="1436D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757F3A4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348" w:type="pct"/>
                  <w:vMerge w:val="continue"/>
                  <w:vAlign w:val="center"/>
                </w:tcPr>
                <w:p w14:paraId="17B3CF7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753C95F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305125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900-011-S17</w:t>
                  </w:r>
                </w:p>
              </w:tc>
              <w:tc>
                <w:tcPr>
                  <w:tcW w:w="1263" w:type="pct"/>
                  <w:vAlign w:val="center"/>
                </w:tcPr>
                <w:p w14:paraId="2D46AA0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废纤维及复合材料。废弃的机舱罩、PCB板、交通运输、电力绝缘、化工防腐、给排水、建筑、体育用品等及该产品生产过程产生的边角废料。</w:t>
                  </w:r>
                </w:p>
              </w:tc>
              <w:tc>
                <w:tcPr>
                  <w:tcW w:w="363" w:type="pct"/>
                  <w:vAlign w:val="center"/>
                </w:tcPr>
                <w:p w14:paraId="6E825A8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4805D7AE">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754EDB9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机舱罩</w:t>
                  </w:r>
                  <w:r>
                    <w:rPr>
                      <w:rFonts w:hint="eastAsia" w:ascii="Times New Roman" w:hAnsi="Times New Roman" w:eastAsia="Arial" w:cs="Times New Roman"/>
                      <w:color w:val="auto"/>
                      <w:highlight w:val="none"/>
                      <w:lang w:val="en-US" w:eastAsia="zh-CN"/>
                    </w:rPr>
                    <w:t>和</w:t>
                  </w:r>
                  <w:r>
                    <w:rPr>
                      <w:rFonts w:hint="default" w:ascii="Times New Roman" w:hAnsi="Times New Roman" w:eastAsia="Arial" w:cs="Times New Roman"/>
                      <w:color w:val="auto"/>
                      <w:highlight w:val="none"/>
                      <w:lang w:eastAsia="zh-CN"/>
                    </w:rPr>
                    <w:t>体育用品多为树脂基复合材料，硬脆/块状，密度1.2-2.0g/cm³，易燃有焦味，耐酸碱，难降解；PCB板：层状含树脂、金属，硬脆，燃时放有毒气，不溶于水，金属可回收，树脂难降解；绝缘/防腐/给排水件：树脂/塑料材质，耐腐耐酸碱，易燃。</w:t>
                  </w:r>
                </w:p>
              </w:tc>
              <w:tc>
                <w:tcPr>
                  <w:tcW w:w="577" w:type="pct"/>
                  <w:vAlign w:val="center"/>
                </w:tcPr>
                <w:p w14:paraId="5422093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4AFDE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0019D1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622E856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3D7AA18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249451A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900-015-S17</w:t>
                  </w:r>
                </w:p>
              </w:tc>
              <w:tc>
                <w:tcPr>
                  <w:tcW w:w="1263" w:type="pct"/>
                  <w:vAlign w:val="center"/>
                </w:tcPr>
                <w:p w14:paraId="13E06F8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报废光伏组件。光伏组件生产、技改、退役等过程中产生的废弃光伏组件。</w:t>
                  </w:r>
                </w:p>
              </w:tc>
              <w:tc>
                <w:tcPr>
                  <w:tcW w:w="363" w:type="pct"/>
                  <w:vAlign w:val="center"/>
                </w:tcPr>
                <w:p w14:paraId="63EFC60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632E4293">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18B4E0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玻璃面板</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透明块状，耐酸碱，硬度高，不易燃，难降解；硅片</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薄片状，含单</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多晶硅，硬脆，导电，遇强酸易溶解，高温易氧化</w:t>
                  </w:r>
                  <w:r>
                    <w:rPr>
                      <w:rFonts w:hint="eastAsia" w:ascii="Times New Roman" w:hAnsi="Times New Roman" w:eastAsia="Arial" w:cs="Times New Roman"/>
                      <w:color w:val="auto"/>
                      <w:highlight w:val="none"/>
                      <w:lang w:eastAsia="zh-CN"/>
                    </w:rPr>
                    <w:t>；</w:t>
                  </w:r>
                  <w:r>
                    <w:rPr>
                      <w:rFonts w:hint="default" w:ascii="Times New Roman" w:hAnsi="Times New Roman" w:eastAsia="Arial" w:cs="Times New Roman"/>
                      <w:color w:val="auto"/>
                      <w:highlight w:val="none"/>
                      <w:lang w:eastAsia="zh-CN"/>
                    </w:rPr>
                    <w:t>金属边框</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铝</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钢材质，易氧化，耐弱碱</w:t>
                  </w:r>
                  <w:r>
                    <w:rPr>
                      <w:rFonts w:hint="eastAsia" w:ascii="Times New Roman" w:hAnsi="Times New Roman" w:eastAsia="Arial" w:cs="Times New Roman"/>
                      <w:color w:val="auto"/>
                      <w:highlight w:val="none"/>
                      <w:lang w:eastAsia="zh-CN"/>
                    </w:rPr>
                    <w:t>；</w:t>
                  </w:r>
                  <w:r>
                    <w:rPr>
                      <w:rFonts w:hint="default" w:ascii="Times New Roman" w:hAnsi="Times New Roman" w:eastAsia="Arial" w:cs="Times New Roman"/>
                      <w:color w:val="auto"/>
                      <w:highlight w:val="none"/>
                      <w:lang w:eastAsia="zh-CN"/>
                    </w:rPr>
                    <w:t>封装胶膜</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EVA材质，薄膜状，易燃，高温易软化，难降解。</w:t>
                  </w:r>
                </w:p>
              </w:tc>
              <w:tc>
                <w:tcPr>
                  <w:tcW w:w="577" w:type="pct"/>
                  <w:vAlign w:val="center"/>
                </w:tcPr>
                <w:p w14:paraId="5D132A3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auto"/>
                      <w:highlight w:val="none"/>
                      <w:lang w:val="en-US" w:eastAsia="zh-CN"/>
                    </w:rPr>
                  </w:pPr>
                  <w:r>
                    <w:rPr>
                      <w:rFonts w:hint="eastAsia" w:cs="Times New Roman"/>
                      <w:color w:val="auto"/>
                      <w:highlight w:val="none"/>
                      <w:lang w:val="en-US" w:eastAsia="zh-CN"/>
                    </w:rPr>
                    <w:t>禁</w:t>
                  </w:r>
                  <w:r>
                    <w:rPr>
                      <w:rFonts w:hint="eastAsia" w:ascii="Times New Roman" w:hAnsi="Times New Roman" w:cs="Times New Roman"/>
                      <w:color w:val="auto"/>
                      <w:highlight w:val="none"/>
                      <w:lang w:val="en-US" w:eastAsia="zh-CN"/>
                    </w:rPr>
                    <w:t>止混入沾染油类的废物</w:t>
                  </w:r>
                </w:p>
              </w:tc>
            </w:tr>
            <w:tr w14:paraId="707B0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35F8B9D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32407B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58EEC8D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5B9AB2A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900-016-S17</w:t>
                  </w:r>
                </w:p>
              </w:tc>
              <w:tc>
                <w:tcPr>
                  <w:tcW w:w="1263" w:type="pct"/>
                  <w:vAlign w:val="center"/>
                </w:tcPr>
                <w:p w14:paraId="7E65B21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报废风机叶片及边角料。风力发电站在技改或者退役过程中产生的废弃风机叶片，以及风力发电叶片生产过程中产生的废弃玻璃纤维边角料和切边废料。</w:t>
                  </w:r>
                </w:p>
              </w:tc>
              <w:tc>
                <w:tcPr>
                  <w:tcW w:w="363" w:type="pct"/>
                  <w:vAlign w:val="center"/>
                </w:tcPr>
                <w:p w14:paraId="0788C20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7F97BD8C">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6447E21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废弃风机叶片</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块状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条状，含玻璃纤维</w:t>
                  </w:r>
                  <w:r>
                    <w:rPr>
                      <w:rFonts w:hint="eastAsia" w:ascii="Times New Roman" w:hAnsi="Times New Roman" w:eastAsia="Arial" w:cs="Times New Roman"/>
                      <w:color w:val="auto"/>
                      <w:highlight w:val="none"/>
                      <w:lang w:val="en-US" w:eastAsia="zh-CN"/>
                    </w:rPr>
                    <w:t>和</w:t>
                  </w:r>
                  <w:r>
                    <w:rPr>
                      <w:rFonts w:hint="default" w:ascii="Times New Roman" w:hAnsi="Times New Roman" w:eastAsia="Arial" w:cs="Times New Roman"/>
                      <w:color w:val="auto"/>
                      <w:highlight w:val="none"/>
                      <w:lang w:eastAsia="zh-CN"/>
                    </w:rPr>
                    <w:t>树脂，硬脆，易燃，耐酸碱，难降解；玻纤边角料</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纤维状，不溶于水，耐腐，燃烧无异味，</w:t>
                  </w:r>
                  <w:r>
                    <w:rPr>
                      <w:rFonts w:hint="eastAsia" w:ascii="Times New Roman" w:hAnsi="Times New Roman" w:eastAsia="Arial" w:cs="Times New Roman"/>
                      <w:color w:val="auto"/>
                      <w:highlight w:val="none"/>
                      <w:lang w:val="en-US" w:eastAsia="zh-CN"/>
                    </w:rPr>
                    <w:t>不易</w:t>
                  </w:r>
                  <w:r>
                    <w:rPr>
                      <w:rFonts w:hint="default" w:ascii="Times New Roman" w:hAnsi="Times New Roman" w:eastAsia="Arial" w:cs="Times New Roman"/>
                      <w:color w:val="auto"/>
                      <w:highlight w:val="none"/>
                      <w:lang w:eastAsia="zh-CN"/>
                    </w:rPr>
                    <w:t>降解。</w:t>
                  </w:r>
                </w:p>
              </w:tc>
              <w:tc>
                <w:tcPr>
                  <w:tcW w:w="577" w:type="pct"/>
                  <w:vAlign w:val="center"/>
                </w:tcPr>
                <w:p w14:paraId="36D34E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cs="Times New Roman"/>
                      <w:color w:val="auto"/>
                      <w:highlight w:val="none"/>
                      <w:lang w:val="en-US" w:eastAsia="zh-CN"/>
                    </w:rPr>
                    <w:t>禁</w:t>
                  </w:r>
                  <w:r>
                    <w:rPr>
                      <w:rFonts w:hint="eastAsia" w:ascii="Times New Roman" w:hAnsi="Times New Roman" w:cs="Times New Roman"/>
                      <w:color w:val="auto"/>
                      <w:highlight w:val="none"/>
                      <w:lang w:val="en-US" w:eastAsia="zh-CN"/>
                    </w:rPr>
                    <w:t>止混入沾染油类的废物</w:t>
                  </w:r>
                </w:p>
              </w:tc>
            </w:tr>
            <w:tr w14:paraId="4B084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7D5930D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1805CF0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11E42C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798E060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900-099-S17</w:t>
                  </w:r>
                </w:p>
              </w:tc>
              <w:tc>
                <w:tcPr>
                  <w:tcW w:w="1263" w:type="pct"/>
                  <w:vAlign w:val="center"/>
                </w:tcPr>
                <w:p w14:paraId="61A512B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其他可再生类废物。工业生产活动中产生的其他可再生类废物。</w:t>
                  </w:r>
                </w:p>
              </w:tc>
              <w:tc>
                <w:tcPr>
                  <w:tcW w:w="363" w:type="pct"/>
                  <w:vAlign w:val="center"/>
                </w:tcPr>
                <w:p w14:paraId="2D07326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0C9DAE7A">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768BAF1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3B774D3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5355D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12E2C84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4</w:t>
                  </w:r>
                </w:p>
              </w:tc>
              <w:tc>
                <w:tcPr>
                  <w:tcW w:w="348" w:type="pct"/>
                  <w:vMerge w:val="restart"/>
                  <w:vAlign w:val="center"/>
                </w:tcPr>
                <w:p w14:paraId="31C9229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SW59</w:t>
                  </w:r>
                </w:p>
                <w:p w14:paraId="382F467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其他工业固体废物</w:t>
                  </w:r>
                </w:p>
                <w:p w14:paraId="5C99FD9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p w14:paraId="5B645FF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restart"/>
                  <w:vAlign w:val="center"/>
                </w:tcPr>
                <w:p w14:paraId="25E2ADB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非特定行业</w:t>
                  </w:r>
                </w:p>
              </w:tc>
              <w:tc>
                <w:tcPr>
                  <w:tcW w:w="484" w:type="pct"/>
                  <w:gridSpan w:val="2"/>
                  <w:vAlign w:val="center"/>
                </w:tcPr>
                <w:p w14:paraId="04303DA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900-002-S59</w:t>
                  </w:r>
                </w:p>
              </w:tc>
              <w:tc>
                <w:tcPr>
                  <w:tcW w:w="1263" w:type="pct"/>
                  <w:vAlign w:val="center"/>
                </w:tcPr>
                <w:p w14:paraId="521C2E7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废旧内衬。加热炉在更换内衬时产生的废旧内衬。</w:t>
                  </w:r>
                </w:p>
              </w:tc>
              <w:tc>
                <w:tcPr>
                  <w:tcW w:w="363" w:type="pct"/>
                  <w:vAlign w:val="center"/>
                </w:tcPr>
                <w:p w14:paraId="3DDC403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593E7573">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3648CBB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耐火砖内衬</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块状，含氧化铝</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硅质材料，耐高温，耐酸碱，硬度高，难降解，破碎后呈颗粒状；</w:t>
                  </w:r>
                </w:p>
                <w:p w14:paraId="434640E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浇注料内衬</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块状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碎屑，耐高温，耐磨损，难降解。</w:t>
                  </w:r>
                </w:p>
              </w:tc>
              <w:tc>
                <w:tcPr>
                  <w:tcW w:w="577" w:type="pct"/>
                  <w:vAlign w:val="center"/>
                </w:tcPr>
                <w:p w14:paraId="3F87A72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35261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6C26099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63F152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7FD0287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6FAE233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900-005-S59</w:t>
                  </w:r>
                </w:p>
              </w:tc>
              <w:tc>
                <w:tcPr>
                  <w:tcW w:w="1263" w:type="pct"/>
                  <w:vAlign w:val="center"/>
                </w:tcPr>
                <w:p w14:paraId="19E5BB5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废干燥剂。工业生产活动中产生的废氧化铝、硅胶、分子筛等废干燥剂。</w:t>
                  </w:r>
                </w:p>
              </w:tc>
              <w:tc>
                <w:tcPr>
                  <w:tcW w:w="363" w:type="pct"/>
                  <w:vAlign w:val="center"/>
                </w:tcPr>
                <w:p w14:paraId="6A23F0D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w:t>
                  </w:r>
                </w:p>
              </w:tc>
              <w:tc>
                <w:tcPr>
                  <w:tcW w:w="455" w:type="pct"/>
                  <w:vAlign w:val="center"/>
                </w:tcPr>
                <w:p w14:paraId="32FC6005">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123908A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废氧化铝</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颗粒</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状，不溶于水，耐酸碱，高温稳定，吸附性减弱，难降解，无毒性；废硅胶多孔颗粒，吸湿后增重，不溶于水，易燃有白烟，难降解；废分子筛</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晶体颗粒，耐酸碱，不溶于水，难降解。</w:t>
                  </w:r>
                </w:p>
              </w:tc>
              <w:tc>
                <w:tcPr>
                  <w:tcW w:w="577" w:type="pct"/>
                  <w:vAlign w:val="center"/>
                </w:tcPr>
                <w:p w14:paraId="426685F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1DAB4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529CD0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53E6E6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6A6A195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035B0A2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900-006-S59</w:t>
                  </w:r>
                </w:p>
              </w:tc>
              <w:tc>
                <w:tcPr>
                  <w:tcW w:w="1263" w:type="pct"/>
                  <w:vAlign w:val="center"/>
                </w:tcPr>
                <w:p w14:paraId="61A5669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废保温棉。管道、炉体等装置检修更换产生的保温材料。</w:t>
                  </w:r>
                </w:p>
              </w:tc>
              <w:tc>
                <w:tcPr>
                  <w:tcW w:w="363" w:type="pct"/>
                  <w:vAlign w:val="center"/>
                </w:tcPr>
                <w:p w14:paraId="2951CE8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13D015CF">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3FA780D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岩棉</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矿渣棉保温材</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纤维状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块状，不燃，耐温500-800℃，吸湿性弱，难降解，易扬尘；聚氨酯保温材</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块状，易燃，耐温≤120℃，不溶于水，难降解。</w:t>
                  </w:r>
                </w:p>
              </w:tc>
              <w:tc>
                <w:tcPr>
                  <w:tcW w:w="577" w:type="pct"/>
                  <w:vAlign w:val="center"/>
                </w:tcPr>
                <w:p w14:paraId="5CC5C8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444F0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24416BB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361FFB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54C95C7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4BED0F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900-007-S59</w:t>
                  </w:r>
                </w:p>
              </w:tc>
              <w:tc>
                <w:tcPr>
                  <w:tcW w:w="1263" w:type="pct"/>
                  <w:vAlign w:val="center"/>
                </w:tcPr>
                <w:p w14:paraId="6F270C6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废保冷材料。气化液化设备和管道等更换的废弃聚氨酯塑料、聚苯乙烯泡沫、泡沫玻璃等保冷材料。</w:t>
                  </w:r>
                </w:p>
              </w:tc>
              <w:tc>
                <w:tcPr>
                  <w:tcW w:w="363" w:type="pct"/>
                  <w:vAlign w:val="center"/>
                </w:tcPr>
                <w:p w14:paraId="23582A9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46C2B045">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205B865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废聚氨酯塑料</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块状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泡沫状，易燃，耐低温，不溶于水，难降解，高温易软化；废聚苯乙烯泡沫</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轻质块状，易燃，耐低温，不溶于水，难降解；</w:t>
                  </w:r>
                </w:p>
                <w:p w14:paraId="2C60E9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废泡沫玻璃</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多孔块状，不燃，耐高低温，耐酸碱，难降解。</w:t>
                  </w:r>
                </w:p>
              </w:tc>
              <w:tc>
                <w:tcPr>
                  <w:tcW w:w="577" w:type="pct"/>
                  <w:vAlign w:val="center"/>
                </w:tcPr>
                <w:p w14:paraId="04AAC6A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58FC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5120415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324EBC4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5415C87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62B7899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900-008-S59</w:t>
                  </w:r>
                </w:p>
              </w:tc>
              <w:tc>
                <w:tcPr>
                  <w:tcW w:w="1263" w:type="pct"/>
                  <w:vAlign w:val="center"/>
                </w:tcPr>
                <w:p w14:paraId="1B1503D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废吸附剂。工业生产活动中产生的活性炭、氧化铝、硅胶、树脂等废吸附剂。</w:t>
                  </w:r>
                </w:p>
              </w:tc>
              <w:tc>
                <w:tcPr>
                  <w:tcW w:w="363" w:type="pct"/>
                  <w:vAlign w:val="center"/>
                </w:tcPr>
                <w:p w14:paraId="528B9CA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3000</w:t>
                  </w:r>
                </w:p>
              </w:tc>
              <w:tc>
                <w:tcPr>
                  <w:tcW w:w="455" w:type="pct"/>
                  <w:vAlign w:val="center"/>
                </w:tcPr>
                <w:p w14:paraId="7D5CAF2A">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200</w:t>
                  </w:r>
                </w:p>
              </w:tc>
              <w:tc>
                <w:tcPr>
                  <w:tcW w:w="929" w:type="pct"/>
                  <w:vAlign w:val="center"/>
                </w:tcPr>
                <w:p w14:paraId="628D6611">
                  <w:pPr>
                    <w:keepNext w:val="0"/>
                    <w:keepLines w:val="0"/>
                    <w:pageBreakBefore w:val="0"/>
                    <w:widowControl/>
                    <w:suppressLineNumbers w:val="0"/>
                    <w:kinsoku/>
                    <w:wordWrap w:val="0"/>
                    <w:overflowPunct w:val="0"/>
                    <w:topLinePunct w:val="0"/>
                    <w:bidi w:val="0"/>
                    <w:snapToGrid/>
                    <w:jc w:val="both"/>
                    <w:rPr>
                      <w:rFonts w:hint="default" w:ascii="Times New Roman" w:hAnsi="Times New Roman" w:eastAsia="Arial" w:cs="Times New Roman"/>
                      <w:color w:val="auto"/>
                      <w:highlight w:val="none"/>
                      <w:lang w:val="en-US" w:eastAsia="zh-CN"/>
                    </w:rPr>
                  </w:pPr>
                  <w:r>
                    <w:rPr>
                      <w:rFonts w:hint="default" w:ascii="Times New Roman" w:hAnsi="Times New Roman" w:eastAsia="Arial" w:cs="Times New Roman"/>
                      <w:color w:val="auto"/>
                      <w:highlight w:val="none"/>
                      <w:lang w:val="en-US" w:eastAsia="zh-CN"/>
                    </w:rPr>
                    <w:t>废活性炭</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val="en-US" w:eastAsia="zh-CN"/>
                    </w:rPr>
                    <w:t>多孔颗粒，不溶于水，易燃，耐酸碱；</w:t>
                  </w:r>
                </w:p>
                <w:p w14:paraId="24B27E7A">
                  <w:pPr>
                    <w:keepNext w:val="0"/>
                    <w:keepLines w:val="0"/>
                    <w:pageBreakBefore w:val="0"/>
                    <w:widowControl/>
                    <w:suppressLineNumbers w:val="0"/>
                    <w:kinsoku/>
                    <w:wordWrap w:val="0"/>
                    <w:overflowPunct w:val="0"/>
                    <w:topLinePunct w:val="0"/>
                    <w:bidi w:val="0"/>
                    <w:snapToGrid/>
                    <w:jc w:val="both"/>
                    <w:rPr>
                      <w:rFonts w:hint="default" w:ascii="Times New Roman" w:hAnsi="Times New Roman" w:eastAsia="Arial" w:cs="Times New Roman"/>
                      <w:color w:val="auto"/>
                      <w:highlight w:val="none"/>
                      <w:lang w:val="en-US" w:eastAsia="zh-CN"/>
                    </w:rPr>
                  </w:pPr>
                  <w:r>
                    <w:rPr>
                      <w:rFonts w:hint="default" w:ascii="Times New Roman" w:hAnsi="Times New Roman" w:eastAsia="Arial" w:cs="Times New Roman"/>
                      <w:color w:val="auto"/>
                      <w:highlight w:val="none"/>
                      <w:lang w:val="en-US" w:eastAsia="zh-CN"/>
                    </w:rPr>
                    <w:t>废氧化铝</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val="en-US" w:eastAsia="zh-CN"/>
                    </w:rPr>
                    <w:t>颗粒状，不溶于水，耐温耐腐，吸附性降，难降解；废硅胶</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val="en-US" w:eastAsia="zh-CN"/>
                    </w:rPr>
                    <w:t>多孔颗粒，不溶于水，易燃，难降解；废树脂</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val="en-US" w:eastAsia="zh-CN"/>
                    </w:rPr>
                    <w:t>颗粒状，不溶于水，耐酸碱，难降解。</w:t>
                  </w:r>
                </w:p>
              </w:tc>
              <w:tc>
                <w:tcPr>
                  <w:tcW w:w="577" w:type="pct"/>
                  <w:vAlign w:val="center"/>
                </w:tcPr>
                <w:p w14:paraId="06CCDFA4">
                  <w:pPr>
                    <w:keepNext w:val="0"/>
                    <w:keepLines w:val="0"/>
                    <w:pageBreakBefore w:val="0"/>
                    <w:widowControl/>
                    <w:suppressLineNumbers w:val="0"/>
                    <w:kinsoku/>
                    <w:wordWrap w:val="0"/>
                    <w:overflowPunct w:val="0"/>
                    <w:topLinePunct w:val="0"/>
                    <w:bidi w:val="0"/>
                    <w:snapToGrid/>
                    <w:jc w:val="both"/>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禁止混入沾染</w:t>
                  </w:r>
                </w:p>
                <w:p w14:paraId="7C9873FC">
                  <w:pPr>
                    <w:keepNext w:val="0"/>
                    <w:keepLines w:val="0"/>
                    <w:pageBreakBefore w:val="0"/>
                    <w:widowControl/>
                    <w:suppressLineNumbers w:val="0"/>
                    <w:kinsoku/>
                    <w:wordWrap w:val="0"/>
                    <w:overflowPunct w:val="0"/>
                    <w:topLinePunct w:val="0"/>
                    <w:bidi w:val="0"/>
                    <w:snapToGrid/>
                    <w:jc w:val="both"/>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VOC</w:t>
                  </w:r>
                  <w:r>
                    <w:rPr>
                      <w:rFonts w:hint="eastAsia" w:ascii="Times New Roman" w:hAnsi="Times New Roman" w:cs="Times New Roman"/>
                      <w:color w:val="auto"/>
                      <w:highlight w:val="none"/>
                      <w:vertAlign w:val="subscript"/>
                      <w:lang w:val="en-US" w:eastAsia="zh-CN"/>
                    </w:rPr>
                    <w:t>S</w:t>
                  </w:r>
                  <w:r>
                    <w:rPr>
                      <w:rFonts w:hint="eastAsia" w:ascii="Times New Roman" w:hAnsi="Times New Roman" w:cs="Times New Roman"/>
                      <w:color w:val="auto"/>
                      <w:highlight w:val="none"/>
                      <w:lang w:val="en-US" w:eastAsia="zh-CN"/>
                    </w:rPr>
                    <w:t>的吸附介质；</w:t>
                  </w:r>
                  <w:r>
                    <w:rPr>
                      <w:rFonts w:hint="eastAsia" w:ascii="Times New Roman" w:hAnsi="Times New Roman" w:eastAsia="宋体" w:cs="Times New Roman"/>
                      <w:color w:val="auto"/>
                      <w:highlight w:val="none"/>
                      <w:lang w:val="en-US" w:eastAsia="zh-CN"/>
                    </w:rPr>
                    <w:t>禁止混入工业废水处理过程产生的废弃离子交换树脂</w:t>
                  </w:r>
                </w:p>
              </w:tc>
            </w:tr>
            <w:tr w14:paraId="0EAB6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4F28AEB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5DA3BDA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6AE1273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5AAA017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900-009-S59</w:t>
                  </w:r>
                </w:p>
              </w:tc>
              <w:tc>
                <w:tcPr>
                  <w:tcW w:w="1263" w:type="pct"/>
                  <w:vAlign w:val="center"/>
                </w:tcPr>
                <w:p w14:paraId="0FD8242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废过滤材料。工业生产活动中产生的废过滤袋、过滤器等过滤材料。</w:t>
                  </w:r>
                </w:p>
              </w:tc>
              <w:tc>
                <w:tcPr>
                  <w:tcW w:w="363" w:type="pct"/>
                  <w:vAlign w:val="center"/>
                </w:tcPr>
                <w:p w14:paraId="74F0FD9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012FE409">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26FAA1F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废过滤袋</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纤维状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袋状，丙纶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涤纶材质，耐酸碱，难降解，易燃；废过滤器含金属外壳</w:t>
                  </w:r>
                  <w:r>
                    <w:rPr>
                      <w:rFonts w:hint="eastAsia" w:ascii="Times New Roman" w:hAnsi="Times New Roman" w:eastAsia="Arial" w:cs="Times New Roman"/>
                      <w:color w:val="auto"/>
                      <w:highlight w:val="none"/>
                      <w:lang w:val="en-US" w:eastAsia="zh-CN"/>
                    </w:rPr>
                    <w:t>和</w:t>
                  </w:r>
                  <w:r>
                    <w:rPr>
                      <w:rFonts w:hint="default" w:ascii="Times New Roman" w:hAnsi="Times New Roman" w:eastAsia="Arial" w:cs="Times New Roman"/>
                      <w:color w:val="auto"/>
                      <w:highlight w:val="none"/>
                      <w:lang w:eastAsia="zh-CN"/>
                    </w:rPr>
                    <w:t>滤材，外壳耐腐，滤材多孔，不溶于水，难降解。</w:t>
                  </w:r>
                </w:p>
              </w:tc>
              <w:tc>
                <w:tcPr>
                  <w:tcW w:w="577" w:type="pct"/>
                  <w:vAlign w:val="center"/>
                </w:tcPr>
                <w:p w14:paraId="52930AC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116CA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4D3E7CE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2D594D4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75B8813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4242190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900-099-S59</w:t>
                  </w:r>
                </w:p>
              </w:tc>
              <w:tc>
                <w:tcPr>
                  <w:tcW w:w="1263" w:type="pct"/>
                  <w:vAlign w:val="center"/>
                </w:tcPr>
                <w:p w14:paraId="6259F11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其他工业生产过程中产生的固体废物。</w:t>
                  </w:r>
                </w:p>
              </w:tc>
              <w:tc>
                <w:tcPr>
                  <w:tcW w:w="363" w:type="pct"/>
                  <w:vAlign w:val="center"/>
                </w:tcPr>
                <w:p w14:paraId="4B490B4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cs="Times New Roman"/>
                      <w:color w:val="auto"/>
                      <w:highlight w:val="none"/>
                      <w:lang w:val="en-US" w:eastAsia="zh-CN"/>
                    </w:rPr>
                    <w:t>14000</w:t>
                  </w:r>
                </w:p>
              </w:tc>
              <w:tc>
                <w:tcPr>
                  <w:tcW w:w="455" w:type="pct"/>
                  <w:vAlign w:val="center"/>
                </w:tcPr>
                <w:p w14:paraId="71676249">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933</w:t>
                  </w:r>
                </w:p>
              </w:tc>
              <w:tc>
                <w:tcPr>
                  <w:tcW w:w="929" w:type="pct"/>
                  <w:vAlign w:val="center"/>
                </w:tcPr>
                <w:p w14:paraId="003CB1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2DF5B66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25A32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5000" w:type="pct"/>
                  <w:gridSpan w:val="10"/>
                  <w:vAlign w:val="center"/>
                </w:tcPr>
                <w:p w14:paraId="3839D11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Arial" w:cs="Times New Roman"/>
                      <w:color w:val="auto"/>
                      <w:highlight w:val="none"/>
                      <w:lang w:val="en-US" w:eastAsia="zh-CN"/>
                    </w:rPr>
                  </w:pPr>
                  <w:r>
                    <w:rPr>
                      <w:rFonts w:hint="default" w:ascii="Times New Roman" w:hAnsi="Times New Roman" w:eastAsia="Arial" w:cs="Times New Roman"/>
                      <w:b/>
                      <w:bCs/>
                      <w:color w:val="auto"/>
                      <w:highlight w:val="none"/>
                      <w:lang w:eastAsia="zh-CN"/>
                    </w:rPr>
                    <w:t>生活垃圾</w:t>
                  </w:r>
                </w:p>
              </w:tc>
            </w:tr>
            <w:tr w14:paraId="3A832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29A4E73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5</w:t>
                  </w:r>
                </w:p>
              </w:tc>
              <w:tc>
                <w:tcPr>
                  <w:tcW w:w="348" w:type="pct"/>
                  <w:vMerge w:val="restart"/>
                  <w:vAlign w:val="center"/>
                </w:tcPr>
                <w:p w14:paraId="29B8816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SW62</w:t>
                  </w:r>
                </w:p>
                <w:p w14:paraId="100C94C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可回收物</w:t>
                  </w:r>
                </w:p>
                <w:p w14:paraId="60A38A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restart"/>
                  <w:vAlign w:val="center"/>
                </w:tcPr>
                <w:p w14:paraId="624C861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非特定行业</w:t>
                  </w:r>
                </w:p>
              </w:tc>
              <w:tc>
                <w:tcPr>
                  <w:tcW w:w="484" w:type="pct"/>
                  <w:gridSpan w:val="2"/>
                  <w:vAlign w:val="center"/>
                </w:tcPr>
                <w:p w14:paraId="2CC2333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900-001-S62</w:t>
                  </w:r>
                </w:p>
              </w:tc>
              <w:tc>
                <w:tcPr>
                  <w:tcW w:w="1263" w:type="pct"/>
                  <w:vAlign w:val="center"/>
                </w:tcPr>
                <w:p w14:paraId="508A135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废纸。家庭日常生活或者为日常生活提供服务的活动中产生的适宜回收利用的各类废书籍、报纸、纸板箱、纸塑铝复合包装等纸制品。</w:t>
                  </w:r>
                </w:p>
              </w:tc>
              <w:tc>
                <w:tcPr>
                  <w:tcW w:w="363" w:type="pct"/>
                  <w:vAlign w:val="center"/>
                </w:tcPr>
                <w:p w14:paraId="7A43C23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4EFA7900">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069B7A2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废书籍</w:t>
                  </w:r>
                  <w:r>
                    <w:rPr>
                      <w:rFonts w:hint="eastAsia" w:ascii="Times New Roman" w:hAnsi="Times New Roman" w:eastAsia="Arial" w:cs="Times New Roman"/>
                      <w:color w:val="auto"/>
                      <w:highlight w:val="none"/>
                      <w:lang w:eastAsia="zh-CN"/>
                    </w:rPr>
                    <w:t>、</w:t>
                  </w:r>
                  <w:r>
                    <w:rPr>
                      <w:rFonts w:hint="eastAsia" w:ascii="Times New Roman" w:hAnsi="Times New Roman" w:eastAsia="Arial" w:cs="Times New Roman"/>
                      <w:color w:val="auto"/>
                      <w:highlight w:val="none"/>
                      <w:lang w:val="en-US" w:eastAsia="zh-CN"/>
                    </w:rPr>
                    <w:t>废</w:t>
                  </w:r>
                  <w:r>
                    <w:rPr>
                      <w:rFonts w:hint="default" w:ascii="Times New Roman" w:hAnsi="Times New Roman" w:eastAsia="Arial" w:cs="Times New Roman"/>
                      <w:color w:val="auto"/>
                      <w:highlight w:val="none"/>
                      <w:lang w:eastAsia="zh-CN"/>
                    </w:rPr>
                    <w:t>纸板箱报纸含纤维素，吸湿易潮，易燃，易降解，遇酸易水解</w:t>
                  </w:r>
                  <w:r>
                    <w:rPr>
                      <w:rFonts w:hint="eastAsia" w:ascii="Times New Roman" w:hAnsi="Times New Roman" w:eastAsia="Arial" w:cs="Times New Roman"/>
                      <w:color w:val="auto"/>
                      <w:highlight w:val="none"/>
                      <w:lang w:eastAsia="zh-CN"/>
                    </w:rPr>
                    <w:t>；</w:t>
                  </w:r>
                  <w:r>
                    <w:rPr>
                      <w:rFonts w:hint="default" w:ascii="Times New Roman" w:hAnsi="Times New Roman" w:eastAsia="Arial" w:cs="Times New Roman"/>
                      <w:color w:val="auto"/>
                      <w:highlight w:val="none"/>
                      <w:lang w:eastAsia="zh-CN"/>
                    </w:rPr>
                    <w:t>纸塑铝复合包装</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多层状，纸层易降解，塑层难降易燃，铝层耐腐可回收。</w:t>
                  </w:r>
                </w:p>
              </w:tc>
              <w:tc>
                <w:tcPr>
                  <w:tcW w:w="577" w:type="pct"/>
                  <w:vAlign w:val="center"/>
                </w:tcPr>
                <w:p w14:paraId="587021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6292B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4DDD2FE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538C36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58AC3C6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62961C7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900-002-S62</w:t>
                  </w:r>
                </w:p>
              </w:tc>
              <w:tc>
                <w:tcPr>
                  <w:tcW w:w="1263" w:type="pct"/>
                  <w:vAlign w:val="center"/>
                </w:tcPr>
                <w:p w14:paraId="0C02AD3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废塑料。家庭日常生活或者为日常生活提供服务的活动中产生的适宜回收利用的各类塑料瓶、塑料桶、塑料餐盒等塑料制品。</w:t>
                  </w:r>
                </w:p>
              </w:tc>
              <w:tc>
                <w:tcPr>
                  <w:tcW w:w="363" w:type="pct"/>
                  <w:vAlign w:val="center"/>
                </w:tcPr>
                <w:p w14:paraId="3757ADF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2000</w:t>
                  </w:r>
                </w:p>
              </w:tc>
              <w:tc>
                <w:tcPr>
                  <w:tcW w:w="455" w:type="pct"/>
                  <w:vAlign w:val="center"/>
                </w:tcPr>
                <w:p w14:paraId="3EBB5D81">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0DF011E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塑料瓶（PET）</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透明</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有色块状，耐酸碱，易燃，难降解，可回收重塑；塑料桶（HDPE）</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乳白色块状，耐腐耐摔，易燃，难降解；塑料餐盒（PP）</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浅色块状，易燃，难降解</w:t>
                  </w:r>
                  <w:r>
                    <w:rPr>
                      <w:rFonts w:hint="eastAsia" w:ascii="Times New Roman" w:hAnsi="Times New Roman" w:eastAsia="Arial" w:cs="Times New Roman"/>
                      <w:color w:val="auto"/>
                      <w:highlight w:val="none"/>
                      <w:lang w:eastAsia="zh-CN"/>
                    </w:rPr>
                    <w:t>。</w:t>
                  </w:r>
                </w:p>
              </w:tc>
              <w:tc>
                <w:tcPr>
                  <w:tcW w:w="577" w:type="pct"/>
                  <w:vAlign w:val="center"/>
                </w:tcPr>
                <w:p w14:paraId="55D878E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68DD1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1464C3F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27A368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3A114F2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4515CFF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900-005-S62</w:t>
                  </w:r>
                </w:p>
              </w:tc>
              <w:tc>
                <w:tcPr>
                  <w:tcW w:w="1263" w:type="pct"/>
                  <w:vAlign w:val="center"/>
                </w:tcPr>
                <w:p w14:paraId="3A659CE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废纺织物。家庭日常生活或者为日常生活提供服务的活动中产生的适宜回收利用的各类废旧衣物、穿戴用品、床上用品、布艺用品等纺织物。</w:t>
                  </w:r>
                </w:p>
              </w:tc>
              <w:tc>
                <w:tcPr>
                  <w:tcW w:w="363" w:type="pct"/>
                  <w:vAlign w:val="center"/>
                </w:tcPr>
                <w:p w14:paraId="761CDAA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eastAsia="Arial" w:cs="Times New Roman"/>
                      <w:color w:val="auto"/>
                      <w:highlight w:val="none"/>
                      <w:lang w:val="en-US" w:eastAsia="zh-CN"/>
                    </w:rPr>
                    <w:t>2000</w:t>
                  </w:r>
                </w:p>
              </w:tc>
              <w:tc>
                <w:tcPr>
                  <w:tcW w:w="455" w:type="pct"/>
                  <w:vAlign w:val="center"/>
                </w:tcPr>
                <w:p w14:paraId="55434497">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22AEE3A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棉纺织物</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纤维状，含纤维素，吸湿易潮，易燃</w:t>
                  </w:r>
                  <w:r>
                    <w:rPr>
                      <w:rFonts w:hint="eastAsia" w:ascii="Times New Roman" w:hAnsi="Times New Roman" w:eastAsia="Arial" w:cs="Times New Roman"/>
                      <w:color w:val="auto"/>
                      <w:highlight w:val="none"/>
                      <w:lang w:eastAsia="zh-CN"/>
                    </w:rPr>
                    <w:t>，</w:t>
                  </w:r>
                  <w:r>
                    <w:rPr>
                      <w:rFonts w:hint="default" w:ascii="Times New Roman" w:hAnsi="Times New Roman" w:eastAsia="Arial" w:cs="Times New Roman"/>
                      <w:color w:val="auto"/>
                      <w:highlight w:val="none"/>
                      <w:lang w:eastAsia="zh-CN"/>
                    </w:rPr>
                    <w:t>可降解，遇酸易脆化；化纤纺织物</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纤维状，不吸湿，易燃，难降解。</w:t>
                  </w:r>
                </w:p>
              </w:tc>
              <w:tc>
                <w:tcPr>
                  <w:tcW w:w="577" w:type="pct"/>
                  <w:vAlign w:val="center"/>
                </w:tcPr>
                <w:p w14:paraId="296EC0F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34B56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5EB7826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6</w:t>
                  </w:r>
                </w:p>
              </w:tc>
              <w:tc>
                <w:tcPr>
                  <w:tcW w:w="348" w:type="pct"/>
                  <w:vAlign w:val="center"/>
                </w:tcPr>
                <w:p w14:paraId="5F0DA2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SW63</w:t>
                  </w:r>
                </w:p>
                <w:p w14:paraId="51373D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大件垃圾</w:t>
                  </w:r>
                </w:p>
                <w:p w14:paraId="3214DB9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514AD35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3E9AB33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900-001-S63</w:t>
                  </w:r>
                </w:p>
              </w:tc>
              <w:tc>
                <w:tcPr>
                  <w:tcW w:w="1263" w:type="pct"/>
                  <w:vAlign w:val="center"/>
                </w:tcPr>
                <w:p w14:paraId="70106EE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报废家具。家庭日常生活或者为日常生活提供服务的活动中产生的报废家具等。</w:t>
                  </w:r>
                </w:p>
              </w:tc>
              <w:tc>
                <w:tcPr>
                  <w:tcW w:w="363" w:type="pct"/>
                  <w:vAlign w:val="center"/>
                </w:tcPr>
                <w:p w14:paraId="6DA2D60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5000</w:t>
                  </w:r>
                </w:p>
              </w:tc>
              <w:tc>
                <w:tcPr>
                  <w:tcW w:w="455" w:type="pct"/>
                  <w:vAlign w:val="center"/>
                </w:tcPr>
                <w:p w14:paraId="6B6DB1C4">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333</w:t>
                  </w:r>
                </w:p>
              </w:tc>
              <w:tc>
                <w:tcPr>
                  <w:tcW w:w="929" w:type="pct"/>
                  <w:vAlign w:val="center"/>
                </w:tcPr>
                <w:p w14:paraId="19FEC52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木质家具</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块状，含纤维素，吸湿易潮，易燃，可降解。</w:t>
                  </w:r>
                </w:p>
              </w:tc>
              <w:tc>
                <w:tcPr>
                  <w:tcW w:w="577" w:type="pct"/>
                  <w:vAlign w:val="center"/>
                </w:tcPr>
                <w:p w14:paraId="7A34DD7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179C4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4A903CA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7</w:t>
                  </w:r>
                </w:p>
              </w:tc>
              <w:tc>
                <w:tcPr>
                  <w:tcW w:w="348" w:type="pct"/>
                  <w:vMerge w:val="restart"/>
                  <w:vAlign w:val="center"/>
                </w:tcPr>
                <w:p w14:paraId="74BCEFE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SW64</w:t>
                  </w:r>
                </w:p>
                <w:p w14:paraId="40121B2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其他垃圾</w:t>
                  </w:r>
                </w:p>
              </w:tc>
              <w:tc>
                <w:tcPr>
                  <w:tcW w:w="381" w:type="pct"/>
                  <w:vMerge w:val="continue"/>
                  <w:vAlign w:val="center"/>
                </w:tcPr>
                <w:p w14:paraId="2928F65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237EDAC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900-001-S64</w:t>
                  </w:r>
                </w:p>
              </w:tc>
              <w:tc>
                <w:tcPr>
                  <w:tcW w:w="1263" w:type="pct"/>
                  <w:vAlign w:val="center"/>
                </w:tcPr>
                <w:p w14:paraId="114B6B2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园林垃圾。绿化和园林管理中清理产生的植物枝叶等园林垃圾。</w:t>
                  </w:r>
                </w:p>
              </w:tc>
              <w:tc>
                <w:tcPr>
                  <w:tcW w:w="363" w:type="pct"/>
                  <w:vAlign w:val="center"/>
                </w:tcPr>
                <w:p w14:paraId="1B3EAF7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eastAsia="Arial" w:cs="Times New Roman"/>
                      <w:color w:val="auto"/>
                      <w:highlight w:val="none"/>
                      <w:lang w:val="en-US" w:eastAsia="zh-CN"/>
                    </w:rPr>
                    <w:t>2000</w:t>
                  </w:r>
                </w:p>
              </w:tc>
              <w:tc>
                <w:tcPr>
                  <w:tcW w:w="455" w:type="pct"/>
                  <w:vAlign w:val="center"/>
                </w:tcPr>
                <w:p w14:paraId="4D4DDFDF">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133</w:t>
                  </w:r>
                </w:p>
              </w:tc>
              <w:tc>
                <w:tcPr>
                  <w:tcW w:w="929" w:type="pct"/>
                  <w:vAlign w:val="center"/>
                </w:tcPr>
                <w:p w14:paraId="6DCA3C0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主要为</w:t>
                  </w:r>
                  <w:r>
                    <w:rPr>
                      <w:rFonts w:hint="default" w:ascii="Times New Roman" w:hAnsi="Times New Roman" w:eastAsia="Arial" w:cs="Times New Roman"/>
                      <w:color w:val="auto"/>
                      <w:highlight w:val="none"/>
                      <w:lang w:val="en-US" w:eastAsia="zh-CN"/>
                    </w:rPr>
                    <w:t>树叶</w:t>
                  </w:r>
                  <w:r>
                    <w:rPr>
                      <w:rFonts w:hint="eastAsia" w:ascii="Times New Roman" w:hAnsi="Times New Roman" w:eastAsia="Arial" w:cs="Times New Roman"/>
                      <w:color w:val="auto"/>
                      <w:highlight w:val="none"/>
                      <w:lang w:val="en-US" w:eastAsia="zh-CN"/>
                    </w:rPr>
                    <w:t>、树枝等，多为</w:t>
                  </w:r>
                  <w:r>
                    <w:rPr>
                      <w:rFonts w:hint="default" w:ascii="Times New Roman" w:hAnsi="Times New Roman" w:eastAsia="Arial" w:cs="Times New Roman"/>
                      <w:color w:val="auto"/>
                      <w:highlight w:val="none"/>
                      <w:lang w:val="en-US" w:eastAsia="zh-CN"/>
                    </w:rPr>
                    <w:t>片状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val="en-US" w:eastAsia="zh-CN"/>
                    </w:rPr>
                    <w:t>条状，含纤维素、木质素，吸湿易腐，易燃，可生物降解，遇潮易霉变</w:t>
                  </w:r>
                </w:p>
              </w:tc>
              <w:tc>
                <w:tcPr>
                  <w:tcW w:w="577" w:type="pct"/>
                  <w:vAlign w:val="center"/>
                </w:tcPr>
                <w:p w14:paraId="182D855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禁止混入已腐蚀的园林垃圾</w:t>
                  </w:r>
                </w:p>
              </w:tc>
            </w:tr>
            <w:tr w14:paraId="4F750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6C7356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2BC429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122BF23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3AF9251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900-099-S64</w:t>
                  </w:r>
                </w:p>
              </w:tc>
              <w:tc>
                <w:tcPr>
                  <w:tcW w:w="1263" w:type="pct"/>
                  <w:vAlign w:val="center"/>
                </w:tcPr>
                <w:p w14:paraId="10B5D1C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以上之外的生活垃圾</w:t>
                  </w:r>
                  <w:r>
                    <w:rPr>
                      <w:rFonts w:hint="eastAsia" w:ascii="Times New Roman" w:hAnsi="Times New Roman" w:eastAsia="宋体" w:cs="Times New Roman"/>
                      <w:bCs/>
                      <w:color w:val="auto"/>
                      <w:kern w:val="2"/>
                      <w:sz w:val="21"/>
                      <w:szCs w:val="21"/>
                      <w:highlight w:val="none"/>
                      <w:lang w:val="en-US" w:eastAsia="zh-CN" w:bidi="ar-SA"/>
                    </w:rPr>
                    <w:t>（仅为包装物、纸屑）</w:t>
                  </w:r>
                  <w:r>
                    <w:rPr>
                      <w:rFonts w:hint="default" w:ascii="Times New Roman" w:hAnsi="Times New Roman" w:eastAsia="宋体" w:cs="Times New Roman"/>
                      <w:bCs/>
                      <w:color w:val="auto"/>
                      <w:kern w:val="2"/>
                      <w:sz w:val="21"/>
                      <w:szCs w:val="21"/>
                      <w:highlight w:val="none"/>
                      <w:lang w:val="en-US" w:eastAsia="zh-CN" w:bidi="ar-SA"/>
                    </w:rPr>
                    <w:t>。</w:t>
                  </w:r>
                </w:p>
              </w:tc>
              <w:tc>
                <w:tcPr>
                  <w:tcW w:w="363" w:type="pct"/>
                  <w:vAlign w:val="center"/>
                </w:tcPr>
                <w:p w14:paraId="356CD11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eastAsia="Arial" w:cs="Times New Roman"/>
                      <w:color w:val="auto"/>
                      <w:highlight w:val="none"/>
                      <w:lang w:val="en-US" w:eastAsia="zh-CN"/>
                    </w:rPr>
                    <w:t>1000</w:t>
                  </w:r>
                </w:p>
              </w:tc>
              <w:tc>
                <w:tcPr>
                  <w:tcW w:w="455" w:type="pct"/>
                  <w:vAlign w:val="center"/>
                </w:tcPr>
                <w:p w14:paraId="04F1B01C">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67</w:t>
                  </w:r>
                </w:p>
              </w:tc>
              <w:tc>
                <w:tcPr>
                  <w:tcW w:w="929" w:type="pct"/>
                  <w:vAlign w:val="center"/>
                </w:tcPr>
                <w:p w14:paraId="508219F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7A6C660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禁止混入厨余垃圾、水果、蔬菜等可能产生渗滤液和恶臭气体的固废</w:t>
                  </w:r>
                </w:p>
              </w:tc>
            </w:tr>
            <w:tr w14:paraId="58927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5000" w:type="pct"/>
                  <w:gridSpan w:val="10"/>
                  <w:vAlign w:val="center"/>
                </w:tcPr>
                <w:p w14:paraId="526D408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cs="Times New Roman"/>
                      <w:color w:val="auto"/>
                      <w:highlight w:val="none"/>
                      <w:lang w:val="en-US" w:eastAsia="zh-CN"/>
                    </w:rPr>
                  </w:pPr>
                  <w:r>
                    <w:rPr>
                      <w:rFonts w:hint="default" w:ascii="Times New Roman" w:hAnsi="Times New Roman" w:eastAsia="Arial" w:cs="Times New Roman"/>
                      <w:b/>
                      <w:bCs/>
                      <w:color w:val="auto"/>
                      <w:highlight w:val="none"/>
                      <w:lang w:eastAsia="zh-CN"/>
                    </w:rPr>
                    <w:t>建筑垃圾</w:t>
                  </w:r>
                  <w:r>
                    <w:rPr>
                      <w:rFonts w:hint="eastAsia" w:ascii="Times New Roman" w:hAnsi="Times New Roman" w:eastAsia="Arial" w:cs="Times New Roman"/>
                      <w:b/>
                      <w:bCs/>
                      <w:color w:val="auto"/>
                      <w:highlight w:val="none"/>
                      <w:lang w:eastAsia="zh-CN"/>
                    </w:rPr>
                    <w:t>（</w:t>
                  </w:r>
                  <w:r>
                    <w:rPr>
                      <w:rFonts w:hint="eastAsia" w:ascii="Times New Roman" w:hAnsi="Times New Roman" w:eastAsia="Arial" w:cs="Times New Roman"/>
                      <w:b/>
                      <w:bCs/>
                      <w:color w:val="auto"/>
                      <w:highlight w:val="none"/>
                      <w:lang w:val="en-US" w:eastAsia="zh-CN"/>
                    </w:rPr>
                    <w:t>上游企业</w:t>
                  </w:r>
                  <w:r>
                    <w:rPr>
                      <w:rFonts w:hint="eastAsia" w:ascii="Times New Roman" w:hAnsi="Times New Roman" w:eastAsia="Arial" w:cs="Times New Roman"/>
                      <w:b/>
                      <w:bCs/>
                      <w:color w:val="auto"/>
                      <w:highlight w:val="none"/>
                      <w:lang w:eastAsia="zh-CN"/>
                    </w:rPr>
                    <w:t>风选完的轻浮物包装类塑料、装饰类塑料</w:t>
                  </w:r>
                  <w:r>
                    <w:rPr>
                      <w:rFonts w:hint="eastAsia" w:ascii="Times New Roman" w:hAnsi="Times New Roman" w:eastAsia="Arial" w:cs="Times New Roman"/>
                      <w:b/>
                      <w:bCs/>
                      <w:color w:val="auto"/>
                      <w:highlight w:val="none"/>
                      <w:lang w:val="en-US" w:eastAsia="zh-CN"/>
                    </w:rPr>
                    <w:t>等</w:t>
                  </w:r>
                  <w:r>
                    <w:rPr>
                      <w:rFonts w:hint="eastAsia" w:ascii="Times New Roman" w:hAnsi="Times New Roman" w:eastAsia="Arial" w:cs="Times New Roman"/>
                      <w:b/>
                      <w:bCs/>
                      <w:color w:val="auto"/>
                      <w:highlight w:val="none"/>
                      <w:lang w:eastAsia="zh-CN"/>
                    </w:rPr>
                    <w:t>，</w:t>
                  </w:r>
                  <w:r>
                    <w:rPr>
                      <w:rFonts w:hint="eastAsia" w:ascii="Times New Roman" w:hAnsi="Times New Roman" w:eastAsia="Arial" w:cs="Times New Roman"/>
                      <w:b/>
                      <w:bCs/>
                      <w:color w:val="auto"/>
                      <w:highlight w:val="none"/>
                      <w:lang w:val="en-US" w:eastAsia="zh-CN"/>
                    </w:rPr>
                    <w:t>仅含有</w:t>
                  </w:r>
                  <w:r>
                    <w:rPr>
                      <w:rFonts w:hint="eastAsia" w:ascii="Times New Roman" w:hAnsi="Times New Roman" w:eastAsia="Arial" w:cs="Times New Roman"/>
                      <w:b/>
                      <w:bCs/>
                      <w:color w:val="auto"/>
                      <w:highlight w:val="none"/>
                      <w:lang w:eastAsia="zh-CN"/>
                    </w:rPr>
                    <w:t>少量</w:t>
                  </w:r>
                  <w:r>
                    <w:rPr>
                      <w:rFonts w:hint="eastAsia" w:ascii="Times New Roman" w:hAnsi="Times New Roman" w:eastAsia="Arial" w:cs="Times New Roman"/>
                      <w:b/>
                      <w:bCs/>
                      <w:color w:val="auto"/>
                      <w:highlight w:val="none"/>
                      <w:lang w:val="en-US" w:eastAsia="zh-CN"/>
                    </w:rPr>
                    <w:t>灰尘</w:t>
                  </w:r>
                  <w:r>
                    <w:rPr>
                      <w:rFonts w:hint="eastAsia" w:ascii="Times New Roman" w:hAnsi="Times New Roman" w:eastAsia="Arial" w:cs="Times New Roman"/>
                      <w:b/>
                      <w:bCs/>
                      <w:color w:val="auto"/>
                      <w:highlight w:val="none"/>
                      <w:lang w:eastAsia="zh-CN"/>
                    </w:rPr>
                    <w:t>）</w:t>
                  </w:r>
                </w:p>
              </w:tc>
            </w:tr>
            <w:tr w14:paraId="1BFA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206CF52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8</w:t>
                  </w:r>
                </w:p>
              </w:tc>
              <w:tc>
                <w:tcPr>
                  <w:tcW w:w="348" w:type="pct"/>
                  <w:vAlign w:val="center"/>
                </w:tcPr>
                <w:p w14:paraId="12B50A1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SW72</w:t>
                  </w:r>
                </w:p>
                <w:p w14:paraId="0695143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工程垃圾</w:t>
                  </w:r>
                </w:p>
              </w:tc>
              <w:tc>
                <w:tcPr>
                  <w:tcW w:w="381" w:type="pct"/>
                  <w:vAlign w:val="center"/>
                </w:tcPr>
                <w:p w14:paraId="32F967C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非特定行业</w:t>
                  </w:r>
                </w:p>
              </w:tc>
              <w:tc>
                <w:tcPr>
                  <w:tcW w:w="484" w:type="pct"/>
                  <w:gridSpan w:val="2"/>
                  <w:vAlign w:val="center"/>
                </w:tcPr>
                <w:p w14:paraId="25103A7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900-001-S72</w:t>
                  </w:r>
                </w:p>
              </w:tc>
              <w:tc>
                <w:tcPr>
                  <w:tcW w:w="1263" w:type="pct"/>
                  <w:vAlign w:val="center"/>
                </w:tcPr>
                <w:p w14:paraId="4C88077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工程垃圾。各类建筑物、构筑物等建设过程中产生的弃料。</w:t>
                  </w:r>
                </w:p>
              </w:tc>
              <w:tc>
                <w:tcPr>
                  <w:tcW w:w="363" w:type="pct"/>
                  <w:vAlign w:val="center"/>
                </w:tcPr>
                <w:p w14:paraId="599A8EE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15000</w:t>
                  </w:r>
                </w:p>
              </w:tc>
              <w:tc>
                <w:tcPr>
                  <w:tcW w:w="455" w:type="pct"/>
                  <w:vAlign w:val="center"/>
                </w:tcPr>
                <w:p w14:paraId="40A62302">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1000</w:t>
                  </w:r>
                </w:p>
              </w:tc>
              <w:tc>
                <w:tcPr>
                  <w:tcW w:w="929" w:type="pct"/>
                  <w:vMerge w:val="restart"/>
                  <w:vAlign w:val="center"/>
                </w:tcPr>
                <w:p w14:paraId="7F12921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cs="Times New Roman"/>
                      <w:color w:val="auto"/>
                      <w:highlight w:val="none"/>
                      <w:lang w:val="en-US" w:eastAsia="zh-CN"/>
                    </w:rPr>
                    <w:t>废PVC（门窗</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管线）</w:t>
                  </w:r>
                  <w:r>
                    <w:rPr>
                      <w:rFonts w:hint="eastAsia" w:ascii="Times New Roman" w:hAnsi="Times New Roman" w:cs="Times New Roman"/>
                      <w:color w:val="auto"/>
                      <w:highlight w:val="none"/>
                      <w:lang w:val="en-US" w:eastAsia="zh-CN"/>
                    </w:rPr>
                    <w:t>多为</w:t>
                  </w:r>
                  <w:r>
                    <w:rPr>
                      <w:rFonts w:hint="default" w:ascii="Times New Roman" w:hAnsi="Times New Roman" w:cs="Times New Roman"/>
                      <w:color w:val="auto"/>
                      <w:highlight w:val="none"/>
                      <w:lang w:val="en-US" w:eastAsia="zh-CN"/>
                    </w:rPr>
                    <w:t>块状</w:t>
                  </w:r>
                  <w:r>
                    <w:rPr>
                      <w:rFonts w:hint="eastAsia" w:ascii="Times New Roman" w:hAnsi="Times New Roman" w:cs="Times New Roman"/>
                      <w:color w:val="auto"/>
                      <w:highlight w:val="none"/>
                      <w:lang w:val="en-US" w:eastAsia="zh-CN"/>
                    </w:rPr>
                    <w:t>或</w:t>
                  </w:r>
                  <w:r>
                    <w:rPr>
                      <w:rFonts w:hint="default" w:ascii="Times New Roman" w:hAnsi="Times New Roman" w:cs="Times New Roman"/>
                      <w:color w:val="auto"/>
                      <w:highlight w:val="none"/>
                      <w:lang w:val="en-US" w:eastAsia="zh-CN"/>
                    </w:rPr>
                    <w:t>条状，耐酸碱，易燃；废PE/PP（防水膜</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管材）</w:t>
                  </w:r>
                  <w:r>
                    <w:rPr>
                      <w:rFonts w:hint="eastAsia" w:ascii="Times New Roman" w:hAnsi="Times New Roman" w:cs="Times New Roman"/>
                      <w:color w:val="auto"/>
                      <w:highlight w:val="none"/>
                      <w:lang w:val="en-US" w:eastAsia="zh-CN"/>
                    </w:rPr>
                    <w:t>为</w:t>
                  </w:r>
                  <w:r>
                    <w:rPr>
                      <w:rFonts w:hint="default" w:ascii="Times New Roman" w:hAnsi="Times New Roman" w:cs="Times New Roman"/>
                      <w:color w:val="auto"/>
                      <w:highlight w:val="none"/>
                      <w:lang w:val="en-US" w:eastAsia="zh-CN"/>
                    </w:rPr>
                    <w:t>片状</w:t>
                  </w:r>
                  <w:r>
                    <w:rPr>
                      <w:rFonts w:hint="eastAsia" w:ascii="Times New Roman" w:hAnsi="Times New Roman" w:cs="Times New Roman"/>
                      <w:color w:val="auto"/>
                      <w:highlight w:val="none"/>
                      <w:lang w:val="en-US" w:eastAsia="zh-CN"/>
                    </w:rPr>
                    <w:t>或</w:t>
                  </w:r>
                  <w:r>
                    <w:rPr>
                      <w:rFonts w:hint="default" w:ascii="Times New Roman" w:hAnsi="Times New Roman" w:cs="Times New Roman"/>
                      <w:color w:val="auto"/>
                      <w:highlight w:val="none"/>
                      <w:lang w:val="en-US" w:eastAsia="zh-CN"/>
                    </w:rPr>
                    <w:t>块状，耐腐，易燃，难降解，可回收</w:t>
                  </w:r>
                </w:p>
              </w:tc>
              <w:tc>
                <w:tcPr>
                  <w:tcW w:w="577" w:type="pct"/>
                  <w:vMerge w:val="restart"/>
                  <w:vAlign w:val="center"/>
                </w:tcPr>
                <w:p w14:paraId="6287BB3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禁止</w:t>
                  </w:r>
                  <w:r>
                    <w:rPr>
                      <w:rFonts w:hint="eastAsia" w:cs="Times New Roman"/>
                      <w:color w:val="auto"/>
                      <w:highlight w:val="none"/>
                      <w:lang w:val="en-US" w:eastAsia="zh-CN"/>
                    </w:rPr>
                    <w:t>混</w:t>
                  </w:r>
                  <w:r>
                    <w:rPr>
                      <w:rFonts w:hint="eastAsia" w:ascii="Times New Roman" w:hAnsi="Times New Roman" w:cs="Times New Roman"/>
                      <w:color w:val="auto"/>
                      <w:highlight w:val="none"/>
                      <w:lang w:val="en-US" w:eastAsia="zh-CN"/>
                    </w:rPr>
                    <w:t>入</w:t>
                  </w:r>
                  <w:r>
                    <w:rPr>
                      <w:rFonts w:hint="eastAsia" w:ascii="Times New Roman" w:hAnsi="Times New Roman" w:eastAsia="宋体" w:cs="Times New Roman"/>
                      <w:color w:val="auto"/>
                      <w:highlight w:val="none"/>
                      <w:lang w:val="en-US" w:eastAsia="zh-CN"/>
                    </w:rPr>
                    <w:t>粘合剂和密封剂（水基型和热熔型粘合剂和密封剂除外）类危险废物</w:t>
                  </w:r>
                </w:p>
              </w:tc>
            </w:tr>
            <w:tr w14:paraId="1EFFB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6792DF1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9</w:t>
                  </w:r>
                </w:p>
              </w:tc>
              <w:tc>
                <w:tcPr>
                  <w:tcW w:w="348" w:type="pct"/>
                  <w:vMerge w:val="restart"/>
                  <w:vAlign w:val="center"/>
                </w:tcPr>
                <w:p w14:paraId="1F4395F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eastAsia="Arial" w:cs="Times New Roman"/>
                      <w:color w:val="auto"/>
                      <w:highlight w:val="none"/>
                      <w:lang w:val="en-US" w:eastAsia="zh-CN"/>
                    </w:rPr>
                    <w:t>SW73</w:t>
                  </w:r>
                </w:p>
                <w:p w14:paraId="2DD4A77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eastAsia="Arial" w:cs="Times New Roman"/>
                      <w:color w:val="auto"/>
                      <w:highlight w:val="none"/>
                      <w:lang w:val="en-US" w:eastAsia="zh-CN"/>
                    </w:rPr>
                    <w:t>拆除垃圾</w:t>
                  </w:r>
                </w:p>
              </w:tc>
              <w:tc>
                <w:tcPr>
                  <w:tcW w:w="381" w:type="pct"/>
                  <w:vMerge w:val="restart"/>
                  <w:vAlign w:val="center"/>
                </w:tcPr>
                <w:p w14:paraId="55D76570">
                  <w:pPr>
                    <w:keepNext w:val="0"/>
                    <w:keepLines w:val="0"/>
                    <w:pageBreakBefore w:val="0"/>
                    <w:widowControl/>
                    <w:suppressLineNumbers w:val="0"/>
                    <w:kinsoku/>
                    <w:wordWrap w:val="0"/>
                    <w:overflowPunct w:val="0"/>
                    <w:topLinePunct w:val="0"/>
                    <w:bidi w:val="0"/>
                    <w:jc w:val="center"/>
                    <w:rPr>
                      <w:rFonts w:hint="default" w:ascii="Times New Roman" w:hAnsi="Times New Roman" w:eastAsia="Arial" w:cs="Times New Roman"/>
                      <w:color w:val="auto"/>
                      <w:highlight w:val="none"/>
                      <w:lang w:eastAsia="zh-CN"/>
                    </w:rPr>
                  </w:pPr>
                  <w:r>
                    <w:rPr>
                      <w:rFonts w:hint="eastAsia" w:ascii="宋体" w:hAnsi="宋体" w:eastAsia="宋体" w:cs="宋体"/>
                      <w:snapToGrid w:val="0"/>
                      <w:color w:val="auto"/>
                      <w:kern w:val="0"/>
                      <w:sz w:val="21"/>
                      <w:szCs w:val="21"/>
                      <w:highlight w:val="none"/>
                      <w:lang w:val="en-US" w:eastAsia="zh-CN" w:bidi="ar"/>
                    </w:rPr>
                    <w:t>建筑物拆除和场地准备活动</w:t>
                  </w:r>
                </w:p>
              </w:tc>
              <w:tc>
                <w:tcPr>
                  <w:tcW w:w="484" w:type="pct"/>
                  <w:gridSpan w:val="2"/>
                  <w:vAlign w:val="center"/>
                </w:tcPr>
                <w:p w14:paraId="435B6E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502-002-S73</w:t>
                  </w:r>
                </w:p>
              </w:tc>
              <w:tc>
                <w:tcPr>
                  <w:tcW w:w="1263" w:type="pct"/>
                  <w:vAlign w:val="center"/>
                </w:tcPr>
                <w:p w14:paraId="5451C6F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各类建筑物、构筑物等拆除过程中产生的木材弃料。</w:t>
                  </w:r>
                </w:p>
              </w:tc>
              <w:tc>
                <w:tcPr>
                  <w:tcW w:w="363" w:type="pct"/>
                  <w:vAlign w:val="center"/>
                </w:tcPr>
                <w:p w14:paraId="75E90A4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5000</w:t>
                  </w:r>
                </w:p>
              </w:tc>
              <w:tc>
                <w:tcPr>
                  <w:tcW w:w="455" w:type="pct"/>
                  <w:vAlign w:val="center"/>
                </w:tcPr>
                <w:p w14:paraId="2A3F5BC1">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333</w:t>
                  </w:r>
                </w:p>
              </w:tc>
              <w:tc>
                <w:tcPr>
                  <w:tcW w:w="929" w:type="pct"/>
                  <w:vMerge w:val="continue"/>
                  <w:vAlign w:val="center"/>
                </w:tcPr>
                <w:p w14:paraId="55EF05A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auto"/>
                      <w:highlight w:val="none"/>
                      <w:lang w:val="en-US" w:eastAsia="zh-CN"/>
                    </w:rPr>
                  </w:pPr>
                </w:p>
              </w:tc>
              <w:tc>
                <w:tcPr>
                  <w:tcW w:w="577" w:type="pct"/>
                  <w:vMerge w:val="continue"/>
                  <w:vAlign w:val="center"/>
                </w:tcPr>
                <w:p w14:paraId="087E0428">
                  <w:pPr>
                    <w:keepNext w:val="0"/>
                    <w:keepLines w:val="0"/>
                    <w:pageBreakBefore w:val="0"/>
                    <w:widowControl/>
                    <w:suppressLineNumbers w:val="0"/>
                    <w:kinsoku/>
                    <w:wordWrap w:val="0"/>
                    <w:overflowPunct w:val="0"/>
                    <w:topLinePunct w:val="0"/>
                    <w:autoSpaceDE/>
                    <w:autoSpaceDN/>
                    <w:bidi w:val="0"/>
                    <w:adjustRightInd/>
                    <w:snapToGrid/>
                    <w:jc w:val="both"/>
                    <w:textAlignment w:val="auto"/>
                    <w:rPr>
                      <w:rFonts w:hint="default" w:ascii="Times New Roman" w:hAnsi="Times New Roman" w:cs="Times New Roman"/>
                      <w:color w:val="auto"/>
                      <w:highlight w:val="none"/>
                      <w:lang w:val="en-US" w:eastAsia="zh-CN"/>
                    </w:rPr>
                  </w:pPr>
                </w:p>
              </w:tc>
            </w:tr>
            <w:tr w14:paraId="60EF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2B860E7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3BDB6C8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10CED1D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6954D8C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502-003-S73</w:t>
                  </w:r>
                </w:p>
              </w:tc>
              <w:tc>
                <w:tcPr>
                  <w:tcW w:w="1263" w:type="pct"/>
                  <w:vAlign w:val="center"/>
                </w:tcPr>
                <w:p w14:paraId="7856D88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各类建筑物、构筑物等拆除过程中产生的塑料弃料。</w:t>
                  </w:r>
                </w:p>
              </w:tc>
              <w:tc>
                <w:tcPr>
                  <w:tcW w:w="363" w:type="pct"/>
                  <w:vAlign w:val="center"/>
                </w:tcPr>
                <w:p w14:paraId="1561FD7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10000</w:t>
                  </w:r>
                </w:p>
              </w:tc>
              <w:tc>
                <w:tcPr>
                  <w:tcW w:w="455" w:type="pct"/>
                  <w:vAlign w:val="center"/>
                </w:tcPr>
                <w:p w14:paraId="1D609C7B">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667</w:t>
                  </w:r>
                </w:p>
              </w:tc>
              <w:tc>
                <w:tcPr>
                  <w:tcW w:w="929" w:type="pct"/>
                  <w:vMerge w:val="continue"/>
                  <w:vAlign w:val="center"/>
                </w:tcPr>
                <w:p w14:paraId="62DB83C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auto"/>
                      <w:highlight w:val="none"/>
                      <w:lang w:val="en-US" w:eastAsia="zh-CN"/>
                    </w:rPr>
                  </w:pPr>
                </w:p>
              </w:tc>
              <w:tc>
                <w:tcPr>
                  <w:tcW w:w="577" w:type="pct"/>
                  <w:vMerge w:val="continue"/>
                  <w:vAlign w:val="center"/>
                </w:tcPr>
                <w:p w14:paraId="01A846D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auto"/>
                      <w:highlight w:val="none"/>
                      <w:lang w:val="en-US" w:eastAsia="zh-CN"/>
                    </w:rPr>
                  </w:pPr>
                </w:p>
              </w:tc>
            </w:tr>
            <w:tr w14:paraId="090C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336EDAA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59A15CF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13718B8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0602E9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502-099-S73</w:t>
                  </w:r>
                </w:p>
              </w:tc>
              <w:tc>
                <w:tcPr>
                  <w:tcW w:w="1263" w:type="pct"/>
                  <w:vAlign w:val="center"/>
                </w:tcPr>
                <w:p w14:paraId="69A93AE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以上之外的各类建筑物、构筑物等拆除过程中产生的其他弃料。</w:t>
                  </w:r>
                </w:p>
              </w:tc>
              <w:tc>
                <w:tcPr>
                  <w:tcW w:w="363" w:type="pct"/>
                  <w:vAlign w:val="center"/>
                </w:tcPr>
                <w:p w14:paraId="75777DD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15000</w:t>
                  </w:r>
                </w:p>
              </w:tc>
              <w:tc>
                <w:tcPr>
                  <w:tcW w:w="455" w:type="pct"/>
                  <w:vAlign w:val="center"/>
                </w:tcPr>
                <w:p w14:paraId="04AB38AA">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1000</w:t>
                  </w:r>
                </w:p>
              </w:tc>
              <w:tc>
                <w:tcPr>
                  <w:tcW w:w="929" w:type="pct"/>
                  <w:vMerge w:val="continue"/>
                  <w:vAlign w:val="center"/>
                </w:tcPr>
                <w:p w14:paraId="343E7EA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auto"/>
                      <w:highlight w:val="none"/>
                      <w:lang w:val="en-US" w:eastAsia="zh-CN"/>
                    </w:rPr>
                  </w:pPr>
                </w:p>
              </w:tc>
              <w:tc>
                <w:tcPr>
                  <w:tcW w:w="577" w:type="pct"/>
                  <w:vMerge w:val="continue"/>
                  <w:vAlign w:val="center"/>
                </w:tcPr>
                <w:p w14:paraId="605C7BE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auto"/>
                      <w:highlight w:val="none"/>
                      <w:lang w:val="en-US" w:eastAsia="zh-CN"/>
                    </w:rPr>
                  </w:pPr>
                </w:p>
              </w:tc>
            </w:tr>
            <w:tr w14:paraId="12619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192CD21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10</w:t>
                  </w:r>
                </w:p>
              </w:tc>
              <w:tc>
                <w:tcPr>
                  <w:tcW w:w="348" w:type="pct"/>
                  <w:vAlign w:val="center"/>
                </w:tcPr>
                <w:p w14:paraId="6EFF15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SW74</w:t>
                  </w:r>
                </w:p>
                <w:p w14:paraId="24C7687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装修垃圾</w:t>
                  </w:r>
                </w:p>
              </w:tc>
              <w:tc>
                <w:tcPr>
                  <w:tcW w:w="381" w:type="pct"/>
                  <w:vAlign w:val="center"/>
                </w:tcPr>
                <w:p w14:paraId="68E3491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建筑装饰和装修业</w:t>
                  </w:r>
                </w:p>
              </w:tc>
              <w:tc>
                <w:tcPr>
                  <w:tcW w:w="484" w:type="pct"/>
                  <w:gridSpan w:val="2"/>
                  <w:vAlign w:val="center"/>
                </w:tcPr>
                <w:p w14:paraId="7277BF6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501-001-S74</w:t>
                  </w:r>
                </w:p>
              </w:tc>
              <w:tc>
                <w:tcPr>
                  <w:tcW w:w="1263" w:type="pct"/>
                  <w:vAlign w:val="center"/>
                </w:tcPr>
                <w:p w14:paraId="2277AF1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装修垃圾。装饰装修房屋过程中产生的废弃物。</w:t>
                  </w:r>
                </w:p>
              </w:tc>
              <w:tc>
                <w:tcPr>
                  <w:tcW w:w="363" w:type="pct"/>
                  <w:vAlign w:val="center"/>
                </w:tcPr>
                <w:p w14:paraId="6513F12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5000</w:t>
                  </w:r>
                </w:p>
              </w:tc>
              <w:tc>
                <w:tcPr>
                  <w:tcW w:w="455" w:type="pct"/>
                  <w:vAlign w:val="center"/>
                </w:tcPr>
                <w:p w14:paraId="17393A0F">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333</w:t>
                  </w:r>
                </w:p>
              </w:tc>
              <w:tc>
                <w:tcPr>
                  <w:tcW w:w="929" w:type="pct"/>
                  <w:vMerge w:val="continue"/>
                  <w:vAlign w:val="center"/>
                </w:tcPr>
                <w:p w14:paraId="7B0E14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p>
              </w:tc>
              <w:tc>
                <w:tcPr>
                  <w:tcW w:w="577" w:type="pct"/>
                  <w:vMerge w:val="continue"/>
                  <w:vAlign w:val="center"/>
                </w:tcPr>
                <w:p w14:paraId="64A366B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auto"/>
                      <w:highlight w:val="none"/>
                      <w:lang w:val="en-US" w:eastAsia="zh-CN"/>
                    </w:rPr>
                  </w:pPr>
                </w:p>
              </w:tc>
            </w:tr>
            <w:tr w14:paraId="6A4DE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5000" w:type="pct"/>
                  <w:gridSpan w:val="10"/>
                  <w:vAlign w:val="center"/>
                </w:tcPr>
                <w:p w14:paraId="30A4019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Arial" w:cs="Times New Roman"/>
                      <w:color w:val="auto"/>
                      <w:highlight w:val="none"/>
                      <w:lang w:eastAsia="zh-CN"/>
                    </w:rPr>
                  </w:pPr>
                  <w:r>
                    <w:rPr>
                      <w:rFonts w:hint="default" w:ascii="Times New Roman" w:hAnsi="Times New Roman" w:eastAsia="Arial" w:cs="Times New Roman"/>
                      <w:b/>
                      <w:bCs/>
                      <w:color w:val="auto"/>
                      <w:highlight w:val="none"/>
                      <w:lang w:eastAsia="zh-CN"/>
                    </w:rPr>
                    <w:t>农业固体废物</w:t>
                  </w:r>
                </w:p>
              </w:tc>
            </w:tr>
            <w:tr w14:paraId="62E2A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4C1273C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11</w:t>
                  </w:r>
                </w:p>
              </w:tc>
              <w:tc>
                <w:tcPr>
                  <w:tcW w:w="348" w:type="pct"/>
                  <w:vMerge w:val="restart"/>
                  <w:vAlign w:val="center"/>
                </w:tcPr>
                <w:p w14:paraId="0340506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SW80</w:t>
                  </w:r>
                </w:p>
                <w:p w14:paraId="13C52BC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农业废物</w:t>
                  </w:r>
                </w:p>
              </w:tc>
              <w:tc>
                <w:tcPr>
                  <w:tcW w:w="381" w:type="pct"/>
                  <w:vMerge w:val="restart"/>
                  <w:vAlign w:val="center"/>
                </w:tcPr>
                <w:p w14:paraId="7029329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农业</w:t>
                  </w:r>
                </w:p>
              </w:tc>
              <w:tc>
                <w:tcPr>
                  <w:tcW w:w="484" w:type="pct"/>
                  <w:gridSpan w:val="2"/>
                  <w:vAlign w:val="center"/>
                </w:tcPr>
                <w:p w14:paraId="7785E91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010-001-S80</w:t>
                  </w:r>
                </w:p>
              </w:tc>
              <w:tc>
                <w:tcPr>
                  <w:tcW w:w="1263" w:type="pct"/>
                  <w:vAlign w:val="center"/>
                </w:tcPr>
                <w:p w14:paraId="5038685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废弃农用薄膜。农业生产过程中产生的废弃地面覆盖薄膜和棚膜。</w:t>
                  </w:r>
                </w:p>
              </w:tc>
              <w:tc>
                <w:tcPr>
                  <w:tcW w:w="363" w:type="pct"/>
                  <w:vAlign w:val="center"/>
                </w:tcPr>
                <w:p w14:paraId="738E401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5000</w:t>
                  </w:r>
                </w:p>
              </w:tc>
              <w:tc>
                <w:tcPr>
                  <w:tcW w:w="455" w:type="pct"/>
                  <w:vAlign w:val="center"/>
                </w:tcPr>
                <w:p w14:paraId="180B3055">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333</w:t>
                  </w:r>
                </w:p>
              </w:tc>
              <w:tc>
                <w:tcPr>
                  <w:tcW w:w="929" w:type="pct"/>
                  <w:vAlign w:val="center"/>
                </w:tcPr>
                <w:p w14:paraId="529E7E8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废地面覆盖膜</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薄片状，PE材质，易燃；废棚膜</w:t>
                  </w:r>
                  <w:r>
                    <w:rPr>
                      <w:rFonts w:hint="eastAsia" w:ascii="Times New Roman" w:hAnsi="Times New Roman" w:eastAsia="Arial" w:cs="Times New Roman"/>
                      <w:color w:val="auto"/>
                      <w:highlight w:val="none"/>
                      <w:lang w:val="en-US" w:eastAsia="zh-CN"/>
                    </w:rPr>
                    <w:t>多为</w:t>
                  </w:r>
                  <w:r>
                    <w:rPr>
                      <w:rFonts w:hint="default" w:ascii="Times New Roman" w:hAnsi="Times New Roman" w:eastAsia="Arial" w:cs="Times New Roman"/>
                      <w:color w:val="auto"/>
                      <w:highlight w:val="none"/>
                      <w:lang w:eastAsia="zh-CN"/>
                    </w:rPr>
                    <w:t>较厚片状，PE</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PVC材质，易燃</w:t>
                  </w:r>
                </w:p>
              </w:tc>
              <w:tc>
                <w:tcPr>
                  <w:tcW w:w="577" w:type="pct"/>
                  <w:vAlign w:val="center"/>
                </w:tcPr>
                <w:p w14:paraId="42C270F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eastAsia="Arial" w:cs="Times New Roman"/>
                      <w:color w:val="auto"/>
                      <w:highlight w:val="none"/>
                      <w:lang w:eastAsia="zh-CN"/>
                    </w:rPr>
                    <w:t>/</w:t>
                  </w:r>
                </w:p>
              </w:tc>
            </w:tr>
            <w:tr w14:paraId="6AC71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13F3724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26125A1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6A9FDFA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1253552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010-002-S80</w:t>
                  </w:r>
                </w:p>
              </w:tc>
              <w:tc>
                <w:tcPr>
                  <w:tcW w:w="1263" w:type="pct"/>
                  <w:vAlign w:val="center"/>
                </w:tcPr>
                <w:p w14:paraId="7E0D3FA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作物秸秆。稻谷、小麦、玉米等农业种植产生的秸秆。</w:t>
                  </w:r>
                </w:p>
              </w:tc>
              <w:tc>
                <w:tcPr>
                  <w:tcW w:w="363" w:type="pct"/>
                  <w:vAlign w:val="center"/>
                </w:tcPr>
                <w:p w14:paraId="18F664E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5000</w:t>
                  </w:r>
                </w:p>
              </w:tc>
              <w:tc>
                <w:tcPr>
                  <w:tcW w:w="455" w:type="pct"/>
                  <w:vAlign w:val="center"/>
                </w:tcPr>
                <w:p w14:paraId="63A9CB3F">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333</w:t>
                  </w:r>
                </w:p>
              </w:tc>
              <w:tc>
                <w:tcPr>
                  <w:tcW w:w="929" w:type="pct"/>
                  <w:vAlign w:val="center"/>
                </w:tcPr>
                <w:p w14:paraId="33C07A0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稻谷秸秆</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中空管状，含纤维素、木质素，易燃；小麦</w:t>
                  </w:r>
                  <w:r>
                    <w:rPr>
                      <w:rFonts w:hint="eastAsia" w:ascii="Times New Roman" w:hAnsi="Times New Roman" w:eastAsia="Arial" w:cs="Times New Roman"/>
                      <w:color w:val="auto"/>
                      <w:highlight w:val="none"/>
                      <w:lang w:val="en-US" w:eastAsia="zh-CN"/>
                    </w:rPr>
                    <w:t>和</w:t>
                  </w:r>
                  <w:r>
                    <w:rPr>
                      <w:rFonts w:hint="default" w:ascii="Times New Roman" w:hAnsi="Times New Roman" w:eastAsia="Arial" w:cs="Times New Roman"/>
                      <w:color w:val="auto"/>
                      <w:highlight w:val="none"/>
                      <w:lang w:eastAsia="zh-CN"/>
                    </w:rPr>
                    <w:t>玉米秸秆</w:t>
                  </w:r>
                  <w:r>
                    <w:rPr>
                      <w:rFonts w:hint="eastAsia" w:ascii="Times New Roman" w:hAnsi="Times New Roman" w:eastAsia="Arial" w:cs="Times New Roman"/>
                      <w:color w:val="auto"/>
                      <w:highlight w:val="none"/>
                      <w:lang w:val="en-US" w:eastAsia="zh-CN"/>
                    </w:rPr>
                    <w:t>为</w:t>
                  </w:r>
                  <w:r>
                    <w:rPr>
                      <w:rFonts w:hint="default" w:ascii="Times New Roman" w:hAnsi="Times New Roman" w:eastAsia="Arial" w:cs="Times New Roman"/>
                      <w:color w:val="auto"/>
                      <w:highlight w:val="none"/>
                      <w:lang w:eastAsia="zh-CN"/>
                    </w:rPr>
                    <w:t>纤维状，</w:t>
                  </w:r>
                  <w:r>
                    <w:rPr>
                      <w:rFonts w:hint="eastAsia" w:ascii="Times New Roman" w:hAnsi="Times New Roman" w:eastAsia="Arial" w:cs="Times New Roman"/>
                      <w:color w:val="auto"/>
                      <w:highlight w:val="none"/>
                      <w:lang w:val="en-US" w:eastAsia="zh-CN"/>
                    </w:rPr>
                    <w:t>易燃</w:t>
                  </w:r>
                </w:p>
              </w:tc>
              <w:tc>
                <w:tcPr>
                  <w:tcW w:w="577" w:type="pct"/>
                  <w:vAlign w:val="center"/>
                </w:tcPr>
                <w:p w14:paraId="467530C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48CCA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2931C03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13F0637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6136B4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0AB0E52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010-004-S80</w:t>
                  </w:r>
                </w:p>
              </w:tc>
              <w:tc>
                <w:tcPr>
                  <w:tcW w:w="1263" w:type="pct"/>
                  <w:vAlign w:val="center"/>
                </w:tcPr>
                <w:p w14:paraId="7BF41E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废弃农业投入品包装物。农业生产过程中产生废弃的肥料</w:t>
                  </w:r>
                  <w:r>
                    <w:rPr>
                      <w:rFonts w:hint="eastAsia" w:ascii="Times New Roman" w:hAnsi="Times New Roman" w:eastAsia="宋体" w:cs="Times New Roman"/>
                      <w:bCs/>
                      <w:color w:val="auto"/>
                      <w:kern w:val="2"/>
                      <w:sz w:val="21"/>
                      <w:szCs w:val="21"/>
                      <w:highlight w:val="none"/>
                      <w:lang w:val="en-US" w:eastAsia="zh-CN" w:bidi="ar-SA"/>
                    </w:rPr>
                    <w:t>/</w:t>
                  </w:r>
                  <w:r>
                    <w:rPr>
                      <w:rFonts w:hint="default" w:ascii="Times New Roman" w:hAnsi="Times New Roman" w:eastAsia="宋体" w:cs="Times New Roman"/>
                      <w:bCs/>
                      <w:color w:val="auto"/>
                      <w:kern w:val="2"/>
                      <w:sz w:val="21"/>
                      <w:szCs w:val="21"/>
                      <w:highlight w:val="none"/>
                      <w:lang w:val="en-US" w:eastAsia="zh-CN" w:bidi="ar-SA"/>
                    </w:rPr>
                    <w:t>饲料包装物，以及充分清洗后的农药、激素、药物的包装物等。</w:t>
                  </w:r>
                </w:p>
              </w:tc>
              <w:tc>
                <w:tcPr>
                  <w:tcW w:w="363" w:type="pct"/>
                  <w:vAlign w:val="center"/>
                </w:tcPr>
                <w:p w14:paraId="63FFA19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10000</w:t>
                  </w:r>
                </w:p>
              </w:tc>
              <w:tc>
                <w:tcPr>
                  <w:tcW w:w="455" w:type="pct"/>
                  <w:vAlign w:val="center"/>
                </w:tcPr>
                <w:p w14:paraId="0BBBD2E5">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667</w:t>
                  </w:r>
                </w:p>
              </w:tc>
              <w:tc>
                <w:tcPr>
                  <w:tcW w:w="929" w:type="pct"/>
                  <w:vAlign w:val="center"/>
                </w:tcPr>
                <w:p w14:paraId="0160DCC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val="en-US" w:eastAsia="zh-CN"/>
                    </w:rPr>
                  </w:pPr>
                  <w:r>
                    <w:rPr>
                      <w:rFonts w:hint="default" w:ascii="Times New Roman" w:hAnsi="Times New Roman" w:eastAsia="Arial" w:cs="Times New Roman"/>
                      <w:color w:val="auto"/>
                      <w:highlight w:val="none"/>
                      <w:lang w:val="en-US" w:eastAsia="zh-CN"/>
                    </w:rPr>
                    <w:t>废肥料</w:t>
                  </w:r>
                  <w:r>
                    <w:rPr>
                      <w:rFonts w:hint="eastAsia" w:ascii="Times New Roman" w:hAnsi="Times New Roman" w:eastAsia="Arial" w:cs="Times New Roman"/>
                      <w:color w:val="auto"/>
                      <w:highlight w:val="none"/>
                      <w:lang w:val="en-US" w:eastAsia="zh-CN"/>
                    </w:rPr>
                    <w:t>和</w:t>
                  </w:r>
                  <w:r>
                    <w:rPr>
                      <w:rFonts w:hint="default" w:ascii="Times New Roman" w:hAnsi="Times New Roman" w:eastAsia="Arial" w:cs="Times New Roman"/>
                      <w:color w:val="auto"/>
                      <w:highlight w:val="none"/>
                      <w:lang w:val="en-US" w:eastAsia="zh-CN"/>
                    </w:rPr>
                    <w:t>饲料包装物多为PE/PP材质，片状</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val="en-US" w:eastAsia="zh-CN"/>
                    </w:rPr>
                    <w:t>袋状，易燃；清洗后农药等包装物多为HDPE</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val="en-US" w:eastAsia="zh-CN"/>
                    </w:rPr>
                    <w:t>玻璃</w:t>
                  </w:r>
                  <w:r>
                    <w:rPr>
                      <w:rFonts w:hint="eastAsia" w:ascii="Times New Roman" w:hAnsi="Times New Roman" w:eastAsia="Arial" w:cs="Times New Roman"/>
                      <w:color w:val="auto"/>
                      <w:highlight w:val="none"/>
                      <w:lang w:val="en-US" w:eastAsia="zh-CN"/>
                    </w:rPr>
                    <w:t>，易燃</w:t>
                  </w:r>
                </w:p>
              </w:tc>
              <w:tc>
                <w:tcPr>
                  <w:tcW w:w="577" w:type="pct"/>
                  <w:vAlign w:val="center"/>
                </w:tcPr>
                <w:p w14:paraId="3429426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禁止混入沾染</w:t>
                  </w:r>
                  <w:r>
                    <w:rPr>
                      <w:rFonts w:hint="default" w:ascii="Times New Roman" w:hAnsi="Times New Roman" w:eastAsia="Arial" w:cs="Times New Roman"/>
                      <w:color w:val="auto"/>
                      <w:highlight w:val="none"/>
                      <w:lang w:eastAsia="zh-CN"/>
                    </w:rPr>
                    <w:t>农药、激素、药物</w:t>
                  </w:r>
                  <w:r>
                    <w:rPr>
                      <w:rFonts w:hint="eastAsia" w:ascii="Times New Roman" w:hAnsi="Times New Roman" w:cs="Times New Roman"/>
                      <w:color w:val="auto"/>
                      <w:highlight w:val="none"/>
                      <w:lang w:val="en-US" w:eastAsia="zh-CN"/>
                    </w:rPr>
                    <w:t>的废弃物</w:t>
                  </w:r>
                </w:p>
              </w:tc>
            </w:tr>
            <w:tr w14:paraId="313A2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1B00342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48" w:type="pct"/>
                  <w:vMerge w:val="continue"/>
                  <w:vAlign w:val="center"/>
                </w:tcPr>
                <w:p w14:paraId="3CA0AAF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381" w:type="pct"/>
                  <w:vMerge w:val="continue"/>
                  <w:vAlign w:val="center"/>
                </w:tcPr>
                <w:p w14:paraId="6957EC4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484" w:type="pct"/>
                  <w:gridSpan w:val="2"/>
                  <w:vAlign w:val="center"/>
                </w:tcPr>
                <w:p w14:paraId="6D10D7B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010-099-S80</w:t>
                  </w:r>
                </w:p>
              </w:tc>
              <w:tc>
                <w:tcPr>
                  <w:tcW w:w="1263" w:type="pct"/>
                  <w:vAlign w:val="center"/>
                </w:tcPr>
                <w:p w14:paraId="04592C5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其他农业废物。农业生产活动中产生的其他固体废物。</w:t>
                  </w:r>
                </w:p>
              </w:tc>
              <w:tc>
                <w:tcPr>
                  <w:tcW w:w="363" w:type="pct"/>
                  <w:vAlign w:val="center"/>
                </w:tcPr>
                <w:p w14:paraId="23673C2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10000</w:t>
                  </w:r>
                </w:p>
              </w:tc>
              <w:tc>
                <w:tcPr>
                  <w:tcW w:w="455" w:type="pct"/>
                  <w:vAlign w:val="center"/>
                </w:tcPr>
                <w:p w14:paraId="7F519D50">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667</w:t>
                  </w:r>
                </w:p>
              </w:tc>
              <w:tc>
                <w:tcPr>
                  <w:tcW w:w="929" w:type="pct"/>
                  <w:vAlign w:val="center"/>
                </w:tcPr>
                <w:p w14:paraId="2DAD9E6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24C27CB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1E7DC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796C35B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12</w:t>
                  </w:r>
                </w:p>
              </w:tc>
              <w:tc>
                <w:tcPr>
                  <w:tcW w:w="348" w:type="pct"/>
                  <w:vAlign w:val="center"/>
                </w:tcPr>
                <w:p w14:paraId="0C561C1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SW81</w:t>
                  </w:r>
                </w:p>
                <w:p w14:paraId="3B6550F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林业废物</w:t>
                  </w:r>
                </w:p>
              </w:tc>
              <w:tc>
                <w:tcPr>
                  <w:tcW w:w="381" w:type="pct"/>
                  <w:vAlign w:val="center"/>
                </w:tcPr>
                <w:p w14:paraId="7F70EED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林业</w:t>
                  </w:r>
                </w:p>
              </w:tc>
              <w:tc>
                <w:tcPr>
                  <w:tcW w:w="484" w:type="pct"/>
                  <w:gridSpan w:val="2"/>
                  <w:vAlign w:val="center"/>
                </w:tcPr>
                <w:p w14:paraId="2A87935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020-001-S81</w:t>
                  </w:r>
                </w:p>
              </w:tc>
              <w:tc>
                <w:tcPr>
                  <w:tcW w:w="1263" w:type="pct"/>
                  <w:vAlign w:val="center"/>
                </w:tcPr>
                <w:p w14:paraId="6AFBB32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林业废物。林业生产活动产生的固体废物。</w:t>
                  </w:r>
                </w:p>
              </w:tc>
              <w:tc>
                <w:tcPr>
                  <w:tcW w:w="363" w:type="pct"/>
                  <w:vAlign w:val="center"/>
                </w:tcPr>
                <w:p w14:paraId="0F980E9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10000</w:t>
                  </w:r>
                </w:p>
              </w:tc>
              <w:tc>
                <w:tcPr>
                  <w:tcW w:w="455" w:type="pct"/>
                  <w:vAlign w:val="center"/>
                </w:tcPr>
                <w:p w14:paraId="50DA7592">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667</w:t>
                  </w:r>
                </w:p>
              </w:tc>
              <w:tc>
                <w:tcPr>
                  <w:tcW w:w="929" w:type="pct"/>
                  <w:vAlign w:val="center"/>
                </w:tcPr>
                <w:p w14:paraId="2181A4C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ascii="Times New Roman" w:hAnsi="Times New Roman" w:cs="Times New Roman"/>
                      <w:color w:val="auto"/>
                      <w:highlight w:val="none"/>
                      <w:lang w:val="en-US" w:eastAsia="zh-CN"/>
                    </w:rPr>
                    <w:t>多为块状或碎屑，含纤维素、木质素，吸湿性强，易燃，无有毒气体，易被微生物分解</w:t>
                  </w:r>
                </w:p>
              </w:tc>
              <w:tc>
                <w:tcPr>
                  <w:tcW w:w="577" w:type="pct"/>
                  <w:vAlign w:val="center"/>
                </w:tcPr>
                <w:p w14:paraId="4B38123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r>
            <w:tr w14:paraId="79E34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4DA1DF2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13</w:t>
                  </w:r>
                </w:p>
              </w:tc>
              <w:tc>
                <w:tcPr>
                  <w:tcW w:w="348" w:type="pct"/>
                  <w:vAlign w:val="center"/>
                </w:tcPr>
                <w:p w14:paraId="1C060BC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SW83</w:t>
                  </w:r>
                </w:p>
                <w:p w14:paraId="58189BB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渔业废物</w:t>
                  </w:r>
                </w:p>
                <w:p w14:paraId="1005467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p>
              </w:tc>
              <w:tc>
                <w:tcPr>
                  <w:tcW w:w="381" w:type="pct"/>
                  <w:vAlign w:val="center"/>
                </w:tcPr>
                <w:p w14:paraId="353CB3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渔业</w:t>
                  </w:r>
                </w:p>
              </w:tc>
              <w:tc>
                <w:tcPr>
                  <w:tcW w:w="484" w:type="pct"/>
                  <w:gridSpan w:val="2"/>
                  <w:vAlign w:val="center"/>
                </w:tcPr>
                <w:p w14:paraId="74B1BEE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040-001-S83</w:t>
                  </w:r>
                </w:p>
              </w:tc>
              <w:tc>
                <w:tcPr>
                  <w:tcW w:w="1263" w:type="pct"/>
                  <w:vAlign w:val="center"/>
                </w:tcPr>
                <w:p w14:paraId="452DF6E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渔业废物。渔业生产活动产生的固体废物。</w:t>
                  </w:r>
                </w:p>
              </w:tc>
              <w:tc>
                <w:tcPr>
                  <w:tcW w:w="363" w:type="pct"/>
                  <w:vAlign w:val="center"/>
                </w:tcPr>
                <w:p w14:paraId="05AE432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eastAsia="Arial" w:cs="Times New Roman"/>
                      <w:color w:val="auto"/>
                      <w:highlight w:val="none"/>
                      <w:lang w:val="en-US" w:eastAsia="zh-CN"/>
                    </w:rPr>
                    <w:t>2100</w:t>
                  </w:r>
                </w:p>
              </w:tc>
              <w:tc>
                <w:tcPr>
                  <w:tcW w:w="455" w:type="pct"/>
                  <w:vAlign w:val="center"/>
                </w:tcPr>
                <w:p w14:paraId="76E9CC79">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Arial"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140</w:t>
                  </w:r>
                </w:p>
              </w:tc>
              <w:tc>
                <w:tcPr>
                  <w:tcW w:w="929" w:type="pct"/>
                  <w:vAlign w:val="center"/>
                </w:tcPr>
                <w:p w14:paraId="79D099A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ascii="Times New Roman" w:hAnsi="Times New Roman" w:eastAsia="Arial" w:cs="Times New Roman"/>
                      <w:color w:val="auto"/>
                      <w:highlight w:val="none"/>
                      <w:lang w:val="en-US" w:eastAsia="zh-CN"/>
                    </w:rPr>
                    <w:t>主要为</w:t>
                  </w:r>
                  <w:r>
                    <w:rPr>
                      <w:rFonts w:hint="default" w:ascii="Times New Roman" w:hAnsi="Times New Roman" w:eastAsia="Arial" w:cs="Times New Roman"/>
                      <w:color w:val="auto"/>
                      <w:highlight w:val="none"/>
                      <w:lang w:eastAsia="zh-CN"/>
                    </w:rPr>
                    <w:t>废弃渔网</w:t>
                  </w:r>
                  <w:r>
                    <w:rPr>
                      <w:rFonts w:hint="eastAsia" w:ascii="Times New Roman" w:hAnsi="Times New Roman" w:eastAsia="Arial" w:cs="Times New Roman"/>
                      <w:color w:val="auto"/>
                      <w:highlight w:val="none"/>
                      <w:lang w:eastAsia="zh-CN"/>
                    </w:rPr>
                    <w:t>，</w:t>
                  </w:r>
                  <w:r>
                    <w:rPr>
                      <w:rFonts w:hint="default" w:ascii="Times New Roman" w:hAnsi="Times New Roman" w:eastAsia="Arial" w:cs="Times New Roman"/>
                      <w:color w:val="auto"/>
                      <w:highlight w:val="none"/>
                      <w:lang w:eastAsia="zh-CN"/>
                    </w:rPr>
                    <w:t>尼龙</w:t>
                  </w:r>
                  <w:r>
                    <w:rPr>
                      <w:rFonts w:hint="eastAsia" w:ascii="Times New Roman" w:hAnsi="Times New Roman" w:eastAsia="Arial" w:cs="Times New Roman"/>
                      <w:color w:val="auto"/>
                      <w:highlight w:val="none"/>
                      <w:lang w:val="en-US" w:eastAsia="zh-CN"/>
                    </w:rPr>
                    <w:t>或</w:t>
                  </w:r>
                  <w:r>
                    <w:rPr>
                      <w:rFonts w:hint="default" w:ascii="Times New Roman" w:hAnsi="Times New Roman" w:eastAsia="Arial" w:cs="Times New Roman"/>
                      <w:color w:val="auto"/>
                      <w:highlight w:val="none"/>
                      <w:lang w:eastAsia="zh-CN"/>
                    </w:rPr>
                    <w:t>PE材质，网状，耐酸碱难降解，易燃</w:t>
                  </w:r>
                </w:p>
              </w:tc>
              <w:tc>
                <w:tcPr>
                  <w:tcW w:w="577" w:type="pct"/>
                  <w:vAlign w:val="center"/>
                </w:tcPr>
                <w:p w14:paraId="34E593A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r>
                    <w:rPr>
                      <w:rFonts w:hint="eastAsia" w:ascii="Times New Roman" w:hAnsi="Times New Roman" w:cs="Times New Roman"/>
                      <w:color w:val="auto"/>
                      <w:highlight w:val="none"/>
                      <w:lang w:val="en-US" w:eastAsia="zh-CN"/>
                    </w:rPr>
                    <w:t>禁止混入鱼类腐肉</w:t>
                  </w:r>
                </w:p>
              </w:tc>
            </w:tr>
            <w:tr w14:paraId="39F3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62E46E4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14</w:t>
                  </w:r>
                </w:p>
              </w:tc>
              <w:tc>
                <w:tcPr>
                  <w:tcW w:w="2478" w:type="pct"/>
                  <w:gridSpan w:val="5"/>
                  <w:vAlign w:val="center"/>
                </w:tcPr>
                <w:p w14:paraId="188FD17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共计</w:t>
                  </w:r>
                </w:p>
              </w:tc>
              <w:tc>
                <w:tcPr>
                  <w:tcW w:w="363" w:type="pct"/>
                  <w:vAlign w:val="center"/>
                </w:tcPr>
                <w:p w14:paraId="4620B12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auto"/>
                      <w:highlight w:val="none"/>
                      <w:lang w:val="en-US" w:eastAsia="zh-CN"/>
                    </w:rPr>
                  </w:pPr>
                  <w:r>
                    <w:rPr>
                      <w:rFonts w:hint="eastAsia" w:eastAsia="Arial" w:cs="Times New Roman"/>
                      <w:color w:val="auto"/>
                      <w:highlight w:val="none"/>
                      <w:lang w:val="en-US" w:eastAsia="zh-CN"/>
                    </w:rPr>
                    <w:t>180100</w:t>
                  </w:r>
                </w:p>
              </w:tc>
              <w:tc>
                <w:tcPr>
                  <w:tcW w:w="455" w:type="pct"/>
                  <w:vAlign w:val="center"/>
                </w:tcPr>
                <w:p w14:paraId="22F4BE7F">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12004</w:t>
                  </w:r>
                </w:p>
              </w:tc>
              <w:tc>
                <w:tcPr>
                  <w:tcW w:w="929" w:type="pct"/>
                  <w:vAlign w:val="center"/>
                </w:tcPr>
                <w:p w14:paraId="4CB1AE9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w:t>
                  </w:r>
                </w:p>
              </w:tc>
              <w:tc>
                <w:tcPr>
                  <w:tcW w:w="577" w:type="pct"/>
                  <w:vAlign w:val="center"/>
                </w:tcPr>
                <w:p w14:paraId="510434E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r>
            <w:tr w14:paraId="4D520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1FF74849">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auto"/>
                      <w:highlight w:val="none"/>
                      <w:lang w:val="en-US" w:eastAsia="zh-CN"/>
                    </w:rPr>
                  </w:pPr>
                  <w:r>
                    <w:rPr>
                      <w:rFonts w:hint="eastAsia" w:ascii="Times New Roman" w:hAnsi="Times New Roman" w:eastAsia="宋体" w:cs="Times New Roman"/>
                      <w:b/>
                      <w:color w:val="auto"/>
                      <w:sz w:val="21"/>
                      <w:szCs w:val="21"/>
                      <w:highlight w:val="none"/>
                      <w:lang w:val="en-US" w:eastAsia="zh-CN"/>
                    </w:rPr>
                    <w:t>序号</w:t>
                  </w:r>
                </w:p>
              </w:tc>
              <w:tc>
                <w:tcPr>
                  <w:tcW w:w="2478" w:type="pct"/>
                  <w:gridSpan w:val="5"/>
                  <w:vAlign w:val="center"/>
                </w:tcPr>
                <w:p w14:paraId="013DB333">
                  <w:pPr>
                    <w:keepNext w:val="0"/>
                    <w:keepLines w:val="0"/>
                    <w:pageBreakBefore w:val="0"/>
                    <w:kinsoku/>
                    <w:wordWrap w:val="0"/>
                    <w:overflowPunct w:val="0"/>
                    <w:topLinePunct w:val="0"/>
                    <w:bidi w:val="0"/>
                    <w:adjustRightInd w:val="0"/>
                    <w:snapToGrid w:val="0"/>
                    <w:jc w:val="center"/>
                    <w:rPr>
                      <w:rFonts w:hint="eastAsia" w:cs="Times New Roman"/>
                      <w:bCs/>
                      <w:color w:val="auto"/>
                      <w:kern w:val="2"/>
                      <w:sz w:val="21"/>
                      <w:szCs w:val="21"/>
                      <w:highlight w:val="none"/>
                      <w:lang w:val="en-US" w:eastAsia="zh-CN" w:bidi="ar-SA"/>
                    </w:rPr>
                  </w:pPr>
                  <w:r>
                    <w:rPr>
                      <w:rFonts w:hint="eastAsia" w:ascii="Times New Roman" w:hAnsi="Times New Roman" w:eastAsia="宋体" w:cs="Times New Roman"/>
                      <w:b/>
                      <w:color w:val="auto"/>
                      <w:sz w:val="21"/>
                      <w:szCs w:val="21"/>
                      <w:highlight w:val="none"/>
                      <w:lang w:val="en-US" w:eastAsia="zh-CN"/>
                    </w:rPr>
                    <w:t>辅料及能源名称</w:t>
                  </w:r>
                </w:p>
              </w:tc>
              <w:tc>
                <w:tcPr>
                  <w:tcW w:w="363" w:type="pct"/>
                  <w:vAlign w:val="center"/>
                </w:tcPr>
                <w:p w14:paraId="769D33EE">
                  <w:pPr>
                    <w:keepNext w:val="0"/>
                    <w:keepLines w:val="0"/>
                    <w:pageBreakBefore w:val="0"/>
                    <w:kinsoku/>
                    <w:wordWrap w:val="0"/>
                    <w:overflowPunct w:val="0"/>
                    <w:topLinePunct w:val="0"/>
                    <w:bidi w:val="0"/>
                    <w:adjustRightInd w:val="0"/>
                    <w:snapToGrid w:val="0"/>
                    <w:jc w:val="center"/>
                    <w:rPr>
                      <w:rFonts w:hint="eastAsia" w:eastAsia="Arial" w:cs="Times New Roman"/>
                      <w:color w:val="auto"/>
                      <w:highlight w:val="none"/>
                      <w:lang w:val="en-US" w:eastAsia="zh-CN"/>
                    </w:rPr>
                  </w:pPr>
                  <w:r>
                    <w:rPr>
                      <w:rFonts w:hint="eastAsia" w:ascii="Times New Roman" w:hAnsi="Times New Roman" w:eastAsia="宋体" w:cs="Times New Roman"/>
                      <w:b/>
                      <w:color w:val="auto"/>
                      <w:sz w:val="21"/>
                      <w:szCs w:val="21"/>
                      <w:highlight w:val="none"/>
                      <w:lang w:val="en-US" w:eastAsia="zh-CN"/>
                    </w:rPr>
                    <w:t>年使用量t/a</w:t>
                  </w:r>
                </w:p>
              </w:tc>
              <w:tc>
                <w:tcPr>
                  <w:tcW w:w="455" w:type="pct"/>
                  <w:vAlign w:val="center"/>
                </w:tcPr>
                <w:p w14:paraId="770FA26C">
                  <w:pPr>
                    <w:keepNext w:val="0"/>
                    <w:keepLines w:val="0"/>
                    <w:pageBreakBefore w:val="0"/>
                    <w:kinsoku/>
                    <w:wordWrap w:val="0"/>
                    <w:overflowPunct w:val="0"/>
                    <w:topLinePunct w:val="0"/>
                    <w:bidi w:val="0"/>
                    <w:adjustRightInd w:val="0"/>
                    <w:snapToGrid w:val="0"/>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b/>
                      <w:color w:val="auto"/>
                      <w:sz w:val="21"/>
                      <w:szCs w:val="21"/>
                      <w:highlight w:val="none"/>
                      <w:lang w:val="en-US" w:eastAsia="zh-CN"/>
                    </w:rPr>
                    <w:t>最大暂存量t/a</w:t>
                  </w:r>
                </w:p>
              </w:tc>
              <w:tc>
                <w:tcPr>
                  <w:tcW w:w="1506" w:type="pct"/>
                  <w:gridSpan w:val="2"/>
                  <w:vAlign w:val="center"/>
                </w:tcPr>
                <w:p w14:paraId="6F58F579">
                  <w:pPr>
                    <w:keepNext w:val="0"/>
                    <w:keepLines w:val="0"/>
                    <w:pageBreakBefore w:val="0"/>
                    <w:kinsoku/>
                    <w:wordWrap w:val="0"/>
                    <w:overflowPunct w:val="0"/>
                    <w:topLinePunct w:val="0"/>
                    <w:bidi w:val="0"/>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eastAsia="宋体" w:cs="Times New Roman"/>
                      <w:b/>
                      <w:color w:val="auto"/>
                      <w:sz w:val="21"/>
                      <w:szCs w:val="21"/>
                      <w:highlight w:val="none"/>
                      <w:lang w:val="en-US" w:eastAsia="zh-CN"/>
                    </w:rPr>
                    <w:t>备注</w:t>
                  </w:r>
                </w:p>
              </w:tc>
            </w:tr>
            <w:tr w14:paraId="1C2F8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Align w:val="center"/>
                </w:tcPr>
                <w:p w14:paraId="4D90DB2B">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auto"/>
                      <w:highlight w:val="none"/>
                      <w:lang w:val="en-US" w:eastAsia="zh-CN"/>
                    </w:rPr>
                  </w:pPr>
                  <w:r>
                    <w:rPr>
                      <w:rFonts w:hint="eastAsia" w:ascii="Times New Roman" w:hAnsi="Times New Roman"/>
                      <w:b w:val="0"/>
                      <w:bCs w:val="0"/>
                      <w:color w:val="auto"/>
                      <w:szCs w:val="21"/>
                      <w:highlight w:val="none"/>
                      <w:lang w:val="en-US" w:eastAsia="zh-CN"/>
                    </w:rPr>
                    <w:t>1</w:t>
                  </w:r>
                </w:p>
              </w:tc>
              <w:tc>
                <w:tcPr>
                  <w:tcW w:w="1181" w:type="pct"/>
                  <w:gridSpan w:val="3"/>
                  <w:vAlign w:val="center"/>
                </w:tcPr>
                <w:p w14:paraId="4C8C0F0B">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auto"/>
                      <w:kern w:val="2"/>
                      <w:sz w:val="21"/>
                      <w:szCs w:val="21"/>
                      <w:highlight w:val="none"/>
                      <w:lang w:val="en-US" w:eastAsia="zh-CN" w:bidi="ar-SA"/>
                    </w:rPr>
                  </w:pPr>
                  <w:r>
                    <w:rPr>
                      <w:rFonts w:hint="eastAsia" w:ascii="Times New Roman" w:hAnsi="Times New Roman"/>
                      <w:b w:val="0"/>
                      <w:bCs w:val="0"/>
                      <w:color w:val="auto"/>
                      <w:kern w:val="0"/>
                      <w:szCs w:val="21"/>
                      <w:highlight w:val="none"/>
                      <w:lang w:val="en-US" w:eastAsia="zh-CN"/>
                    </w:rPr>
                    <w:t>辅料</w:t>
                  </w:r>
                </w:p>
              </w:tc>
              <w:tc>
                <w:tcPr>
                  <w:tcW w:w="1296" w:type="pct"/>
                  <w:gridSpan w:val="2"/>
                  <w:vAlign w:val="center"/>
                </w:tcPr>
                <w:p w14:paraId="7BDAD8E5">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润滑油</w:t>
                  </w:r>
                </w:p>
              </w:tc>
              <w:tc>
                <w:tcPr>
                  <w:tcW w:w="363" w:type="pct"/>
                  <w:vAlign w:val="center"/>
                </w:tcPr>
                <w:p w14:paraId="388F7C45">
                  <w:pPr>
                    <w:keepNext w:val="0"/>
                    <w:keepLines w:val="0"/>
                    <w:pageBreakBefore w:val="0"/>
                    <w:kinsoku/>
                    <w:wordWrap w:val="0"/>
                    <w:overflowPunct w:val="0"/>
                    <w:topLinePunct w:val="0"/>
                    <w:autoSpaceDE w:val="0"/>
                    <w:autoSpaceDN w:val="0"/>
                    <w:bidi w:val="0"/>
                    <w:adjustRightInd w:val="0"/>
                    <w:snapToGrid w:val="0"/>
                    <w:jc w:val="center"/>
                    <w:rPr>
                      <w:rFonts w:hint="eastAsia" w:eastAsia="Arial" w:cs="Times New Roman"/>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0.51</w:t>
                  </w:r>
                </w:p>
              </w:tc>
              <w:tc>
                <w:tcPr>
                  <w:tcW w:w="455" w:type="pct"/>
                  <w:vAlign w:val="center"/>
                </w:tcPr>
                <w:p w14:paraId="498197BB">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0.17</w:t>
                  </w:r>
                </w:p>
              </w:tc>
              <w:tc>
                <w:tcPr>
                  <w:tcW w:w="1506" w:type="pct"/>
                  <w:gridSpan w:val="2"/>
                  <w:vAlign w:val="center"/>
                </w:tcPr>
                <w:p w14:paraId="6D20A721">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sz w:val="21"/>
                      <w:szCs w:val="21"/>
                      <w:highlight w:val="none"/>
                      <w:lang w:val="en-US" w:eastAsia="zh-CN"/>
                    </w:rPr>
                    <w:t>外购，桶装</w:t>
                  </w:r>
                </w:p>
              </w:tc>
            </w:tr>
            <w:tr w14:paraId="36FE6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restart"/>
                  <w:vAlign w:val="center"/>
                </w:tcPr>
                <w:p w14:paraId="7334410A">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auto"/>
                      <w:highlight w:val="none"/>
                      <w:lang w:val="en-US" w:eastAsia="zh-CN"/>
                    </w:rPr>
                  </w:pPr>
                  <w:r>
                    <w:rPr>
                      <w:rFonts w:hint="eastAsia" w:ascii="Times New Roman" w:hAnsi="Times New Roman"/>
                      <w:b w:val="0"/>
                      <w:bCs w:val="0"/>
                      <w:color w:val="auto"/>
                      <w:szCs w:val="21"/>
                      <w:highlight w:val="none"/>
                      <w:lang w:val="en-US" w:eastAsia="zh-CN"/>
                    </w:rPr>
                    <w:t>2</w:t>
                  </w:r>
                </w:p>
              </w:tc>
              <w:tc>
                <w:tcPr>
                  <w:tcW w:w="1181" w:type="pct"/>
                  <w:gridSpan w:val="3"/>
                  <w:vMerge w:val="restart"/>
                  <w:vAlign w:val="center"/>
                </w:tcPr>
                <w:p w14:paraId="00B51FFD">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auto"/>
                      <w:kern w:val="2"/>
                      <w:sz w:val="21"/>
                      <w:szCs w:val="21"/>
                      <w:highlight w:val="none"/>
                      <w:lang w:val="en-US" w:eastAsia="zh-CN" w:bidi="ar-SA"/>
                    </w:rPr>
                  </w:pPr>
                  <w:r>
                    <w:rPr>
                      <w:rFonts w:hint="eastAsia" w:ascii="Times New Roman" w:hAnsi="Times New Roman"/>
                      <w:b w:val="0"/>
                      <w:bCs w:val="0"/>
                      <w:color w:val="auto"/>
                      <w:kern w:val="0"/>
                      <w:szCs w:val="21"/>
                      <w:highlight w:val="none"/>
                      <w:lang w:val="en-US" w:eastAsia="zh-CN"/>
                    </w:rPr>
                    <w:t>能源</w:t>
                  </w:r>
                </w:p>
              </w:tc>
              <w:tc>
                <w:tcPr>
                  <w:tcW w:w="1296" w:type="pct"/>
                  <w:gridSpan w:val="2"/>
                  <w:vAlign w:val="center"/>
                </w:tcPr>
                <w:p w14:paraId="2506E500">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水</w:t>
                  </w:r>
                </w:p>
              </w:tc>
              <w:tc>
                <w:tcPr>
                  <w:tcW w:w="819" w:type="pct"/>
                  <w:gridSpan w:val="2"/>
                  <w:vAlign w:val="center"/>
                </w:tcPr>
                <w:p w14:paraId="5D47E5BA">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500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vertAlign w:val="baseline"/>
                      <w:lang w:val="en-US" w:eastAsia="zh-CN"/>
                    </w:rPr>
                    <w:t>/a</w:t>
                  </w:r>
                </w:p>
              </w:tc>
              <w:tc>
                <w:tcPr>
                  <w:tcW w:w="1506" w:type="pct"/>
                  <w:gridSpan w:val="2"/>
                  <w:vAlign w:val="center"/>
                </w:tcPr>
                <w:p w14:paraId="31FCDF08">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cs="Times New Roman"/>
                      <w:color w:val="auto"/>
                      <w:highlight w:val="none"/>
                      <w:lang w:val="en-US" w:eastAsia="zh-CN"/>
                    </w:rPr>
                  </w:pPr>
                  <w:r>
                    <w:rPr>
                      <w:rFonts w:hint="default" w:ascii="Times New Roman" w:hAnsi="Times New Roman" w:cs="Times New Roman"/>
                      <w:color w:val="auto"/>
                      <w:sz w:val="21"/>
                      <w:szCs w:val="21"/>
                      <w:highlight w:val="none"/>
                    </w:rPr>
                    <w:t>市政供水</w:t>
                  </w:r>
                </w:p>
              </w:tc>
            </w:tr>
            <w:tr w14:paraId="0E49A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97" w:hRule="atLeast"/>
                <w:jc w:val="center"/>
              </w:trPr>
              <w:tc>
                <w:tcPr>
                  <w:tcW w:w="196" w:type="pct"/>
                  <w:vMerge w:val="continue"/>
                  <w:vAlign w:val="center"/>
                </w:tcPr>
                <w:p w14:paraId="51A88479">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auto"/>
                      <w:highlight w:val="none"/>
                      <w:lang w:val="en-US" w:eastAsia="zh-CN"/>
                    </w:rPr>
                  </w:pPr>
                </w:p>
              </w:tc>
              <w:tc>
                <w:tcPr>
                  <w:tcW w:w="1181" w:type="pct"/>
                  <w:gridSpan w:val="3"/>
                  <w:vMerge w:val="continue"/>
                  <w:vAlign w:val="center"/>
                </w:tcPr>
                <w:p w14:paraId="4A1C75D5">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auto"/>
                      <w:kern w:val="2"/>
                      <w:sz w:val="21"/>
                      <w:szCs w:val="21"/>
                      <w:highlight w:val="none"/>
                      <w:lang w:val="en-US" w:eastAsia="zh-CN" w:bidi="ar-SA"/>
                    </w:rPr>
                  </w:pPr>
                </w:p>
              </w:tc>
              <w:tc>
                <w:tcPr>
                  <w:tcW w:w="1296" w:type="pct"/>
                  <w:gridSpan w:val="2"/>
                  <w:vAlign w:val="center"/>
                </w:tcPr>
                <w:p w14:paraId="462CBB68">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电</w:t>
                  </w:r>
                </w:p>
              </w:tc>
              <w:tc>
                <w:tcPr>
                  <w:tcW w:w="819" w:type="pct"/>
                  <w:gridSpan w:val="2"/>
                  <w:vAlign w:val="center"/>
                </w:tcPr>
                <w:p w14:paraId="350F2D7D">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318.6</w:t>
                  </w:r>
                  <w:r>
                    <w:rPr>
                      <w:rFonts w:hint="default" w:ascii="Times New Roman" w:hAnsi="Times New Roman" w:cs="Times New Roman"/>
                      <w:color w:val="auto"/>
                      <w:sz w:val="21"/>
                      <w:szCs w:val="21"/>
                      <w:highlight w:val="none"/>
                    </w:rPr>
                    <w:t>万</w:t>
                  </w:r>
                  <w:r>
                    <w:rPr>
                      <w:rFonts w:hint="default" w:ascii="Times New Roman" w:hAnsi="Times New Roman" w:cs="Times New Roman"/>
                      <w:color w:val="auto"/>
                      <w:sz w:val="21"/>
                      <w:szCs w:val="21"/>
                      <w:highlight w:val="none"/>
                      <w:lang w:eastAsia="zh-CN"/>
                    </w:rPr>
                    <w:t>kW</w:t>
                  </w:r>
                  <w:r>
                    <w:rPr>
                      <w:rFonts w:hint="default" w:ascii="Times New Roman" w:hAnsi="Times New Roman" w:cs="Times New Roman"/>
                      <w:color w:val="auto"/>
                      <w:sz w:val="21"/>
                      <w:szCs w:val="21"/>
                      <w:highlight w:val="none"/>
                    </w:rPr>
                    <w:t>·h</w:t>
                  </w:r>
                </w:p>
              </w:tc>
              <w:tc>
                <w:tcPr>
                  <w:tcW w:w="1506" w:type="pct"/>
                  <w:gridSpan w:val="2"/>
                  <w:vAlign w:val="center"/>
                </w:tcPr>
                <w:p w14:paraId="1409D2EA">
                  <w:pPr>
                    <w:keepNext w:val="0"/>
                    <w:keepLines w:val="0"/>
                    <w:pageBreakBefore w:val="0"/>
                    <w:kinsoku/>
                    <w:wordWrap w:val="0"/>
                    <w:overflowPunct w:val="0"/>
                    <w:topLinePunct w:val="0"/>
                    <w:bidi w:val="0"/>
                    <w:adjustRightInd w:val="0"/>
                    <w:snapToGrid w:val="0"/>
                    <w:jc w:val="center"/>
                    <w:rPr>
                      <w:rFonts w:hint="eastAsia" w:ascii="Times New Roman" w:hAnsi="Times New Roman" w:cs="Times New Roman"/>
                      <w:color w:val="auto"/>
                      <w:highlight w:val="none"/>
                      <w:lang w:val="en-US" w:eastAsia="zh-CN"/>
                    </w:rPr>
                  </w:pPr>
                  <w:r>
                    <w:rPr>
                      <w:rFonts w:hint="default" w:ascii="Times New Roman" w:hAnsi="Times New Roman" w:cs="Times New Roman"/>
                      <w:color w:val="auto"/>
                      <w:sz w:val="21"/>
                      <w:szCs w:val="21"/>
                      <w:highlight w:val="none"/>
                    </w:rPr>
                    <w:t>市政供电</w:t>
                  </w:r>
                </w:p>
              </w:tc>
            </w:tr>
          </w:tbl>
          <w:p w14:paraId="267DB1D6">
            <w:pPr>
              <w:pStyle w:val="4"/>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本项目</w:t>
            </w:r>
            <w:r>
              <w:rPr>
                <w:rFonts w:hint="eastAsia" w:ascii="Times New Roman" w:hAnsi="Times New Roman" w:eastAsia="宋体" w:cs="Times New Roman"/>
                <w:b w:val="0"/>
                <w:bCs/>
                <w:color w:val="auto"/>
                <w:kern w:val="2"/>
                <w:sz w:val="24"/>
                <w:szCs w:val="24"/>
                <w:highlight w:val="none"/>
                <w:lang w:val="en-US" w:eastAsia="zh-CN" w:bidi="ar-SA"/>
              </w:rPr>
              <w:t>原料主要</w:t>
            </w:r>
            <w:r>
              <w:rPr>
                <w:rFonts w:hint="default" w:ascii="Times New Roman" w:hAnsi="Times New Roman" w:eastAsia="宋体" w:cs="Times New Roman"/>
                <w:b w:val="0"/>
                <w:bCs/>
                <w:color w:val="auto"/>
                <w:kern w:val="2"/>
                <w:sz w:val="24"/>
                <w:szCs w:val="24"/>
                <w:highlight w:val="none"/>
                <w:lang w:val="en-US" w:eastAsia="zh-CN" w:bidi="ar-SA"/>
              </w:rPr>
              <w:t>来源于</w:t>
            </w:r>
            <w:r>
              <w:rPr>
                <w:rFonts w:hint="eastAsia" w:ascii="Times New Roman" w:hAnsi="Times New Roman" w:eastAsia="宋体" w:cs="Times New Roman"/>
                <w:b w:val="0"/>
                <w:bCs/>
                <w:color w:val="auto"/>
                <w:kern w:val="2"/>
                <w:sz w:val="24"/>
                <w:szCs w:val="24"/>
                <w:highlight w:val="none"/>
                <w:lang w:val="en-US" w:eastAsia="zh-CN" w:bidi="ar-SA"/>
              </w:rPr>
              <w:t>隆基乐叶光伏科技（西咸新区）有限公司、西安聚能超导磁体科技有限公司、陕西圣奥动物药业有限公司、质子汽车科技有限公司和泾河新城及周边地区企业产生的</w:t>
            </w:r>
            <w:r>
              <w:rPr>
                <w:rFonts w:hint="default" w:ascii="Times New Roman" w:hAnsi="Times New Roman" w:eastAsia="宋体" w:cs="Times New Roman"/>
                <w:b w:val="0"/>
                <w:bCs/>
                <w:color w:val="auto"/>
                <w:kern w:val="2"/>
                <w:sz w:val="24"/>
                <w:szCs w:val="24"/>
                <w:highlight w:val="none"/>
                <w:lang w:val="en-GB" w:eastAsia="zh-CN" w:bidi="ar-SA"/>
              </w:rPr>
              <w:t>一般</w:t>
            </w:r>
            <w:r>
              <w:rPr>
                <w:rFonts w:hint="eastAsia" w:cs="Times New Roman"/>
                <w:b w:val="0"/>
                <w:bCs/>
                <w:color w:val="auto"/>
                <w:kern w:val="2"/>
                <w:sz w:val="24"/>
                <w:szCs w:val="24"/>
                <w:highlight w:val="none"/>
                <w:lang w:val="en-US" w:eastAsia="zh-CN" w:bidi="ar-SA"/>
              </w:rPr>
              <w:t>固体废物</w:t>
            </w:r>
            <w:r>
              <w:rPr>
                <w:rFonts w:hint="default" w:ascii="Times New Roman" w:hAnsi="Times New Roman" w:eastAsia="宋体" w:cs="Times New Roman"/>
                <w:b w:val="0"/>
                <w:bCs/>
                <w:color w:val="auto"/>
                <w:kern w:val="2"/>
                <w:sz w:val="24"/>
                <w:szCs w:val="24"/>
                <w:highlight w:val="none"/>
                <w:lang w:val="en-US" w:eastAsia="zh-CN" w:bidi="ar-SA"/>
              </w:rPr>
              <w:t>，不含危险废物</w:t>
            </w:r>
            <w:r>
              <w:rPr>
                <w:rFonts w:hint="eastAsia" w:ascii="Times New Roman" w:hAnsi="Times New Roman" w:eastAsia="宋体" w:cs="Times New Roman"/>
                <w:b w:val="0"/>
                <w:bCs/>
                <w:color w:val="auto"/>
                <w:kern w:val="2"/>
                <w:sz w:val="24"/>
                <w:szCs w:val="24"/>
                <w:highlight w:val="none"/>
                <w:lang w:val="en-US" w:eastAsia="zh-CN" w:bidi="ar-SA"/>
              </w:rPr>
              <w:t>、医疗废物、城市污水处理厂污泥、工业企业污泥</w:t>
            </w:r>
            <w:r>
              <w:rPr>
                <w:rFonts w:hint="eastAsia" w:cs="Times New Roman"/>
                <w:b w:val="0"/>
                <w:bCs/>
                <w:color w:val="auto"/>
                <w:kern w:val="2"/>
                <w:sz w:val="24"/>
                <w:szCs w:val="24"/>
                <w:highlight w:val="none"/>
                <w:lang w:val="en-US" w:eastAsia="zh-CN" w:bidi="ar-SA"/>
              </w:rPr>
              <w:t>、</w:t>
            </w:r>
            <w:r>
              <w:rPr>
                <w:rFonts w:hint="eastAsia" w:ascii="Times New Roman" w:hAnsi="Times New Roman" w:eastAsia="宋体" w:cs="Times New Roman"/>
                <w:b w:val="0"/>
                <w:bCs/>
                <w:color w:val="auto"/>
                <w:kern w:val="2"/>
                <w:sz w:val="24"/>
                <w:szCs w:val="24"/>
                <w:highlight w:val="none"/>
                <w:lang w:val="en-US" w:eastAsia="zh-CN" w:bidi="ar-SA"/>
              </w:rPr>
              <w:t>含重金属</w:t>
            </w:r>
            <w:r>
              <w:rPr>
                <w:rFonts w:hint="eastAsia" w:cs="Times New Roman"/>
                <w:b w:val="0"/>
                <w:bCs/>
                <w:color w:val="auto"/>
                <w:kern w:val="2"/>
                <w:sz w:val="24"/>
                <w:szCs w:val="24"/>
                <w:highlight w:val="none"/>
                <w:lang w:val="en-US" w:eastAsia="zh-CN" w:bidi="ar-SA"/>
              </w:rPr>
              <w:t>废物</w:t>
            </w:r>
            <w:r>
              <w:rPr>
                <w:rFonts w:hint="eastAsia" w:ascii="Times New Roman" w:hAnsi="Times New Roman" w:eastAsia="宋体" w:cs="Times New Roman"/>
                <w:b w:val="0"/>
                <w:bCs/>
                <w:color w:val="auto"/>
                <w:kern w:val="2"/>
                <w:sz w:val="24"/>
                <w:szCs w:val="24"/>
                <w:highlight w:val="none"/>
                <w:lang w:val="en-US" w:eastAsia="zh-CN" w:bidi="ar-SA"/>
              </w:rPr>
              <w:t>以及产生渗滤液的固废</w:t>
            </w:r>
            <w:r>
              <w:rPr>
                <w:rFonts w:hint="default" w:ascii="Times New Roman" w:hAnsi="Times New Roman" w:eastAsia="宋体" w:cs="Times New Roman"/>
                <w:b w:val="0"/>
                <w:bCs/>
                <w:color w:val="auto"/>
                <w:kern w:val="2"/>
                <w:sz w:val="24"/>
                <w:szCs w:val="24"/>
                <w:highlight w:val="none"/>
                <w:lang w:val="en-US" w:eastAsia="zh-CN" w:bidi="ar-SA"/>
              </w:rPr>
              <w:t>。</w:t>
            </w:r>
          </w:p>
          <w:p w14:paraId="5DF8F7CA">
            <w:pPr>
              <w:pStyle w:val="61"/>
              <w:spacing w:before="19" w:line="377" w:lineRule="auto"/>
              <w:ind w:left="106" w:right="3" w:firstLine="482"/>
              <w:jc w:val="both"/>
              <w:rPr>
                <w:rFonts w:hint="default"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本项目原料和产品</w:t>
            </w:r>
            <w:r>
              <w:rPr>
                <w:rFonts w:hint="default" w:ascii="Times New Roman" w:hAnsi="Times New Roman" w:eastAsia="宋体" w:cs="Times New Roman"/>
                <w:b w:val="0"/>
                <w:bCs/>
                <w:color w:val="auto"/>
                <w:kern w:val="2"/>
                <w:sz w:val="24"/>
                <w:szCs w:val="24"/>
                <w:highlight w:val="none"/>
                <w:lang w:val="en-US" w:eastAsia="zh-CN" w:bidi="ar-SA"/>
              </w:rPr>
              <w:t>均属于一般固体废物，严格参照《一般工业固体废物贮存和填埋污染控制标准》（GB18599-2020）的要求进行</w:t>
            </w:r>
            <w:r>
              <w:rPr>
                <w:rFonts w:hint="eastAsia" w:ascii="Times New Roman" w:hAnsi="Times New Roman" w:eastAsia="宋体" w:cs="Times New Roman"/>
                <w:b w:val="0"/>
                <w:bCs/>
                <w:color w:val="auto"/>
                <w:kern w:val="2"/>
                <w:sz w:val="24"/>
                <w:szCs w:val="24"/>
                <w:highlight w:val="none"/>
                <w:lang w:val="en-US" w:eastAsia="zh-CN" w:bidi="ar-SA"/>
              </w:rPr>
              <w:t>分类分区</w:t>
            </w:r>
            <w:r>
              <w:rPr>
                <w:rFonts w:hint="default" w:ascii="Times New Roman" w:hAnsi="Times New Roman" w:eastAsia="宋体" w:cs="Times New Roman"/>
                <w:b w:val="0"/>
                <w:bCs/>
                <w:color w:val="auto"/>
                <w:kern w:val="2"/>
                <w:sz w:val="24"/>
                <w:szCs w:val="24"/>
                <w:highlight w:val="none"/>
                <w:lang w:val="en-US" w:eastAsia="zh-CN" w:bidi="ar-SA"/>
              </w:rPr>
              <w:t>堆放和管理，采取</w:t>
            </w:r>
            <w:r>
              <w:rPr>
                <w:rFonts w:hint="eastAsia" w:ascii="Times New Roman" w:hAnsi="Times New Roman" w:eastAsia="宋体" w:cs="Times New Roman"/>
                <w:b w:val="0"/>
                <w:bCs/>
                <w:color w:val="auto"/>
                <w:kern w:val="2"/>
                <w:sz w:val="24"/>
                <w:szCs w:val="24"/>
                <w:highlight w:val="none"/>
                <w:lang w:val="en-US" w:eastAsia="zh-CN" w:bidi="ar-SA"/>
              </w:rPr>
              <w:t>防雨、</w:t>
            </w:r>
            <w:r>
              <w:rPr>
                <w:rFonts w:hint="default" w:ascii="Times New Roman" w:hAnsi="Times New Roman" w:eastAsia="宋体" w:cs="Times New Roman"/>
                <w:b w:val="0"/>
                <w:bCs/>
                <w:color w:val="auto"/>
                <w:kern w:val="2"/>
                <w:sz w:val="24"/>
                <w:szCs w:val="24"/>
                <w:highlight w:val="none"/>
                <w:lang w:val="en-US" w:eastAsia="zh-CN" w:bidi="ar-SA"/>
              </w:rPr>
              <w:t>防扬散、防流失、防渗漏或者其他防止污染环境的措施，不得擅自倾倒、堆放、丢弃、遗撒固体废物。</w:t>
            </w:r>
          </w:p>
          <w:p w14:paraId="3AD9CB5F">
            <w:pPr>
              <w:pStyle w:val="61"/>
              <w:spacing w:before="19" w:line="377" w:lineRule="auto"/>
              <w:ind w:left="106" w:right="3" w:firstLine="482"/>
              <w:jc w:val="both"/>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要求企业建立健全</w:t>
            </w:r>
            <w:r>
              <w:rPr>
                <w:rFonts w:hint="eastAsia" w:ascii="Times New Roman" w:hAnsi="Times New Roman" w:eastAsia="宋体" w:cs="Times New Roman"/>
                <w:b w:val="0"/>
                <w:bCs/>
                <w:color w:val="auto"/>
                <w:kern w:val="2"/>
                <w:sz w:val="24"/>
                <w:szCs w:val="24"/>
                <w:highlight w:val="none"/>
                <w:lang w:val="en-US" w:eastAsia="zh-CN" w:bidi="ar-SA"/>
              </w:rPr>
              <w:t>一般</w:t>
            </w:r>
            <w:r>
              <w:rPr>
                <w:rFonts w:hint="default" w:ascii="Times New Roman" w:hAnsi="Times New Roman" w:eastAsia="宋体" w:cs="Times New Roman"/>
                <w:b w:val="0"/>
                <w:bCs/>
                <w:color w:val="auto"/>
                <w:kern w:val="2"/>
                <w:sz w:val="24"/>
                <w:szCs w:val="24"/>
                <w:highlight w:val="none"/>
                <w:lang w:val="en-US" w:eastAsia="zh-CN" w:bidi="ar-SA"/>
              </w:rPr>
              <w:t>固体废物收集、贮存、运输、利用、处置全过程的污染环境防治责任制度</w:t>
            </w:r>
            <w:r>
              <w:rPr>
                <w:rFonts w:hint="eastAsia" w:ascii="Times New Roman" w:hAnsi="Times New Roman" w:eastAsia="宋体" w:cs="Times New Roman"/>
                <w:b w:val="0"/>
                <w:bCs/>
                <w:color w:val="auto"/>
                <w:kern w:val="2"/>
                <w:sz w:val="24"/>
                <w:szCs w:val="24"/>
                <w:highlight w:val="none"/>
                <w:lang w:val="en-US" w:eastAsia="zh-CN" w:bidi="ar-SA"/>
              </w:rPr>
              <w:t>；建立车辆进出厂登记制度，详细记录车辆的进出厂时间、车牌号码、驾驶员姓名、固废种类、数量、运输目的地等信息，以便追溯和管理；</w:t>
            </w:r>
            <w:r>
              <w:rPr>
                <w:rFonts w:hint="default" w:ascii="Times New Roman" w:hAnsi="Times New Roman" w:eastAsia="宋体" w:cs="Times New Roman"/>
                <w:b w:val="0"/>
                <w:bCs/>
                <w:color w:val="auto"/>
                <w:kern w:val="2"/>
                <w:sz w:val="24"/>
                <w:szCs w:val="24"/>
                <w:highlight w:val="none"/>
                <w:lang w:val="en-US" w:eastAsia="zh-CN" w:bidi="ar-SA"/>
              </w:rPr>
              <w:t>建立</w:t>
            </w:r>
            <w:r>
              <w:rPr>
                <w:rFonts w:hint="eastAsia" w:ascii="Times New Roman" w:hAnsi="Times New Roman" w:eastAsia="宋体" w:cs="Times New Roman"/>
                <w:b w:val="0"/>
                <w:bCs/>
                <w:color w:val="auto"/>
                <w:kern w:val="2"/>
                <w:sz w:val="24"/>
                <w:szCs w:val="24"/>
                <w:highlight w:val="none"/>
                <w:lang w:val="en-US" w:eastAsia="zh-CN" w:bidi="ar-SA"/>
              </w:rPr>
              <w:t>一般</w:t>
            </w:r>
            <w:r>
              <w:rPr>
                <w:rFonts w:hint="default" w:ascii="Times New Roman" w:hAnsi="Times New Roman" w:eastAsia="宋体" w:cs="Times New Roman"/>
                <w:b w:val="0"/>
                <w:bCs/>
                <w:color w:val="auto"/>
                <w:kern w:val="2"/>
                <w:sz w:val="24"/>
                <w:szCs w:val="24"/>
                <w:highlight w:val="none"/>
                <w:lang w:val="en-US" w:eastAsia="zh-CN" w:bidi="ar-SA"/>
              </w:rPr>
              <w:t>固体废物管理台账，如实记录</w:t>
            </w:r>
            <w:r>
              <w:rPr>
                <w:rFonts w:hint="eastAsia" w:ascii="Times New Roman" w:hAnsi="Times New Roman" w:eastAsia="宋体" w:cs="Times New Roman"/>
                <w:b w:val="0"/>
                <w:bCs/>
                <w:color w:val="auto"/>
                <w:kern w:val="2"/>
                <w:sz w:val="24"/>
                <w:szCs w:val="24"/>
                <w:highlight w:val="none"/>
                <w:lang w:val="en-US" w:eastAsia="zh-CN" w:bidi="ar-SA"/>
              </w:rPr>
              <w:t>一般</w:t>
            </w:r>
            <w:r>
              <w:rPr>
                <w:rFonts w:hint="default" w:ascii="Times New Roman" w:hAnsi="Times New Roman" w:eastAsia="宋体" w:cs="Times New Roman"/>
                <w:b w:val="0"/>
                <w:bCs/>
                <w:color w:val="auto"/>
                <w:kern w:val="2"/>
                <w:sz w:val="24"/>
                <w:szCs w:val="24"/>
                <w:highlight w:val="none"/>
                <w:lang w:val="en-US" w:eastAsia="zh-CN" w:bidi="ar-SA"/>
              </w:rPr>
              <w:t>固体废物的种类、数量、流向、贮存、利用、处置等信息，实现</w:t>
            </w:r>
            <w:r>
              <w:rPr>
                <w:rFonts w:hint="eastAsia" w:ascii="Times New Roman" w:hAnsi="Times New Roman" w:eastAsia="宋体" w:cs="Times New Roman"/>
                <w:b w:val="0"/>
                <w:bCs/>
                <w:color w:val="auto"/>
                <w:kern w:val="2"/>
                <w:sz w:val="24"/>
                <w:szCs w:val="24"/>
                <w:highlight w:val="none"/>
                <w:lang w:val="en-US" w:eastAsia="zh-CN" w:bidi="ar-SA"/>
              </w:rPr>
              <w:t>一般</w:t>
            </w:r>
            <w:r>
              <w:rPr>
                <w:rFonts w:hint="default" w:ascii="Times New Roman" w:hAnsi="Times New Roman" w:eastAsia="宋体" w:cs="Times New Roman"/>
                <w:b w:val="0"/>
                <w:bCs/>
                <w:color w:val="auto"/>
                <w:kern w:val="2"/>
                <w:sz w:val="24"/>
                <w:szCs w:val="24"/>
                <w:highlight w:val="none"/>
                <w:lang w:val="en-US" w:eastAsia="zh-CN" w:bidi="ar-SA"/>
              </w:rPr>
              <w:t>固体废物可追溯、可查询。</w:t>
            </w:r>
          </w:p>
          <w:p w14:paraId="624077F7">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bookmarkStart w:id="38" w:name="_GoBack"/>
            <w:bookmarkEnd w:id="38"/>
          </w:p>
          <w:p w14:paraId="7A5AD706">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60E7A3B4">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789B6718">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1758DC17">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595C2A89">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0312497A">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045EEDF8">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0B0B35CE">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p>
          <w:p w14:paraId="79B635CF">
            <w:pPr>
              <w:pStyle w:val="61"/>
              <w:keepNext w:val="0"/>
              <w:keepLines w:val="0"/>
              <w:pageBreakBefore w:val="0"/>
              <w:widowControl w:val="0"/>
              <w:kinsoku/>
              <w:wordWrap/>
              <w:overflowPunct/>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p>
        </w:tc>
      </w:tr>
    </w:tbl>
    <w:p w14:paraId="18976883">
      <w:pPr>
        <w:pStyle w:val="21"/>
        <w:adjustRightInd w:val="0"/>
        <w:snapToGrid w:val="0"/>
        <w:spacing w:before="0" w:beforeAutospacing="0" w:after="0" w:afterAutospacing="0"/>
        <w:jc w:val="center"/>
        <w:rPr>
          <w:rFonts w:hint="default" w:ascii="Times New Roman" w:hAnsi="Times New Roman" w:cs="Times New Roman"/>
          <w:b w:val="0"/>
          <w:bCs w:val="0"/>
          <w:color w:val="auto"/>
          <w:sz w:val="24"/>
          <w:szCs w:val="24"/>
          <w:highlight w:val="none"/>
        </w:rPr>
        <w:sectPr>
          <w:pgSz w:w="16838" w:h="11906" w:orient="landscape"/>
          <w:pgMar w:top="1531" w:right="1701" w:bottom="1531" w:left="1701" w:header="851" w:footer="851" w:gutter="0"/>
          <w:pgNumType w:fmt="decimal"/>
          <w:cols w:space="720" w:num="1"/>
          <w:docGrid w:linePitch="312" w:charSpace="0"/>
        </w:sect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538"/>
      </w:tblGrid>
      <w:tr w14:paraId="5BEF5A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23" w:hRule="atLeast"/>
          <w:jc w:val="center"/>
        </w:trPr>
        <w:tc>
          <w:tcPr>
            <w:tcW w:w="446" w:type="dxa"/>
            <w:noWrap w:val="0"/>
            <w:vAlign w:val="center"/>
          </w:tcPr>
          <w:p w14:paraId="68B5C117">
            <w:pPr>
              <w:pStyle w:val="21"/>
              <w:adjustRightInd w:val="0"/>
              <w:snapToGrid w:val="0"/>
              <w:spacing w:before="0" w:beforeAutospacing="0" w:after="0" w:afterAutospacing="0"/>
              <w:jc w:val="center"/>
              <w:rPr>
                <w:rFonts w:hint="default" w:ascii="Times New Roman" w:hAnsi="Times New Roman" w:cs="Times New Roman"/>
                <w:b w:val="0"/>
                <w:bCs w:val="0"/>
                <w:color w:val="auto"/>
                <w:sz w:val="24"/>
                <w:szCs w:val="24"/>
                <w:highlight w:val="none"/>
              </w:rPr>
            </w:pPr>
          </w:p>
        </w:tc>
        <w:tc>
          <w:tcPr>
            <w:tcW w:w="8538" w:type="dxa"/>
            <w:noWrap w:val="0"/>
            <w:vAlign w:val="top"/>
          </w:tcPr>
          <w:p w14:paraId="217CBCA9">
            <w:pPr>
              <w:numPr>
                <w:ilvl w:val="0"/>
                <w:numId w:val="0"/>
              </w:numPr>
              <w:adjustRightInd w:val="0"/>
              <w:snapToGrid w:val="0"/>
              <w:spacing w:line="360" w:lineRule="auto"/>
              <w:jc w:val="both"/>
              <w:rPr>
                <w:rFonts w:hint="eastAsia" w:ascii="Times New Roman" w:hAnsi="Times New Roman" w:cs="Times New Roman"/>
                <w:b/>
                <w:bCs w:val="0"/>
                <w:color w:val="auto"/>
                <w:sz w:val="24"/>
                <w:szCs w:val="24"/>
                <w:highlight w:val="none"/>
                <w:lang w:val="en-US" w:eastAsia="zh-CN"/>
              </w:rPr>
            </w:pPr>
            <w:r>
              <w:rPr>
                <w:rFonts w:hint="eastAsia" w:ascii="Times New Roman" w:hAnsi="Times New Roman" w:eastAsia="宋体" w:cs="Times New Roman"/>
                <w:b/>
                <w:bCs w:val="0"/>
                <w:color w:val="auto"/>
                <w:kern w:val="2"/>
                <w:sz w:val="24"/>
                <w:szCs w:val="24"/>
                <w:highlight w:val="none"/>
                <w:lang w:val="en-US" w:eastAsia="zh-CN" w:bidi="ar-SA"/>
              </w:rPr>
              <w:t>5、</w:t>
            </w:r>
            <w:r>
              <w:rPr>
                <w:rFonts w:hint="eastAsia" w:ascii="Times New Roman" w:hAnsi="Times New Roman" w:cs="Times New Roman"/>
                <w:b/>
                <w:bCs w:val="0"/>
                <w:color w:val="auto"/>
                <w:sz w:val="24"/>
                <w:szCs w:val="24"/>
                <w:highlight w:val="none"/>
                <w:lang w:val="en-US" w:eastAsia="zh-CN"/>
              </w:rPr>
              <w:t>物料平衡</w:t>
            </w:r>
          </w:p>
          <w:p w14:paraId="43784A10">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项目</w:t>
            </w:r>
            <w:r>
              <w:rPr>
                <w:rFonts w:hint="eastAsia" w:ascii="Times New Roman" w:hAnsi="Times New Roman" w:eastAsia="宋体" w:cs="Times New Roman"/>
                <w:b w:val="0"/>
                <w:bCs/>
                <w:color w:val="auto"/>
                <w:kern w:val="2"/>
                <w:sz w:val="24"/>
                <w:szCs w:val="24"/>
                <w:highlight w:val="none"/>
                <w:lang w:val="en-US" w:eastAsia="zh-CN" w:bidi="ar-SA"/>
              </w:rPr>
              <w:t>物料平衡</w:t>
            </w:r>
            <w:r>
              <w:rPr>
                <w:rFonts w:hint="default" w:ascii="Times New Roman" w:hAnsi="Times New Roman" w:eastAsia="宋体" w:cs="Times New Roman"/>
                <w:b w:val="0"/>
                <w:bCs/>
                <w:color w:val="auto"/>
                <w:kern w:val="2"/>
                <w:sz w:val="24"/>
                <w:szCs w:val="24"/>
                <w:highlight w:val="none"/>
                <w:lang w:val="en-US" w:eastAsia="zh-CN" w:bidi="ar-SA"/>
              </w:rPr>
              <w:t>见表2-</w:t>
            </w:r>
            <w:r>
              <w:rPr>
                <w:rFonts w:hint="eastAsia" w:ascii="Times New Roman" w:hAnsi="Times New Roman" w:eastAsia="宋体" w:cs="Times New Roman"/>
                <w:b w:val="0"/>
                <w:bCs/>
                <w:color w:val="auto"/>
                <w:kern w:val="2"/>
                <w:sz w:val="24"/>
                <w:szCs w:val="24"/>
                <w:highlight w:val="none"/>
                <w:lang w:val="en-US" w:eastAsia="zh-CN" w:bidi="ar-SA"/>
              </w:rPr>
              <w:t>4</w:t>
            </w:r>
            <w:r>
              <w:rPr>
                <w:rFonts w:hint="default" w:ascii="Times New Roman" w:hAnsi="Times New Roman" w:eastAsia="宋体" w:cs="Times New Roman"/>
                <w:b w:val="0"/>
                <w:bCs/>
                <w:color w:val="auto"/>
                <w:kern w:val="2"/>
                <w:sz w:val="24"/>
                <w:szCs w:val="24"/>
                <w:highlight w:val="none"/>
                <w:lang w:val="en-US" w:eastAsia="zh-CN" w:bidi="ar-SA"/>
              </w:rPr>
              <w:t>。</w:t>
            </w:r>
          </w:p>
          <w:p w14:paraId="7FA90C2F">
            <w:pPr>
              <w:numPr>
                <w:ilvl w:val="0"/>
                <w:numId w:val="0"/>
              </w:numPr>
              <w:adjustRightInd w:val="0"/>
              <w:snapToGrid w:val="0"/>
              <w:spacing w:line="240" w:lineRule="auto"/>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 xml:space="preserve">表2-4 </w:t>
            </w:r>
            <w:r>
              <w:rPr>
                <w:rFonts w:hint="default" w:ascii="Times New Roman" w:hAnsi="Times New Roman" w:eastAsia="宋体" w:cs="Times New Roman"/>
                <w:b/>
                <w:bCs w:val="0"/>
                <w:color w:val="auto"/>
                <w:sz w:val="21"/>
                <w:szCs w:val="21"/>
                <w:highlight w:val="none"/>
                <w:lang w:val="en-US" w:eastAsia="zh-CN"/>
              </w:rPr>
              <w:t>物料平衡一览表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245"/>
              <w:gridCol w:w="3000"/>
              <w:gridCol w:w="2555"/>
            </w:tblGrid>
            <w:tr w14:paraId="6C82B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7" w:type="dxa"/>
                  <w:gridSpan w:val="2"/>
                  <w:noWrap w:val="0"/>
                  <w:vAlign w:val="center"/>
                </w:tcPr>
                <w:p w14:paraId="2572C849">
                  <w:pPr>
                    <w:widowControl/>
                    <w:jc w:val="center"/>
                    <w:textAlignment w:val="center"/>
                    <w:rPr>
                      <w:rFonts w:hint="default"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输入（</w:t>
                  </w:r>
                  <w:r>
                    <w:rPr>
                      <w:rFonts w:hint="eastAsia" w:ascii="Times New Roman" w:hAnsi="Times New Roman" w:eastAsia="宋体" w:cs="Times New Roman"/>
                      <w:b/>
                      <w:bCs w:val="0"/>
                      <w:color w:val="auto"/>
                      <w:sz w:val="21"/>
                      <w:szCs w:val="21"/>
                      <w:highlight w:val="none"/>
                      <w:lang w:val="en-US" w:eastAsia="zh-CN"/>
                    </w:rPr>
                    <w:t>单位t/a</w:t>
                  </w:r>
                  <w:r>
                    <w:rPr>
                      <w:rFonts w:hint="eastAsia" w:ascii="宋体" w:hAnsi="宋体" w:eastAsia="宋体" w:cs="宋体"/>
                      <w:b/>
                      <w:bCs/>
                      <w:color w:val="auto"/>
                      <w:szCs w:val="21"/>
                      <w:highlight w:val="none"/>
                      <w:lang w:val="en-US" w:eastAsia="zh-CN"/>
                    </w:rPr>
                    <w:t>）</w:t>
                  </w:r>
                </w:p>
              </w:tc>
              <w:tc>
                <w:tcPr>
                  <w:tcW w:w="5555" w:type="dxa"/>
                  <w:gridSpan w:val="2"/>
                  <w:noWrap w:val="0"/>
                  <w:vAlign w:val="center"/>
                </w:tcPr>
                <w:p w14:paraId="6096A952">
                  <w:pPr>
                    <w:widowControl/>
                    <w:jc w:val="center"/>
                    <w:textAlignment w:val="cente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输出（</w:t>
                  </w:r>
                  <w:r>
                    <w:rPr>
                      <w:rFonts w:hint="eastAsia" w:ascii="Times New Roman" w:hAnsi="Times New Roman" w:eastAsia="宋体" w:cs="Times New Roman"/>
                      <w:b/>
                      <w:bCs w:val="0"/>
                      <w:color w:val="auto"/>
                      <w:sz w:val="21"/>
                      <w:szCs w:val="21"/>
                      <w:highlight w:val="none"/>
                      <w:lang w:val="en-US" w:eastAsia="zh-CN"/>
                    </w:rPr>
                    <w:t>单位t/a</w:t>
                  </w:r>
                  <w:r>
                    <w:rPr>
                      <w:rFonts w:hint="eastAsia" w:ascii="宋体" w:hAnsi="宋体" w:eastAsia="宋体" w:cs="宋体"/>
                      <w:b/>
                      <w:bCs/>
                      <w:color w:val="auto"/>
                      <w:szCs w:val="21"/>
                      <w:highlight w:val="none"/>
                      <w:lang w:val="en-US" w:eastAsia="zh-CN"/>
                    </w:rPr>
                    <w:t>）</w:t>
                  </w:r>
                </w:p>
              </w:tc>
            </w:tr>
            <w:tr w14:paraId="6FCCA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restart"/>
                  <w:noWrap w:val="0"/>
                  <w:vAlign w:val="center"/>
                </w:tcPr>
                <w:p w14:paraId="0E724C7B">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kern w:val="0"/>
                      <w:szCs w:val="21"/>
                      <w:highlight w:val="none"/>
                      <w:lang w:val="en-US" w:eastAsia="zh-CN"/>
                    </w:rPr>
                    <w:t>一般固体废物</w:t>
                  </w:r>
                </w:p>
              </w:tc>
              <w:tc>
                <w:tcPr>
                  <w:tcW w:w="1245" w:type="dxa"/>
                  <w:vMerge w:val="restart"/>
                  <w:noWrap w:val="0"/>
                  <w:vAlign w:val="center"/>
                </w:tcPr>
                <w:p w14:paraId="06C59A33">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180100</w:t>
                  </w:r>
                </w:p>
              </w:tc>
              <w:tc>
                <w:tcPr>
                  <w:tcW w:w="3000" w:type="dxa"/>
                  <w:noWrap w:val="0"/>
                  <w:vAlign w:val="center"/>
                </w:tcPr>
                <w:p w14:paraId="02A942B0">
                  <w:pPr>
                    <w:adjustRightInd w:val="0"/>
                    <w:snapToGrid w:val="0"/>
                    <w:jc w:val="center"/>
                    <w:rPr>
                      <w:rFonts w:hint="default" w:ascii="Times New Roman" w:hAnsi="Times New Roman" w:eastAsia="宋体" w:cs="Times New Roman"/>
                      <w:b w:val="0"/>
                      <w:bCs w:val="0"/>
                      <w:color w:val="auto"/>
                      <w:szCs w:val="21"/>
                      <w:highlight w:val="none"/>
                    </w:rPr>
                  </w:pPr>
                  <w:r>
                    <w:rPr>
                      <w:rFonts w:ascii="Times New Roman" w:hAnsi="Times New Roman" w:eastAsia="Times New Roman" w:cs="Times New Roman"/>
                      <w:color w:val="auto"/>
                      <w:spacing w:val="-5"/>
                      <w:highlight w:val="none"/>
                    </w:rPr>
                    <w:t>RDF</w:t>
                  </w:r>
                  <w:r>
                    <w:rPr>
                      <w:color w:val="auto"/>
                      <w:spacing w:val="-5"/>
                      <w:highlight w:val="none"/>
                    </w:rPr>
                    <w:t>燃料</w:t>
                  </w:r>
                </w:p>
              </w:tc>
              <w:tc>
                <w:tcPr>
                  <w:tcW w:w="2555" w:type="dxa"/>
                  <w:noWrap w:val="0"/>
                  <w:vAlign w:val="center"/>
                </w:tcPr>
                <w:p w14:paraId="13900F70">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180000</w:t>
                  </w:r>
                </w:p>
              </w:tc>
            </w:tr>
            <w:tr w14:paraId="2EF5B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1EC738D7">
                  <w:pPr>
                    <w:adjustRightInd w:val="0"/>
                    <w:snapToGrid w:val="0"/>
                    <w:jc w:val="center"/>
                    <w:rPr>
                      <w:rFonts w:hint="eastAsia" w:ascii="宋体" w:hAnsi="宋体" w:eastAsia="宋体" w:cs="宋体"/>
                      <w:b w:val="0"/>
                      <w:bCs w:val="0"/>
                      <w:color w:val="auto"/>
                      <w:szCs w:val="21"/>
                      <w:highlight w:val="none"/>
                      <w:lang w:val="en-US" w:eastAsia="zh-CN"/>
                    </w:rPr>
                  </w:pPr>
                </w:p>
              </w:tc>
              <w:tc>
                <w:tcPr>
                  <w:tcW w:w="1245" w:type="dxa"/>
                  <w:vMerge w:val="continue"/>
                  <w:noWrap w:val="0"/>
                  <w:vAlign w:val="center"/>
                </w:tcPr>
                <w:p w14:paraId="0B22B550">
                  <w:pPr>
                    <w:adjustRightInd w:val="0"/>
                    <w:snapToGrid w:val="0"/>
                    <w:jc w:val="center"/>
                    <w:rPr>
                      <w:rFonts w:hint="default" w:ascii="Times New Roman" w:hAnsi="Times New Roman" w:eastAsia="宋体" w:cs="Times New Roman"/>
                      <w:b w:val="0"/>
                      <w:bCs w:val="0"/>
                      <w:color w:val="auto"/>
                      <w:szCs w:val="21"/>
                      <w:highlight w:val="none"/>
                    </w:rPr>
                  </w:pPr>
                </w:p>
              </w:tc>
              <w:tc>
                <w:tcPr>
                  <w:tcW w:w="3000" w:type="dxa"/>
                  <w:noWrap w:val="0"/>
                  <w:vAlign w:val="center"/>
                </w:tcPr>
                <w:p w14:paraId="12029C2E">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排气筒</w:t>
                  </w:r>
                  <w:r>
                    <w:rPr>
                      <w:rFonts w:hint="eastAsia" w:ascii="Times New Roman" w:hAnsi="Times New Roman" w:eastAsia="宋体" w:cs="Times New Roman"/>
                      <w:b w:val="0"/>
                      <w:bCs w:val="0"/>
                      <w:color w:val="auto"/>
                      <w:szCs w:val="21"/>
                      <w:highlight w:val="none"/>
                      <w:lang w:val="en-US" w:eastAsia="zh-CN"/>
                    </w:rPr>
                    <w:t>排放</w:t>
                  </w:r>
                  <w:r>
                    <w:rPr>
                      <w:rFonts w:hint="default" w:ascii="Times New Roman" w:hAnsi="Times New Roman" w:eastAsia="宋体" w:cs="Times New Roman"/>
                      <w:b w:val="0"/>
                      <w:bCs w:val="0"/>
                      <w:color w:val="auto"/>
                      <w:szCs w:val="21"/>
                      <w:highlight w:val="none"/>
                    </w:rPr>
                    <w:t>颗粒物</w:t>
                  </w:r>
                </w:p>
              </w:tc>
              <w:tc>
                <w:tcPr>
                  <w:tcW w:w="2555" w:type="dxa"/>
                  <w:noWrap w:val="0"/>
                  <w:vAlign w:val="center"/>
                </w:tcPr>
                <w:p w14:paraId="7FCC7BBB">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0.445</w:t>
                  </w:r>
                </w:p>
              </w:tc>
            </w:tr>
            <w:tr w14:paraId="3EF18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641E3E92">
                  <w:pPr>
                    <w:adjustRightInd w:val="0"/>
                    <w:snapToGrid w:val="0"/>
                    <w:jc w:val="center"/>
                    <w:rPr>
                      <w:rFonts w:hint="eastAsia" w:ascii="宋体" w:hAnsi="宋体" w:eastAsia="宋体" w:cs="宋体"/>
                      <w:b w:val="0"/>
                      <w:bCs w:val="0"/>
                      <w:color w:val="auto"/>
                      <w:szCs w:val="21"/>
                      <w:highlight w:val="none"/>
                      <w:lang w:val="en-US" w:eastAsia="zh-CN"/>
                    </w:rPr>
                  </w:pPr>
                </w:p>
              </w:tc>
              <w:tc>
                <w:tcPr>
                  <w:tcW w:w="1245" w:type="dxa"/>
                  <w:vMerge w:val="continue"/>
                  <w:noWrap w:val="0"/>
                  <w:vAlign w:val="center"/>
                </w:tcPr>
                <w:p w14:paraId="52C052FC">
                  <w:pPr>
                    <w:adjustRightInd w:val="0"/>
                    <w:snapToGrid w:val="0"/>
                    <w:jc w:val="center"/>
                    <w:rPr>
                      <w:rFonts w:hint="default" w:ascii="Times New Roman" w:hAnsi="Times New Roman" w:eastAsia="宋体" w:cs="Times New Roman"/>
                      <w:b w:val="0"/>
                      <w:bCs w:val="0"/>
                      <w:color w:val="auto"/>
                      <w:szCs w:val="21"/>
                      <w:highlight w:val="none"/>
                    </w:rPr>
                  </w:pPr>
                </w:p>
              </w:tc>
              <w:tc>
                <w:tcPr>
                  <w:tcW w:w="3000" w:type="dxa"/>
                  <w:noWrap w:val="0"/>
                  <w:vAlign w:val="center"/>
                </w:tcPr>
                <w:p w14:paraId="1E0625DA">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无组织排放颗粒物</w:t>
                  </w:r>
                </w:p>
              </w:tc>
              <w:tc>
                <w:tcPr>
                  <w:tcW w:w="2555" w:type="dxa"/>
                  <w:noWrap w:val="0"/>
                  <w:vAlign w:val="center"/>
                </w:tcPr>
                <w:p w14:paraId="7BEFB8AE">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11.874</w:t>
                  </w:r>
                </w:p>
              </w:tc>
            </w:tr>
            <w:tr w14:paraId="45BFE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544E9EB4">
                  <w:pPr>
                    <w:adjustRightInd w:val="0"/>
                    <w:snapToGrid w:val="0"/>
                    <w:jc w:val="center"/>
                    <w:rPr>
                      <w:rFonts w:hint="eastAsia" w:ascii="宋体" w:hAnsi="宋体" w:eastAsia="宋体" w:cs="宋体"/>
                      <w:b w:val="0"/>
                      <w:bCs w:val="0"/>
                      <w:color w:val="auto"/>
                      <w:szCs w:val="21"/>
                      <w:highlight w:val="none"/>
                      <w:lang w:val="en-US" w:eastAsia="zh-CN"/>
                    </w:rPr>
                  </w:pPr>
                </w:p>
              </w:tc>
              <w:tc>
                <w:tcPr>
                  <w:tcW w:w="1245" w:type="dxa"/>
                  <w:vMerge w:val="continue"/>
                  <w:noWrap w:val="0"/>
                  <w:vAlign w:val="center"/>
                </w:tcPr>
                <w:p w14:paraId="547E85FF">
                  <w:pPr>
                    <w:adjustRightInd w:val="0"/>
                    <w:snapToGrid w:val="0"/>
                    <w:jc w:val="center"/>
                    <w:rPr>
                      <w:rFonts w:hint="default" w:ascii="Times New Roman" w:hAnsi="Times New Roman" w:eastAsia="宋体" w:cs="Times New Roman"/>
                      <w:b w:val="0"/>
                      <w:bCs w:val="0"/>
                      <w:color w:val="auto"/>
                      <w:szCs w:val="21"/>
                      <w:highlight w:val="none"/>
                    </w:rPr>
                  </w:pPr>
                </w:p>
              </w:tc>
              <w:tc>
                <w:tcPr>
                  <w:tcW w:w="3000" w:type="dxa"/>
                  <w:noWrap w:val="0"/>
                  <w:vAlign w:val="center"/>
                </w:tcPr>
                <w:p w14:paraId="0A83883B">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除尘器收尘</w:t>
                  </w:r>
                </w:p>
              </w:tc>
              <w:tc>
                <w:tcPr>
                  <w:tcW w:w="2555" w:type="dxa"/>
                  <w:noWrap w:val="0"/>
                  <w:vAlign w:val="center"/>
                </w:tcPr>
                <w:p w14:paraId="69ABDBC4">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44.084</w:t>
                  </w:r>
                </w:p>
              </w:tc>
            </w:tr>
            <w:tr w14:paraId="2E522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01F1A1E3">
                  <w:pPr>
                    <w:adjustRightInd w:val="0"/>
                    <w:snapToGrid w:val="0"/>
                    <w:jc w:val="center"/>
                    <w:rPr>
                      <w:rFonts w:hint="eastAsia" w:ascii="宋体" w:hAnsi="宋体" w:eastAsia="宋体" w:cs="宋体"/>
                      <w:b w:val="0"/>
                      <w:bCs w:val="0"/>
                      <w:color w:val="auto"/>
                      <w:szCs w:val="21"/>
                      <w:highlight w:val="none"/>
                      <w:lang w:val="en-US" w:eastAsia="zh-CN"/>
                    </w:rPr>
                  </w:pPr>
                </w:p>
              </w:tc>
              <w:tc>
                <w:tcPr>
                  <w:tcW w:w="1245" w:type="dxa"/>
                  <w:vMerge w:val="continue"/>
                  <w:noWrap w:val="0"/>
                  <w:vAlign w:val="center"/>
                </w:tcPr>
                <w:p w14:paraId="3B5090AB">
                  <w:pPr>
                    <w:adjustRightInd w:val="0"/>
                    <w:snapToGrid w:val="0"/>
                    <w:jc w:val="center"/>
                    <w:rPr>
                      <w:rFonts w:hint="default" w:ascii="Times New Roman" w:hAnsi="Times New Roman" w:eastAsia="宋体" w:cs="Times New Roman"/>
                      <w:b w:val="0"/>
                      <w:bCs w:val="0"/>
                      <w:color w:val="auto"/>
                      <w:szCs w:val="21"/>
                      <w:highlight w:val="none"/>
                    </w:rPr>
                  </w:pPr>
                </w:p>
              </w:tc>
              <w:tc>
                <w:tcPr>
                  <w:tcW w:w="3000" w:type="dxa"/>
                  <w:noWrap w:val="0"/>
                  <w:vAlign w:val="center"/>
                </w:tcPr>
                <w:p w14:paraId="06716EB6">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车间沉降粉尘</w:t>
                  </w:r>
                </w:p>
              </w:tc>
              <w:tc>
                <w:tcPr>
                  <w:tcW w:w="2555" w:type="dxa"/>
                  <w:noWrap w:val="0"/>
                  <w:vAlign w:val="center"/>
                </w:tcPr>
                <w:p w14:paraId="58244CCE">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17.812</w:t>
                  </w:r>
                </w:p>
              </w:tc>
            </w:tr>
            <w:tr w14:paraId="4BDA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794EDF09">
                  <w:pPr>
                    <w:adjustRightInd w:val="0"/>
                    <w:snapToGrid w:val="0"/>
                    <w:jc w:val="center"/>
                    <w:rPr>
                      <w:rFonts w:hint="eastAsia" w:ascii="宋体" w:hAnsi="宋体" w:eastAsia="宋体" w:cs="宋体"/>
                      <w:b w:val="0"/>
                      <w:bCs w:val="0"/>
                      <w:color w:val="auto"/>
                      <w:szCs w:val="21"/>
                      <w:highlight w:val="none"/>
                      <w:lang w:val="en-US" w:eastAsia="zh-CN"/>
                    </w:rPr>
                  </w:pPr>
                </w:p>
              </w:tc>
              <w:tc>
                <w:tcPr>
                  <w:tcW w:w="1245" w:type="dxa"/>
                  <w:vMerge w:val="continue"/>
                  <w:noWrap w:val="0"/>
                  <w:vAlign w:val="center"/>
                </w:tcPr>
                <w:p w14:paraId="2F6DEEAE">
                  <w:pPr>
                    <w:adjustRightInd w:val="0"/>
                    <w:snapToGrid w:val="0"/>
                    <w:jc w:val="center"/>
                    <w:rPr>
                      <w:rFonts w:hint="default" w:ascii="Times New Roman" w:hAnsi="Times New Roman" w:eastAsia="宋体" w:cs="Times New Roman"/>
                      <w:b w:val="0"/>
                      <w:bCs w:val="0"/>
                      <w:color w:val="auto"/>
                      <w:szCs w:val="21"/>
                      <w:highlight w:val="none"/>
                    </w:rPr>
                  </w:pPr>
                </w:p>
              </w:tc>
              <w:tc>
                <w:tcPr>
                  <w:tcW w:w="3000" w:type="dxa"/>
                  <w:noWrap w:val="0"/>
                  <w:vAlign w:val="center"/>
                </w:tcPr>
                <w:p w14:paraId="1AB7C16C">
                  <w:pPr>
                    <w:adjustRightInd w:val="0"/>
                    <w:snapToGrid w:val="0"/>
                    <w:jc w:val="center"/>
                    <w:rPr>
                      <w:rFonts w:hint="default" w:ascii="Times New Roman" w:hAnsi="Times New Roman" w:eastAsia="宋体" w:cs="Times New Roman"/>
                      <w:b w:val="0"/>
                      <w:bCs w:val="0"/>
                      <w:color w:val="auto"/>
                      <w:szCs w:val="21"/>
                      <w:highlight w:val="none"/>
                      <w:lang w:val="en-US"/>
                    </w:rPr>
                  </w:pPr>
                  <w:r>
                    <w:rPr>
                      <w:rFonts w:hint="eastAsia" w:ascii="Times New Roman" w:hAnsi="Times New Roman" w:eastAsia="宋体" w:cs="Times New Roman"/>
                      <w:b w:val="0"/>
                      <w:bCs w:val="0"/>
                      <w:color w:val="auto"/>
                      <w:szCs w:val="21"/>
                      <w:highlight w:val="none"/>
                      <w:lang w:val="en-US" w:eastAsia="zh-CN"/>
                    </w:rPr>
                    <w:t>废铁等金属</w:t>
                  </w:r>
                </w:p>
              </w:tc>
              <w:tc>
                <w:tcPr>
                  <w:tcW w:w="2555" w:type="dxa"/>
                  <w:noWrap w:val="0"/>
                  <w:vAlign w:val="center"/>
                </w:tcPr>
                <w:p w14:paraId="5593D5E6">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25.785</w:t>
                  </w:r>
                </w:p>
              </w:tc>
            </w:tr>
            <w:tr w14:paraId="6B0B6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noWrap w:val="0"/>
                  <w:vAlign w:val="center"/>
                </w:tcPr>
                <w:p w14:paraId="23136088">
                  <w:pPr>
                    <w:adjustRightInd w:val="0"/>
                    <w:snapToGrid w:val="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合计</w:t>
                  </w:r>
                </w:p>
              </w:tc>
              <w:tc>
                <w:tcPr>
                  <w:tcW w:w="1245" w:type="dxa"/>
                  <w:noWrap w:val="0"/>
                  <w:vAlign w:val="center"/>
                </w:tcPr>
                <w:p w14:paraId="4247478E">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180100</w:t>
                  </w:r>
                </w:p>
              </w:tc>
              <w:tc>
                <w:tcPr>
                  <w:tcW w:w="3000" w:type="dxa"/>
                  <w:noWrap w:val="0"/>
                  <w:vAlign w:val="center"/>
                </w:tcPr>
                <w:p w14:paraId="03A48488">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w:t>
                  </w:r>
                </w:p>
              </w:tc>
              <w:tc>
                <w:tcPr>
                  <w:tcW w:w="2555" w:type="dxa"/>
                  <w:noWrap w:val="0"/>
                  <w:vAlign w:val="center"/>
                </w:tcPr>
                <w:p w14:paraId="777326CD">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180100</w:t>
                  </w:r>
                </w:p>
              </w:tc>
            </w:tr>
          </w:tbl>
          <w:p w14:paraId="47FD808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bCs w:val="0"/>
                <w:color w:val="auto"/>
                <w:sz w:val="24"/>
                <w:szCs w:val="24"/>
                <w:highlight w:val="none"/>
                <w:lang w:val="en-US" w:eastAsia="zh-CN"/>
              </w:rPr>
            </w:pPr>
            <w:r>
              <w:rPr>
                <w:rFonts w:hint="eastAsia" w:cs="Times New Roman"/>
                <w:b/>
                <w:bCs/>
                <w:color w:val="auto"/>
                <w:kern w:val="2"/>
                <w:sz w:val="24"/>
                <w:szCs w:val="24"/>
                <w:highlight w:val="none"/>
                <w:lang w:val="en-US" w:eastAsia="zh-CN" w:bidi="ar-SA"/>
              </w:rPr>
              <w:t>6</w:t>
            </w:r>
            <w:r>
              <w:rPr>
                <w:rFonts w:hint="default" w:ascii="Times New Roman" w:hAnsi="Times New Roman" w:cs="Times New Roman"/>
                <w:b/>
                <w:bCs/>
                <w:color w:val="auto"/>
                <w:kern w:val="2"/>
                <w:sz w:val="24"/>
                <w:szCs w:val="24"/>
                <w:highlight w:val="none"/>
                <w:lang w:val="en-US" w:eastAsia="zh-CN" w:bidi="ar-SA"/>
              </w:rPr>
              <w:t>、</w:t>
            </w:r>
            <w:r>
              <w:rPr>
                <w:rFonts w:hint="default" w:ascii="Times New Roman" w:hAnsi="Times New Roman" w:cs="Times New Roman"/>
                <w:b/>
                <w:bCs w:val="0"/>
                <w:color w:val="auto"/>
                <w:sz w:val="24"/>
                <w:szCs w:val="24"/>
                <w:highlight w:val="none"/>
                <w:lang w:val="en-US" w:eastAsia="zh-CN"/>
              </w:rPr>
              <w:t>主要生产设备</w:t>
            </w:r>
          </w:p>
          <w:p w14:paraId="65B05AE6">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本项目主要设备见下表。</w:t>
            </w:r>
          </w:p>
          <w:p w14:paraId="28C249E0">
            <w:pPr>
              <w:numPr>
                <w:ilvl w:val="0"/>
                <w:numId w:val="0"/>
              </w:numPr>
              <w:adjustRightInd w:val="0"/>
              <w:snapToGrid w:val="0"/>
              <w:spacing w:line="240" w:lineRule="auto"/>
              <w:jc w:val="center"/>
              <w:rPr>
                <w:rFonts w:hint="default" w:ascii="Times New Roman" w:hAnsi="Times New Roman" w:cs="Times New Roman"/>
                <w:b/>
                <w:bCs w:val="0"/>
                <w:color w:val="auto"/>
                <w:sz w:val="21"/>
                <w:szCs w:val="21"/>
                <w:highlight w:val="none"/>
                <w:lang w:val="en-US" w:eastAsia="zh-CN"/>
              </w:rPr>
            </w:pPr>
            <w:r>
              <w:rPr>
                <w:rFonts w:hint="default" w:ascii="Times New Roman" w:hAnsi="Times New Roman" w:cs="Times New Roman"/>
                <w:b/>
                <w:bCs w:val="0"/>
                <w:color w:val="auto"/>
                <w:sz w:val="21"/>
                <w:szCs w:val="21"/>
                <w:highlight w:val="none"/>
                <w:lang w:val="en-US" w:eastAsia="zh-CN"/>
              </w:rPr>
              <w:t>表2-</w:t>
            </w:r>
            <w:r>
              <w:rPr>
                <w:rFonts w:hint="eastAsia" w:cs="Times New Roman"/>
                <w:b/>
                <w:bCs w:val="0"/>
                <w:color w:val="auto"/>
                <w:sz w:val="21"/>
                <w:szCs w:val="21"/>
                <w:highlight w:val="none"/>
                <w:lang w:val="en-US" w:eastAsia="zh-CN"/>
              </w:rPr>
              <w:t xml:space="preserve">5 </w:t>
            </w:r>
            <w:r>
              <w:rPr>
                <w:rFonts w:hint="default" w:ascii="Times New Roman" w:hAnsi="Times New Roman" w:cs="Times New Roman"/>
                <w:b/>
                <w:bCs w:val="0"/>
                <w:color w:val="auto"/>
                <w:sz w:val="21"/>
                <w:szCs w:val="21"/>
                <w:highlight w:val="none"/>
                <w:lang w:val="en-US" w:eastAsia="zh-CN"/>
              </w:rPr>
              <w:t>主要设备一览表</w:t>
            </w:r>
          </w:p>
          <w:tbl>
            <w:tblPr>
              <w:tblStyle w:val="25"/>
              <w:tblW w:w="8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929"/>
              <w:gridCol w:w="2081"/>
              <w:gridCol w:w="1432"/>
              <w:gridCol w:w="2190"/>
            </w:tblGrid>
            <w:tr w14:paraId="2697C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0AE387E8">
                  <w:pPr>
                    <w:widowControl/>
                    <w:jc w:val="center"/>
                    <w:textAlignment w:val="center"/>
                    <w:rPr>
                      <w:rFonts w:hint="eastAsia" w:ascii="宋体" w:hAnsi="宋体" w:eastAsia="宋体" w:cs="宋体"/>
                      <w:b/>
                      <w:bCs/>
                      <w:color w:val="auto"/>
                      <w:szCs w:val="21"/>
                      <w:highlight w:val="none"/>
                    </w:rPr>
                  </w:pPr>
                  <w:r>
                    <w:rPr>
                      <w:rFonts w:hint="default" w:ascii="Times New Roman" w:hAnsi="Times New Roman" w:eastAsia="宋体" w:cs="Times New Roman"/>
                      <w:b/>
                      <w:bCs/>
                      <w:color w:val="auto"/>
                      <w:kern w:val="0"/>
                      <w:szCs w:val="21"/>
                      <w:highlight w:val="none"/>
                      <w:lang w:bidi="ar"/>
                    </w:rPr>
                    <w:t>序号</w:t>
                  </w:r>
                </w:p>
              </w:tc>
              <w:tc>
                <w:tcPr>
                  <w:tcW w:w="1929" w:type="dxa"/>
                  <w:noWrap w:val="0"/>
                  <w:vAlign w:val="center"/>
                </w:tcPr>
                <w:p w14:paraId="6B4F453E">
                  <w:pPr>
                    <w:widowControl/>
                    <w:jc w:val="center"/>
                    <w:textAlignment w:val="center"/>
                    <w:rPr>
                      <w:rFonts w:hint="eastAsia" w:ascii="宋体" w:hAnsi="宋体" w:eastAsia="宋体" w:cs="宋体"/>
                      <w:b/>
                      <w:bCs/>
                      <w:color w:val="auto"/>
                      <w:szCs w:val="21"/>
                      <w:highlight w:val="none"/>
                    </w:rPr>
                  </w:pPr>
                  <w:r>
                    <w:rPr>
                      <w:rFonts w:hint="default" w:ascii="Times New Roman" w:hAnsi="Times New Roman" w:eastAsia="宋体" w:cs="Times New Roman"/>
                      <w:b/>
                      <w:bCs/>
                      <w:color w:val="auto"/>
                      <w:kern w:val="0"/>
                      <w:szCs w:val="21"/>
                      <w:highlight w:val="none"/>
                      <w:lang w:bidi="ar"/>
                    </w:rPr>
                    <w:t>名称</w:t>
                  </w:r>
                </w:p>
              </w:tc>
              <w:tc>
                <w:tcPr>
                  <w:tcW w:w="2081" w:type="dxa"/>
                  <w:noWrap w:val="0"/>
                  <w:vAlign w:val="center"/>
                </w:tcPr>
                <w:p w14:paraId="6972E76C">
                  <w:pPr>
                    <w:widowControl/>
                    <w:jc w:val="center"/>
                    <w:textAlignment w:val="center"/>
                    <w:rPr>
                      <w:rFonts w:hint="eastAsia" w:ascii="宋体" w:hAnsi="宋体" w:eastAsia="宋体" w:cs="宋体"/>
                      <w:b/>
                      <w:bCs/>
                      <w:color w:val="auto"/>
                      <w:szCs w:val="21"/>
                      <w:highlight w:val="none"/>
                    </w:rPr>
                  </w:pPr>
                  <w:r>
                    <w:rPr>
                      <w:rFonts w:hint="default" w:ascii="Times New Roman" w:hAnsi="Times New Roman" w:eastAsia="宋体" w:cs="Times New Roman"/>
                      <w:b/>
                      <w:bCs/>
                      <w:color w:val="auto"/>
                      <w:kern w:val="0"/>
                      <w:szCs w:val="21"/>
                      <w:highlight w:val="none"/>
                      <w:lang w:bidi="ar"/>
                    </w:rPr>
                    <w:t>规格型号</w:t>
                  </w:r>
                </w:p>
              </w:tc>
              <w:tc>
                <w:tcPr>
                  <w:tcW w:w="1432" w:type="dxa"/>
                  <w:noWrap w:val="0"/>
                  <w:vAlign w:val="center"/>
                </w:tcPr>
                <w:p w14:paraId="49B7164D">
                  <w:pPr>
                    <w:widowControl/>
                    <w:jc w:val="center"/>
                    <w:textAlignment w:val="center"/>
                    <w:rPr>
                      <w:rFonts w:hint="eastAsia" w:ascii="宋体" w:hAnsi="宋体" w:eastAsia="宋体" w:cs="宋体"/>
                      <w:b/>
                      <w:bCs/>
                      <w:color w:val="auto"/>
                      <w:szCs w:val="21"/>
                      <w:highlight w:val="none"/>
                    </w:rPr>
                  </w:pPr>
                  <w:r>
                    <w:rPr>
                      <w:rFonts w:hint="default" w:ascii="Times New Roman" w:hAnsi="Times New Roman" w:eastAsia="宋体" w:cs="Times New Roman"/>
                      <w:b/>
                      <w:bCs/>
                      <w:color w:val="auto"/>
                      <w:kern w:val="0"/>
                      <w:szCs w:val="21"/>
                      <w:highlight w:val="none"/>
                      <w:lang w:bidi="ar"/>
                    </w:rPr>
                    <w:t>数量/台</w:t>
                  </w:r>
                </w:p>
              </w:tc>
              <w:tc>
                <w:tcPr>
                  <w:tcW w:w="2190" w:type="dxa"/>
                  <w:noWrap w:val="0"/>
                  <w:vAlign w:val="center"/>
                </w:tcPr>
                <w:p w14:paraId="1680BABF">
                  <w:pPr>
                    <w:widowControl/>
                    <w:jc w:val="center"/>
                    <w:textAlignment w:val="center"/>
                    <w:rPr>
                      <w:rFonts w:hint="eastAsia" w:ascii="宋体" w:hAnsi="宋体" w:eastAsia="宋体" w:cs="宋体"/>
                      <w:b/>
                      <w:bCs/>
                      <w:color w:val="auto"/>
                      <w:szCs w:val="21"/>
                      <w:highlight w:val="none"/>
                    </w:rPr>
                  </w:pPr>
                  <w:r>
                    <w:rPr>
                      <w:rFonts w:hint="default" w:ascii="Times New Roman" w:hAnsi="Times New Roman" w:eastAsia="宋体" w:cs="Times New Roman"/>
                      <w:b/>
                      <w:bCs/>
                      <w:color w:val="auto"/>
                      <w:kern w:val="0"/>
                      <w:szCs w:val="21"/>
                      <w:highlight w:val="none"/>
                      <w:lang w:val="en-US" w:eastAsia="zh-CN" w:bidi="ar"/>
                    </w:rPr>
                    <w:t>备注</w:t>
                  </w:r>
                </w:p>
              </w:tc>
            </w:tr>
            <w:tr w14:paraId="4DAF2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7973AA9">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1</w:t>
                  </w:r>
                </w:p>
              </w:tc>
              <w:tc>
                <w:tcPr>
                  <w:tcW w:w="1929" w:type="dxa"/>
                  <w:noWrap w:val="0"/>
                  <w:vAlign w:val="center"/>
                </w:tcPr>
                <w:p w14:paraId="28B040A8">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kern w:val="0"/>
                      <w:szCs w:val="21"/>
                      <w:highlight w:val="none"/>
                      <w:lang w:val="en-US" w:eastAsia="zh-CN"/>
                    </w:rPr>
                    <w:t>上料爪机</w:t>
                  </w:r>
                </w:p>
              </w:tc>
              <w:tc>
                <w:tcPr>
                  <w:tcW w:w="2081" w:type="dxa"/>
                  <w:noWrap w:val="0"/>
                  <w:vAlign w:val="center"/>
                </w:tcPr>
                <w:p w14:paraId="603DBBEB">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kern w:val="0"/>
                      <w:szCs w:val="21"/>
                      <w:highlight w:val="none"/>
                      <w:lang w:val="en-US" w:eastAsia="zh-CN"/>
                    </w:rPr>
                    <w:t>/</w:t>
                  </w:r>
                </w:p>
              </w:tc>
              <w:tc>
                <w:tcPr>
                  <w:tcW w:w="1432" w:type="dxa"/>
                  <w:noWrap w:val="0"/>
                  <w:vAlign w:val="center"/>
                </w:tcPr>
                <w:p w14:paraId="7DC0C287">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vMerge w:val="restart"/>
                  <w:noWrap w:val="0"/>
                  <w:vAlign w:val="center"/>
                </w:tcPr>
                <w:p w14:paraId="16AEE769">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上料工序</w:t>
                  </w:r>
                </w:p>
              </w:tc>
            </w:tr>
            <w:tr w14:paraId="45E09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DEE9A0A">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2</w:t>
                  </w:r>
                </w:p>
              </w:tc>
              <w:tc>
                <w:tcPr>
                  <w:tcW w:w="1929" w:type="dxa"/>
                  <w:noWrap w:val="0"/>
                  <w:vAlign w:val="center"/>
                </w:tcPr>
                <w:p w14:paraId="1B6019B2">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链板上料机</w:t>
                  </w:r>
                </w:p>
              </w:tc>
              <w:tc>
                <w:tcPr>
                  <w:tcW w:w="2081" w:type="dxa"/>
                  <w:noWrap w:val="0"/>
                  <w:vAlign w:val="center"/>
                </w:tcPr>
                <w:p w14:paraId="246A7B1A">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GLL-12-11</w:t>
                  </w:r>
                </w:p>
              </w:tc>
              <w:tc>
                <w:tcPr>
                  <w:tcW w:w="1432" w:type="dxa"/>
                  <w:noWrap w:val="0"/>
                  <w:vAlign w:val="center"/>
                </w:tcPr>
                <w:p w14:paraId="2F00D319">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1</w:t>
                  </w:r>
                </w:p>
              </w:tc>
              <w:tc>
                <w:tcPr>
                  <w:tcW w:w="2190" w:type="dxa"/>
                  <w:vMerge w:val="continue"/>
                  <w:noWrap w:val="0"/>
                  <w:vAlign w:val="center"/>
                </w:tcPr>
                <w:p w14:paraId="1CC6D7B7">
                  <w:pPr>
                    <w:adjustRightInd w:val="0"/>
                    <w:snapToGrid w:val="0"/>
                    <w:jc w:val="center"/>
                    <w:rPr>
                      <w:rFonts w:hint="eastAsia" w:ascii="宋体" w:hAnsi="宋体" w:eastAsia="宋体" w:cs="宋体"/>
                      <w:b w:val="0"/>
                      <w:bCs w:val="0"/>
                      <w:color w:val="auto"/>
                      <w:szCs w:val="21"/>
                      <w:highlight w:val="none"/>
                      <w:lang w:val="en-US" w:eastAsia="zh-CN"/>
                    </w:rPr>
                  </w:pPr>
                </w:p>
              </w:tc>
            </w:tr>
            <w:tr w14:paraId="4F77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0D76347">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3</w:t>
                  </w:r>
                </w:p>
              </w:tc>
              <w:tc>
                <w:tcPr>
                  <w:tcW w:w="1929" w:type="dxa"/>
                  <w:noWrap w:val="0"/>
                  <w:vAlign w:val="center"/>
                </w:tcPr>
                <w:p w14:paraId="5636E55A">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一破撕碎机</w:t>
                  </w:r>
                </w:p>
              </w:tc>
              <w:tc>
                <w:tcPr>
                  <w:tcW w:w="2081" w:type="dxa"/>
                  <w:noWrap w:val="0"/>
                  <w:vAlign w:val="center"/>
                </w:tcPr>
                <w:p w14:paraId="58F9CA97">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GLS-16-06</w:t>
                  </w:r>
                </w:p>
              </w:tc>
              <w:tc>
                <w:tcPr>
                  <w:tcW w:w="1432" w:type="dxa"/>
                  <w:noWrap w:val="0"/>
                  <w:vAlign w:val="center"/>
                </w:tcPr>
                <w:p w14:paraId="1CDCC6D8">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1</w:t>
                  </w:r>
                </w:p>
              </w:tc>
              <w:tc>
                <w:tcPr>
                  <w:tcW w:w="2190" w:type="dxa"/>
                  <w:noWrap w:val="0"/>
                  <w:vAlign w:val="center"/>
                </w:tcPr>
                <w:p w14:paraId="3E5EDBD7">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5-7齿，破碎工序</w:t>
                  </w:r>
                </w:p>
              </w:tc>
            </w:tr>
            <w:tr w14:paraId="0336F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99C390B">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4</w:t>
                  </w:r>
                </w:p>
              </w:tc>
              <w:tc>
                <w:tcPr>
                  <w:tcW w:w="1929" w:type="dxa"/>
                  <w:noWrap w:val="0"/>
                  <w:vAlign w:val="center"/>
                </w:tcPr>
                <w:p w14:paraId="3DBC7F66">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一破出料皮带机</w:t>
                  </w:r>
                </w:p>
              </w:tc>
              <w:tc>
                <w:tcPr>
                  <w:tcW w:w="2081" w:type="dxa"/>
                  <w:noWrap w:val="0"/>
                  <w:vAlign w:val="center"/>
                </w:tcPr>
                <w:p w14:paraId="7C20DC59">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GLC-14-05</w:t>
                  </w:r>
                </w:p>
              </w:tc>
              <w:tc>
                <w:tcPr>
                  <w:tcW w:w="1432" w:type="dxa"/>
                  <w:noWrap w:val="0"/>
                  <w:vAlign w:val="center"/>
                </w:tcPr>
                <w:p w14:paraId="725FE1B5">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6A656D5E">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输送</w:t>
                  </w:r>
                </w:p>
              </w:tc>
            </w:tr>
            <w:tr w14:paraId="7AFD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8D1E60E">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5</w:t>
                  </w:r>
                </w:p>
              </w:tc>
              <w:tc>
                <w:tcPr>
                  <w:tcW w:w="1929" w:type="dxa"/>
                  <w:noWrap w:val="0"/>
                  <w:vAlign w:val="center"/>
                </w:tcPr>
                <w:p w14:paraId="52B14ECA">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一破除铁皮带机</w:t>
                  </w:r>
                </w:p>
              </w:tc>
              <w:tc>
                <w:tcPr>
                  <w:tcW w:w="2081" w:type="dxa"/>
                  <w:noWrap w:val="0"/>
                  <w:vAlign w:val="center"/>
                </w:tcPr>
                <w:p w14:paraId="6E2A6B97">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GLC-14-03</w:t>
                  </w:r>
                </w:p>
              </w:tc>
              <w:tc>
                <w:tcPr>
                  <w:tcW w:w="1432" w:type="dxa"/>
                  <w:noWrap w:val="0"/>
                  <w:vAlign w:val="center"/>
                </w:tcPr>
                <w:p w14:paraId="2B23CC14">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26C43913">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含磁滚筒，磁选</w:t>
                  </w:r>
                </w:p>
              </w:tc>
            </w:tr>
            <w:tr w14:paraId="0306C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1BB54598">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w:t>
                  </w:r>
                </w:p>
              </w:tc>
              <w:tc>
                <w:tcPr>
                  <w:tcW w:w="1929" w:type="dxa"/>
                  <w:noWrap w:val="0"/>
                  <w:vAlign w:val="center"/>
                </w:tcPr>
                <w:p w14:paraId="7C205228">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二破上料皮带机</w:t>
                  </w:r>
                </w:p>
              </w:tc>
              <w:tc>
                <w:tcPr>
                  <w:tcW w:w="2081" w:type="dxa"/>
                  <w:noWrap w:val="0"/>
                  <w:vAlign w:val="center"/>
                </w:tcPr>
                <w:p w14:paraId="684E4934">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GLC-14-03</w:t>
                  </w:r>
                </w:p>
              </w:tc>
              <w:tc>
                <w:tcPr>
                  <w:tcW w:w="1432" w:type="dxa"/>
                  <w:noWrap w:val="0"/>
                  <w:vAlign w:val="center"/>
                </w:tcPr>
                <w:p w14:paraId="09D6F6C2">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41948287">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输送</w:t>
                  </w:r>
                </w:p>
              </w:tc>
            </w:tr>
            <w:tr w14:paraId="7356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C3DBADA">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7</w:t>
                  </w:r>
                </w:p>
              </w:tc>
              <w:tc>
                <w:tcPr>
                  <w:tcW w:w="1929" w:type="dxa"/>
                  <w:noWrap w:val="0"/>
                  <w:vAlign w:val="center"/>
                </w:tcPr>
                <w:p w14:paraId="2071A461">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rPr>
                    <w:t>二破撕碎机</w:t>
                  </w:r>
                </w:p>
              </w:tc>
              <w:tc>
                <w:tcPr>
                  <w:tcW w:w="2081" w:type="dxa"/>
                  <w:noWrap w:val="0"/>
                  <w:vAlign w:val="center"/>
                </w:tcPr>
                <w:p w14:paraId="4FD7CCD3">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GLS-16-0</w:t>
                  </w:r>
                  <w:r>
                    <w:rPr>
                      <w:rFonts w:hint="eastAsia" w:ascii="Times New Roman" w:hAnsi="Times New Roman" w:eastAsia="宋体" w:cs="Times New Roman"/>
                      <w:b w:val="0"/>
                      <w:bCs w:val="0"/>
                      <w:color w:val="auto"/>
                      <w:szCs w:val="21"/>
                      <w:highlight w:val="none"/>
                      <w:lang w:val="en-US" w:eastAsia="zh-CN"/>
                    </w:rPr>
                    <w:t>3</w:t>
                  </w:r>
                </w:p>
              </w:tc>
              <w:tc>
                <w:tcPr>
                  <w:tcW w:w="1432" w:type="dxa"/>
                  <w:noWrap w:val="0"/>
                  <w:vAlign w:val="center"/>
                </w:tcPr>
                <w:p w14:paraId="6E0B5314">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1</w:t>
                  </w:r>
                </w:p>
              </w:tc>
              <w:tc>
                <w:tcPr>
                  <w:tcW w:w="2190" w:type="dxa"/>
                  <w:noWrap w:val="0"/>
                  <w:vAlign w:val="center"/>
                </w:tcPr>
                <w:p w14:paraId="123E4969">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19-21齿，破碎工序</w:t>
                  </w:r>
                </w:p>
              </w:tc>
            </w:tr>
            <w:tr w14:paraId="6E564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151D609">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8</w:t>
                  </w:r>
                </w:p>
              </w:tc>
              <w:tc>
                <w:tcPr>
                  <w:tcW w:w="1929" w:type="dxa"/>
                  <w:noWrap w:val="0"/>
                  <w:vAlign w:val="center"/>
                </w:tcPr>
                <w:p w14:paraId="72477D89">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二破出料皮带机</w:t>
                  </w:r>
                </w:p>
              </w:tc>
              <w:tc>
                <w:tcPr>
                  <w:tcW w:w="2081" w:type="dxa"/>
                  <w:noWrap w:val="0"/>
                  <w:vAlign w:val="center"/>
                </w:tcPr>
                <w:p w14:paraId="519FDD1B">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GLC-14-05</w:t>
                  </w:r>
                </w:p>
              </w:tc>
              <w:tc>
                <w:tcPr>
                  <w:tcW w:w="1432" w:type="dxa"/>
                  <w:noWrap w:val="0"/>
                  <w:vAlign w:val="center"/>
                </w:tcPr>
                <w:p w14:paraId="0AA32D2F">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77DD0AA7">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输送</w:t>
                  </w:r>
                </w:p>
              </w:tc>
            </w:tr>
            <w:tr w14:paraId="5FF1D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5639A99">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9</w:t>
                  </w:r>
                </w:p>
              </w:tc>
              <w:tc>
                <w:tcPr>
                  <w:tcW w:w="1929" w:type="dxa"/>
                  <w:noWrap w:val="0"/>
                  <w:vAlign w:val="center"/>
                </w:tcPr>
                <w:p w14:paraId="4DA02E49">
                  <w:pPr>
                    <w:adjustRightInd w:val="0"/>
                    <w:snapToGrid w:val="0"/>
                    <w:jc w:val="center"/>
                    <w:rPr>
                      <w:rFonts w:hint="eastAsia" w:ascii="宋体" w:hAnsi="宋体" w:eastAsia="宋体" w:cs="宋体"/>
                      <w:b w:val="0"/>
                      <w:bCs w:val="0"/>
                      <w:color w:val="auto"/>
                      <w:szCs w:val="21"/>
                      <w:highlight w:val="none"/>
                      <w:lang w:eastAsia="zh-CN"/>
                    </w:rPr>
                  </w:pPr>
                  <w:r>
                    <w:rPr>
                      <w:rFonts w:hint="eastAsia" w:ascii="宋体" w:hAnsi="宋体" w:eastAsia="宋体" w:cs="宋体"/>
                      <w:b w:val="0"/>
                      <w:bCs w:val="0"/>
                      <w:color w:val="auto"/>
                      <w:szCs w:val="21"/>
                      <w:highlight w:val="none"/>
                      <w:lang w:val="en-US" w:eastAsia="zh-CN"/>
                    </w:rPr>
                    <w:t>三破上料皮带机</w:t>
                  </w:r>
                </w:p>
              </w:tc>
              <w:tc>
                <w:tcPr>
                  <w:tcW w:w="2081" w:type="dxa"/>
                  <w:noWrap w:val="0"/>
                  <w:vAlign w:val="center"/>
                </w:tcPr>
                <w:p w14:paraId="481FB246">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GLC-14-08</w:t>
                  </w:r>
                </w:p>
              </w:tc>
              <w:tc>
                <w:tcPr>
                  <w:tcW w:w="1432" w:type="dxa"/>
                  <w:noWrap w:val="0"/>
                  <w:vAlign w:val="center"/>
                </w:tcPr>
                <w:p w14:paraId="4B3AFF2A">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61EF271E">
                  <w:pPr>
                    <w:adjustRightInd w:val="0"/>
                    <w:snapToGrid w:val="0"/>
                    <w:jc w:val="center"/>
                    <w:rPr>
                      <w:rFonts w:hint="default"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lang w:val="en-US" w:eastAsia="zh-CN"/>
                    </w:rPr>
                    <w:t>含磁滚筒，磁选</w:t>
                  </w:r>
                </w:p>
              </w:tc>
            </w:tr>
            <w:tr w14:paraId="60181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5038B096">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10</w:t>
                  </w:r>
                </w:p>
              </w:tc>
              <w:tc>
                <w:tcPr>
                  <w:tcW w:w="1929" w:type="dxa"/>
                  <w:noWrap w:val="0"/>
                  <w:vAlign w:val="center"/>
                </w:tcPr>
                <w:p w14:paraId="56BE36CD">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三破撕碎机</w:t>
                  </w:r>
                </w:p>
              </w:tc>
              <w:tc>
                <w:tcPr>
                  <w:tcW w:w="2081" w:type="dxa"/>
                  <w:noWrap w:val="0"/>
                  <w:vAlign w:val="center"/>
                </w:tcPr>
                <w:p w14:paraId="70763853">
                  <w:pPr>
                    <w:adjustRightInd w:val="0"/>
                    <w:snapToGrid w:val="0"/>
                    <w:jc w:val="center"/>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GLS-16-03</w:t>
                  </w:r>
                </w:p>
              </w:tc>
              <w:tc>
                <w:tcPr>
                  <w:tcW w:w="1432" w:type="dxa"/>
                  <w:noWrap w:val="0"/>
                  <w:vAlign w:val="center"/>
                </w:tcPr>
                <w:p w14:paraId="3100E26C">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21BE6C1A">
                  <w:pPr>
                    <w:adjustRightInd w:val="0"/>
                    <w:snapToGrid w:val="0"/>
                    <w:jc w:val="center"/>
                    <w:rPr>
                      <w:rFonts w:hint="default"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lang w:val="en-US" w:eastAsia="zh-CN"/>
                    </w:rPr>
                    <w:t>26-29齿，破碎工序</w:t>
                  </w:r>
                </w:p>
              </w:tc>
            </w:tr>
            <w:tr w14:paraId="2CD84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6E0A93E7">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11</w:t>
                  </w:r>
                </w:p>
              </w:tc>
              <w:tc>
                <w:tcPr>
                  <w:tcW w:w="1929" w:type="dxa"/>
                  <w:noWrap w:val="0"/>
                  <w:vAlign w:val="center"/>
                </w:tcPr>
                <w:p w14:paraId="63BFD280">
                  <w:pPr>
                    <w:adjustRightInd w:val="0"/>
                    <w:snapToGrid w:val="0"/>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en-US" w:eastAsia="zh-CN"/>
                    </w:rPr>
                    <w:t>三破下料皮带机</w:t>
                  </w:r>
                </w:p>
              </w:tc>
              <w:tc>
                <w:tcPr>
                  <w:tcW w:w="2081" w:type="dxa"/>
                  <w:noWrap w:val="0"/>
                  <w:vAlign w:val="center"/>
                </w:tcPr>
                <w:p w14:paraId="1A47698D">
                  <w:pPr>
                    <w:adjustRightInd w:val="0"/>
                    <w:snapToGrid w:val="0"/>
                    <w:jc w:val="center"/>
                    <w:rPr>
                      <w:rFonts w:hint="default" w:ascii="Times New Roman" w:hAnsi="Times New Roman" w:eastAsia="宋体" w:cs="Times New Roman"/>
                      <w:b w:val="0"/>
                      <w:bCs w:val="0"/>
                      <w:color w:val="auto"/>
                      <w:szCs w:val="21"/>
                      <w:highlight w:val="none"/>
                    </w:rPr>
                  </w:pPr>
                  <w:r>
                    <w:rPr>
                      <w:rFonts w:hint="eastAsia" w:ascii="Times New Roman" w:hAnsi="Times New Roman" w:eastAsia="宋体" w:cs="Times New Roman"/>
                      <w:b w:val="0"/>
                      <w:bCs w:val="0"/>
                      <w:color w:val="auto"/>
                      <w:szCs w:val="21"/>
                      <w:highlight w:val="none"/>
                      <w:lang w:val="en-US" w:eastAsia="zh-CN"/>
                    </w:rPr>
                    <w:t>GLC-14-08</w:t>
                  </w:r>
                </w:p>
              </w:tc>
              <w:tc>
                <w:tcPr>
                  <w:tcW w:w="1432" w:type="dxa"/>
                  <w:noWrap w:val="0"/>
                  <w:vAlign w:val="center"/>
                </w:tcPr>
                <w:p w14:paraId="4E3211F2">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1</w:t>
                  </w:r>
                </w:p>
              </w:tc>
              <w:tc>
                <w:tcPr>
                  <w:tcW w:w="2190" w:type="dxa"/>
                  <w:noWrap w:val="0"/>
                  <w:vAlign w:val="center"/>
                </w:tcPr>
                <w:p w14:paraId="0EB38112">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输送</w:t>
                  </w:r>
                </w:p>
              </w:tc>
            </w:tr>
            <w:tr w14:paraId="0F172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4837321">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1929" w:type="dxa"/>
                  <w:noWrap w:val="0"/>
                  <w:vAlign w:val="center"/>
                </w:tcPr>
                <w:p w14:paraId="3F351D5D">
                  <w:pPr>
                    <w:adjustRightInd w:val="0"/>
                    <w:snapToGrid w:val="0"/>
                    <w:jc w:val="center"/>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磁选出料皮带机</w:t>
                  </w:r>
                </w:p>
              </w:tc>
              <w:tc>
                <w:tcPr>
                  <w:tcW w:w="2081" w:type="dxa"/>
                  <w:noWrap w:val="0"/>
                  <w:vAlign w:val="center"/>
                </w:tcPr>
                <w:p w14:paraId="3E56DA79">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GLC-08-06</w:t>
                  </w:r>
                </w:p>
              </w:tc>
              <w:tc>
                <w:tcPr>
                  <w:tcW w:w="1432" w:type="dxa"/>
                  <w:noWrap w:val="0"/>
                  <w:vAlign w:val="center"/>
                </w:tcPr>
                <w:p w14:paraId="5E00BC6F">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2</w:t>
                  </w:r>
                </w:p>
              </w:tc>
              <w:tc>
                <w:tcPr>
                  <w:tcW w:w="2190" w:type="dxa"/>
                  <w:noWrap w:val="0"/>
                  <w:vAlign w:val="center"/>
                </w:tcPr>
                <w:p w14:paraId="1E4002B8">
                  <w:pPr>
                    <w:adjustRightInd w:val="0"/>
                    <w:snapToGrid w:val="0"/>
                    <w:jc w:val="center"/>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输送，两次磁选出料</w:t>
                  </w:r>
                </w:p>
              </w:tc>
            </w:tr>
            <w:tr w14:paraId="5FFC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4768DA3">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13</w:t>
                  </w:r>
                </w:p>
              </w:tc>
              <w:tc>
                <w:tcPr>
                  <w:tcW w:w="1929" w:type="dxa"/>
                  <w:noWrap w:val="0"/>
                  <w:vAlign w:val="center"/>
                </w:tcPr>
                <w:p w14:paraId="316DA799">
                  <w:pPr>
                    <w:adjustRightInd w:val="0"/>
                    <w:snapToGrid w:val="0"/>
                    <w:jc w:val="center"/>
                    <w:rPr>
                      <w:rFonts w:hint="default" w:ascii="宋体" w:hAnsi="宋体" w:eastAsia="宋体" w:cs="宋体"/>
                      <w:b w:val="0"/>
                      <w:bCs w:val="0"/>
                      <w:color w:val="auto"/>
                      <w:szCs w:val="21"/>
                      <w:highlight w:val="none"/>
                      <w:lang w:val="en-US" w:eastAsia="zh-CN"/>
                    </w:rPr>
                  </w:pPr>
                  <w:r>
                    <w:rPr>
                      <w:rFonts w:hint="eastAsia"/>
                      <w:color w:val="auto"/>
                      <w:highlight w:val="none"/>
                      <w:vertAlign w:val="baseline"/>
                      <w:lang w:val="en-US" w:eastAsia="zh-CN"/>
                    </w:rPr>
                    <w:t>叉车夹抱机</w:t>
                  </w:r>
                  <w:r>
                    <w:rPr>
                      <w:rFonts w:hint="eastAsia" w:ascii="宋体" w:hAnsi="宋体" w:cs="宋体"/>
                      <w:b w:val="0"/>
                      <w:bCs w:val="0"/>
                      <w:color w:val="auto"/>
                      <w:szCs w:val="21"/>
                      <w:highlight w:val="none"/>
                      <w:lang w:val="en-US" w:eastAsia="zh-CN"/>
                    </w:rPr>
                    <w:t>（电车）</w:t>
                  </w:r>
                </w:p>
              </w:tc>
              <w:tc>
                <w:tcPr>
                  <w:tcW w:w="2081" w:type="dxa"/>
                  <w:noWrap w:val="0"/>
                  <w:vAlign w:val="center"/>
                </w:tcPr>
                <w:p w14:paraId="31DFC69C">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highlight w:val="none"/>
                      <w:lang w:val="en-US" w:eastAsia="zh-CN"/>
                    </w:rPr>
                    <w:t>承重</w:t>
                  </w:r>
                  <w:r>
                    <w:rPr>
                      <w:rFonts w:hint="default" w:ascii="Times New Roman" w:hAnsi="Times New Roman" w:eastAsia="宋体" w:cs="Times New Roman"/>
                      <w:b w:val="0"/>
                      <w:bCs w:val="0"/>
                      <w:color w:val="auto"/>
                      <w:highlight w:val="none"/>
                      <w:lang w:val="en-US" w:eastAsia="zh-CN"/>
                    </w:rPr>
                    <w:t>3吨</w:t>
                  </w:r>
                </w:p>
              </w:tc>
              <w:tc>
                <w:tcPr>
                  <w:tcW w:w="1432" w:type="dxa"/>
                  <w:noWrap w:val="0"/>
                  <w:vAlign w:val="center"/>
                </w:tcPr>
                <w:p w14:paraId="09E3BD0F">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2</w:t>
                  </w:r>
                </w:p>
              </w:tc>
              <w:tc>
                <w:tcPr>
                  <w:tcW w:w="2190" w:type="dxa"/>
                  <w:noWrap w:val="0"/>
                  <w:vAlign w:val="center"/>
                </w:tcPr>
                <w:p w14:paraId="3C39807C">
                  <w:pPr>
                    <w:adjustRightInd w:val="0"/>
                    <w:snapToGrid w:val="0"/>
                    <w:jc w:val="center"/>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打包工序</w:t>
                  </w:r>
                </w:p>
              </w:tc>
            </w:tr>
            <w:tr w14:paraId="1381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15E3ED1">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14</w:t>
                  </w:r>
                </w:p>
              </w:tc>
              <w:tc>
                <w:tcPr>
                  <w:tcW w:w="1929" w:type="dxa"/>
                  <w:noWrap w:val="0"/>
                  <w:vAlign w:val="center"/>
                </w:tcPr>
                <w:p w14:paraId="55AEC6E4">
                  <w:pPr>
                    <w:adjustRightInd w:val="0"/>
                    <w:snapToGrid w:val="0"/>
                    <w:jc w:val="center"/>
                    <w:rPr>
                      <w:rFonts w:hint="default" w:ascii="宋体" w:hAnsi="宋体" w:eastAsia="宋体" w:cs="宋体"/>
                      <w:b w:val="0"/>
                      <w:bCs w:val="0"/>
                      <w:color w:val="auto"/>
                      <w:szCs w:val="21"/>
                      <w:highlight w:val="none"/>
                      <w:lang w:val="en-US" w:eastAsia="zh-CN"/>
                    </w:rPr>
                  </w:pPr>
                  <w:r>
                    <w:rPr>
                      <w:rFonts w:hint="eastAsia"/>
                      <w:color w:val="auto"/>
                      <w:highlight w:val="none"/>
                      <w:vertAlign w:val="baseline"/>
                      <w:lang w:val="en-US" w:eastAsia="zh-CN"/>
                    </w:rPr>
                    <w:t>行车抓斗</w:t>
                  </w:r>
                </w:p>
              </w:tc>
              <w:tc>
                <w:tcPr>
                  <w:tcW w:w="2081" w:type="dxa"/>
                  <w:noWrap w:val="0"/>
                  <w:vAlign w:val="center"/>
                </w:tcPr>
                <w:p w14:paraId="747A257A">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highlight w:val="none"/>
                      <w:lang w:val="en-US" w:eastAsia="zh-CN"/>
                    </w:rPr>
                    <w:t>/</w:t>
                  </w:r>
                </w:p>
              </w:tc>
              <w:tc>
                <w:tcPr>
                  <w:tcW w:w="1432" w:type="dxa"/>
                  <w:noWrap w:val="0"/>
                  <w:vAlign w:val="center"/>
                </w:tcPr>
                <w:p w14:paraId="61BE6BA5">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6AEF55F4">
                  <w:pPr>
                    <w:adjustRightInd w:val="0"/>
                    <w:snapToGrid w:val="0"/>
                    <w:jc w:val="center"/>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上料工序</w:t>
                  </w:r>
                </w:p>
              </w:tc>
            </w:tr>
            <w:tr w14:paraId="596C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D0964B9">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1</w:t>
                  </w:r>
                  <w:r>
                    <w:rPr>
                      <w:rFonts w:hint="eastAsia" w:cs="Times New Roman"/>
                      <w:b w:val="0"/>
                      <w:bCs w:val="0"/>
                      <w:color w:val="auto"/>
                      <w:szCs w:val="21"/>
                      <w:highlight w:val="none"/>
                      <w:lang w:val="en-US" w:eastAsia="zh-CN"/>
                    </w:rPr>
                    <w:t>5</w:t>
                  </w:r>
                </w:p>
              </w:tc>
              <w:tc>
                <w:tcPr>
                  <w:tcW w:w="1929" w:type="dxa"/>
                  <w:noWrap w:val="0"/>
                  <w:vAlign w:val="center"/>
                </w:tcPr>
                <w:p w14:paraId="659C2292">
                  <w:pPr>
                    <w:autoSpaceDE w:val="0"/>
                    <w:autoSpaceDN w:val="0"/>
                    <w:adjustRightIn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抓机</w:t>
                  </w:r>
                </w:p>
              </w:tc>
              <w:tc>
                <w:tcPr>
                  <w:tcW w:w="2081" w:type="dxa"/>
                  <w:noWrap w:val="0"/>
                  <w:vAlign w:val="center"/>
                </w:tcPr>
                <w:p w14:paraId="2414C2AA">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highlight w:val="none"/>
                      <w:lang w:val="en-US" w:eastAsia="zh-CN"/>
                    </w:rPr>
                    <w:t>/</w:t>
                  </w:r>
                </w:p>
              </w:tc>
              <w:tc>
                <w:tcPr>
                  <w:tcW w:w="1432" w:type="dxa"/>
                  <w:noWrap w:val="0"/>
                  <w:vAlign w:val="center"/>
                </w:tcPr>
                <w:p w14:paraId="061D5BFB">
                  <w:pPr>
                    <w:adjustRightInd w:val="0"/>
                    <w:snapToGrid w:val="0"/>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1</w:t>
                  </w:r>
                </w:p>
              </w:tc>
              <w:tc>
                <w:tcPr>
                  <w:tcW w:w="2190" w:type="dxa"/>
                  <w:noWrap w:val="0"/>
                  <w:vAlign w:val="center"/>
                </w:tcPr>
                <w:p w14:paraId="0421BD13">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原料转移</w:t>
                  </w:r>
                </w:p>
              </w:tc>
            </w:tr>
            <w:tr w14:paraId="54050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2FE1C9B">
                  <w:pPr>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1</w:t>
                  </w:r>
                  <w:r>
                    <w:rPr>
                      <w:rFonts w:hint="eastAsia" w:cs="Times New Roman"/>
                      <w:b w:val="0"/>
                      <w:bCs w:val="0"/>
                      <w:color w:val="auto"/>
                      <w:szCs w:val="21"/>
                      <w:highlight w:val="none"/>
                      <w:lang w:val="en-US" w:eastAsia="zh-CN"/>
                    </w:rPr>
                    <w:t>6</w:t>
                  </w:r>
                </w:p>
              </w:tc>
              <w:tc>
                <w:tcPr>
                  <w:tcW w:w="1929" w:type="dxa"/>
                  <w:noWrap w:val="0"/>
                  <w:vAlign w:val="center"/>
                </w:tcPr>
                <w:p w14:paraId="13F83428">
                  <w:pPr>
                    <w:autoSpaceDE w:val="0"/>
                    <w:autoSpaceDN w:val="0"/>
                    <w:adjustRightInd w:val="0"/>
                    <w:jc w:val="center"/>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除尘器</w:t>
                  </w:r>
                </w:p>
              </w:tc>
              <w:tc>
                <w:tcPr>
                  <w:tcW w:w="2081" w:type="dxa"/>
                  <w:noWrap w:val="0"/>
                  <w:vAlign w:val="center"/>
                </w:tcPr>
                <w:p w14:paraId="42DD195C">
                  <w:pPr>
                    <w:adjustRightInd w:val="0"/>
                    <w:snapToGrid w:val="0"/>
                    <w:jc w:val="center"/>
                    <w:rPr>
                      <w:rFonts w:hint="default" w:ascii="Times New Roman" w:hAnsi="Times New Roman" w:eastAsia="宋体" w:cs="Times New Roman"/>
                      <w:b w:val="0"/>
                      <w:bCs w:val="0"/>
                      <w:color w:val="auto"/>
                      <w:highlight w:val="none"/>
                      <w:lang w:val="en-US" w:eastAsia="zh-CN"/>
                    </w:rPr>
                  </w:pPr>
                  <w:r>
                    <w:rPr>
                      <w:rFonts w:hint="eastAsia" w:ascii="Times New Roman" w:hAnsi="Times New Roman" w:eastAsia="宋体" w:cs="Times New Roman"/>
                      <w:b w:val="0"/>
                      <w:bCs w:val="0"/>
                      <w:color w:val="auto"/>
                      <w:highlight w:val="none"/>
                      <w:lang w:val="en-US" w:eastAsia="zh-CN"/>
                    </w:rPr>
                    <w:t>风量</w:t>
                  </w:r>
                  <w:r>
                    <w:rPr>
                      <w:rFonts w:hint="eastAsia" w:cs="Times New Roman"/>
                      <w:b w:val="0"/>
                      <w:bCs w:val="0"/>
                      <w:color w:val="auto"/>
                      <w:highlight w:val="none"/>
                      <w:lang w:val="en-US" w:eastAsia="zh-CN"/>
                    </w:rPr>
                    <w:t>15000m</w:t>
                  </w:r>
                  <w:r>
                    <w:rPr>
                      <w:rFonts w:hint="eastAsia" w:cs="Times New Roman"/>
                      <w:b w:val="0"/>
                      <w:bCs w:val="0"/>
                      <w:color w:val="auto"/>
                      <w:highlight w:val="none"/>
                      <w:vertAlign w:val="superscript"/>
                      <w:lang w:val="en-US" w:eastAsia="zh-CN"/>
                    </w:rPr>
                    <w:t>3</w:t>
                  </w:r>
                  <w:r>
                    <w:rPr>
                      <w:rFonts w:hint="eastAsia" w:cs="Times New Roman"/>
                      <w:b w:val="0"/>
                      <w:bCs w:val="0"/>
                      <w:color w:val="auto"/>
                      <w:highlight w:val="none"/>
                      <w:lang w:val="en-US" w:eastAsia="zh-CN"/>
                    </w:rPr>
                    <w:t>/h</w:t>
                  </w:r>
                </w:p>
              </w:tc>
              <w:tc>
                <w:tcPr>
                  <w:tcW w:w="1432" w:type="dxa"/>
                  <w:noWrap w:val="0"/>
                  <w:vAlign w:val="center"/>
                </w:tcPr>
                <w:p w14:paraId="25202228">
                  <w:pPr>
                    <w:adjustRightInd w:val="0"/>
                    <w:snapToGrid w:val="0"/>
                    <w:jc w:val="center"/>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1</w:t>
                  </w:r>
                </w:p>
              </w:tc>
              <w:tc>
                <w:tcPr>
                  <w:tcW w:w="2190" w:type="dxa"/>
                  <w:noWrap w:val="0"/>
                  <w:vAlign w:val="center"/>
                </w:tcPr>
                <w:p w14:paraId="0BAA44CA">
                  <w:pPr>
                    <w:adjustRightInd w:val="0"/>
                    <w:snapToGrid w:val="0"/>
                    <w:jc w:val="center"/>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废气治理</w:t>
                  </w:r>
                </w:p>
              </w:tc>
            </w:tr>
          </w:tbl>
          <w:p w14:paraId="0F212402">
            <w:pPr>
              <w:numPr>
                <w:ilvl w:val="0"/>
                <w:numId w:val="0"/>
              </w:numPr>
              <w:adjustRightInd w:val="0"/>
              <w:snapToGrid w:val="0"/>
              <w:spacing w:line="360" w:lineRule="auto"/>
              <w:jc w:val="both"/>
              <w:rPr>
                <w:rFonts w:hint="default" w:ascii="Times New Roman" w:hAnsi="Times New Roman" w:cs="Times New Roman"/>
                <w:bCs/>
                <w:color w:val="auto"/>
                <w:sz w:val="24"/>
                <w:szCs w:val="24"/>
                <w:highlight w:val="none"/>
                <w:lang w:val="en-US" w:eastAsia="zh-CN"/>
              </w:rPr>
            </w:pPr>
            <w:r>
              <w:rPr>
                <w:rFonts w:hint="eastAsia" w:cs="Times New Roman"/>
                <w:b/>
                <w:bCs/>
                <w:color w:val="auto"/>
                <w:kern w:val="2"/>
                <w:sz w:val="24"/>
                <w:szCs w:val="24"/>
                <w:highlight w:val="none"/>
                <w:lang w:val="en-US" w:eastAsia="zh-CN" w:bidi="ar-SA"/>
              </w:rPr>
              <w:t>7</w:t>
            </w:r>
            <w:r>
              <w:rPr>
                <w:rFonts w:hint="default" w:ascii="Times New Roman" w:hAnsi="Times New Roman" w:cs="Times New Roman"/>
                <w:b/>
                <w:bCs/>
                <w:color w:val="auto"/>
                <w:kern w:val="2"/>
                <w:sz w:val="24"/>
                <w:szCs w:val="24"/>
                <w:highlight w:val="none"/>
                <w:lang w:val="en-US" w:eastAsia="zh-CN" w:bidi="ar-SA"/>
              </w:rPr>
              <w:t>、</w:t>
            </w:r>
            <w:r>
              <w:rPr>
                <w:rFonts w:hint="default" w:ascii="Times New Roman" w:hAnsi="Times New Roman" w:cs="Times New Roman"/>
                <w:b/>
                <w:bCs w:val="0"/>
                <w:color w:val="auto"/>
                <w:sz w:val="24"/>
                <w:szCs w:val="24"/>
                <w:highlight w:val="none"/>
                <w:lang w:val="en-US" w:eastAsia="zh-CN"/>
              </w:rPr>
              <w:t>公用工程</w:t>
            </w:r>
          </w:p>
          <w:p w14:paraId="0F59B135">
            <w:pPr>
              <w:numPr>
                <w:ilvl w:val="0"/>
                <w:numId w:val="0"/>
              </w:numPr>
              <w:adjustRightInd w:val="0"/>
              <w:snapToGrid w:val="0"/>
              <w:spacing w:line="360" w:lineRule="auto"/>
              <w:jc w:val="both"/>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val="0"/>
                <w:color w:val="auto"/>
                <w:kern w:val="2"/>
                <w:sz w:val="24"/>
                <w:szCs w:val="24"/>
                <w:highlight w:val="none"/>
                <w:lang w:val="en-US" w:eastAsia="zh-CN" w:bidi="ar-SA"/>
              </w:rPr>
              <w:t>（1）</w:t>
            </w:r>
            <w:r>
              <w:rPr>
                <w:rFonts w:hint="default" w:ascii="Times New Roman" w:hAnsi="Times New Roman" w:cs="Times New Roman"/>
                <w:b/>
                <w:bCs w:val="0"/>
                <w:color w:val="auto"/>
                <w:sz w:val="24"/>
                <w:szCs w:val="24"/>
                <w:highlight w:val="none"/>
                <w:lang w:val="en-US" w:eastAsia="zh-CN"/>
              </w:rPr>
              <w:t>给水</w:t>
            </w:r>
          </w:p>
          <w:p w14:paraId="5F515858">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本项目给水由市政供水管网供给，主要为生活用水。</w:t>
            </w:r>
          </w:p>
          <w:p w14:paraId="3631DA2D">
            <w:pPr>
              <w:numPr>
                <w:ilvl w:val="0"/>
                <w:numId w:val="0"/>
              </w:numPr>
              <w:adjustRightInd w:val="0"/>
              <w:snapToGrid w:val="0"/>
              <w:spacing w:line="360" w:lineRule="auto"/>
              <w:ind w:firstLine="480" w:firstLineChars="200"/>
              <w:jc w:val="both"/>
              <w:rPr>
                <w:rFonts w:hint="default" w:ascii="Times New Roman" w:hAnsi="Times New Roman" w:eastAsia="宋体" w:cs="Times New Roman"/>
                <w:color w:val="auto"/>
                <w:kern w:val="0"/>
                <w:sz w:val="24"/>
                <w:szCs w:val="22"/>
                <w:highlight w:val="none"/>
                <w:lang w:val="en-US" w:eastAsia="zh-CN"/>
              </w:rPr>
            </w:pPr>
            <w:r>
              <w:rPr>
                <w:rFonts w:hint="default" w:ascii="Times New Roman" w:hAnsi="Times New Roman" w:cs="Times New Roman"/>
                <w:b w:val="0"/>
                <w:bCs/>
                <w:color w:val="auto"/>
                <w:sz w:val="24"/>
                <w:szCs w:val="24"/>
                <w:highlight w:val="none"/>
                <w:lang w:val="en-US" w:eastAsia="zh-CN"/>
              </w:rPr>
              <w:t>项目劳动定员为</w:t>
            </w:r>
            <w:r>
              <w:rPr>
                <w:rFonts w:hint="eastAsia" w:ascii="Times New Roman" w:hAnsi="Times New Roman" w:cs="Times New Roman"/>
                <w:b w:val="0"/>
                <w:bCs/>
                <w:color w:val="auto"/>
                <w:sz w:val="24"/>
                <w:szCs w:val="24"/>
                <w:highlight w:val="none"/>
                <w:lang w:val="en-US" w:eastAsia="zh-CN"/>
              </w:rPr>
              <w:t>20</w:t>
            </w:r>
            <w:r>
              <w:rPr>
                <w:rFonts w:hint="default" w:ascii="Times New Roman" w:hAnsi="Times New Roman" w:cs="Times New Roman"/>
                <w:b w:val="0"/>
                <w:bCs/>
                <w:color w:val="auto"/>
                <w:sz w:val="24"/>
                <w:szCs w:val="24"/>
                <w:highlight w:val="none"/>
                <w:lang w:val="en-US" w:eastAsia="zh-CN"/>
              </w:rPr>
              <w:t>人，厂区内不提供食宿，年工作</w:t>
            </w:r>
            <w:r>
              <w:rPr>
                <w:rFonts w:hint="eastAsia" w:ascii="Times New Roman" w:hAnsi="Times New Roman" w:cs="Times New Roman"/>
                <w:b w:val="0"/>
                <w:bCs/>
                <w:color w:val="auto"/>
                <w:sz w:val="24"/>
                <w:szCs w:val="24"/>
                <w:highlight w:val="none"/>
                <w:lang w:val="en-US" w:eastAsia="zh-CN"/>
              </w:rPr>
              <w:t>330</w:t>
            </w:r>
            <w:r>
              <w:rPr>
                <w:rFonts w:hint="default" w:ascii="Times New Roman" w:hAnsi="Times New Roman" w:cs="Times New Roman"/>
                <w:b w:val="0"/>
                <w:bCs/>
                <w:color w:val="auto"/>
                <w:sz w:val="24"/>
                <w:szCs w:val="24"/>
                <w:highlight w:val="none"/>
                <w:lang w:val="en-US" w:eastAsia="zh-CN"/>
              </w:rPr>
              <w:t>天。</w:t>
            </w:r>
            <w:r>
              <w:rPr>
                <w:rFonts w:hint="default" w:ascii="Times New Roman" w:hAnsi="Times New Roman" w:cs="Times New Roman"/>
                <w:color w:val="auto"/>
                <w:kern w:val="0"/>
                <w:sz w:val="24"/>
                <w:szCs w:val="22"/>
                <w:highlight w:val="none"/>
              </w:rPr>
              <w:t>根据《行业用水定额》</w:t>
            </w:r>
            <w:r>
              <w:rPr>
                <w:rFonts w:hint="eastAsia" w:ascii="Times New Roman" w:hAnsi="Times New Roman" w:cs="Times New Roman"/>
                <w:color w:val="auto"/>
                <w:kern w:val="0"/>
                <w:sz w:val="24"/>
                <w:szCs w:val="22"/>
                <w:highlight w:val="none"/>
                <w:lang w:val="en-US" w:eastAsia="zh-CN"/>
              </w:rPr>
              <w:t xml:space="preserve"> </w:t>
            </w:r>
            <w:r>
              <w:rPr>
                <w:rFonts w:hint="default" w:ascii="Times New Roman" w:hAnsi="Times New Roman" w:cs="Times New Roman"/>
                <w:color w:val="auto"/>
                <w:kern w:val="0"/>
                <w:sz w:val="24"/>
                <w:szCs w:val="22"/>
                <w:highlight w:val="none"/>
              </w:rPr>
              <w:t>（DB61/T943-2020），生活用水量按行政办公</w:t>
            </w:r>
            <w:r>
              <w:rPr>
                <w:rFonts w:hint="eastAsia" w:ascii="Times New Roman" w:hAnsi="Times New Roman" w:cs="Times New Roman"/>
                <w:color w:val="auto"/>
                <w:kern w:val="0"/>
                <w:sz w:val="24"/>
                <w:szCs w:val="22"/>
                <w:highlight w:val="none"/>
                <w:lang w:val="en-US" w:eastAsia="zh-CN"/>
              </w:rPr>
              <w:t>通用</w:t>
            </w:r>
            <w:r>
              <w:rPr>
                <w:rFonts w:hint="default" w:ascii="Times New Roman" w:hAnsi="Times New Roman" w:cs="Times New Roman"/>
                <w:color w:val="auto"/>
                <w:kern w:val="0"/>
                <w:sz w:val="24"/>
                <w:szCs w:val="22"/>
                <w:highlight w:val="none"/>
              </w:rPr>
              <w:t>值计</w:t>
            </w:r>
            <w:r>
              <w:rPr>
                <w:rFonts w:hint="eastAsia" w:ascii="Times New Roman" w:hAnsi="Times New Roman" w:cs="Times New Roman"/>
                <w:color w:val="auto"/>
                <w:kern w:val="0"/>
                <w:sz w:val="24"/>
                <w:szCs w:val="22"/>
                <w:highlight w:val="none"/>
                <w:lang w:eastAsia="zh-CN"/>
              </w:rPr>
              <w:t>，</w:t>
            </w:r>
            <w:r>
              <w:rPr>
                <w:rFonts w:hint="default" w:ascii="Times New Roman" w:hAnsi="Times New Roman" w:cs="Times New Roman"/>
                <w:color w:val="auto"/>
                <w:kern w:val="0"/>
                <w:sz w:val="24"/>
                <w:szCs w:val="22"/>
                <w:highlight w:val="none"/>
              </w:rPr>
              <w:t>为</w:t>
            </w:r>
            <w:r>
              <w:rPr>
                <w:rFonts w:hint="eastAsia" w:ascii="Times New Roman" w:hAnsi="Times New Roman" w:cs="Times New Roman"/>
                <w:color w:val="auto"/>
                <w:kern w:val="0"/>
                <w:sz w:val="24"/>
                <w:szCs w:val="22"/>
                <w:highlight w:val="none"/>
                <w:lang w:val="en-US" w:eastAsia="zh-CN"/>
              </w:rPr>
              <w:t>25</w:t>
            </w:r>
            <w:r>
              <w:rPr>
                <w:rFonts w:hint="default" w:ascii="Times New Roman" w:hAnsi="Times New Roman" w:cs="Times New Roman"/>
                <w:color w:val="auto"/>
                <w:kern w:val="0"/>
                <w:sz w:val="24"/>
                <w:szCs w:val="22"/>
                <w:highlight w:val="none"/>
                <w:lang w:val="en-US" w:eastAsia="zh-CN"/>
              </w:rPr>
              <w:t>m</w:t>
            </w:r>
            <w:r>
              <w:rPr>
                <w:rFonts w:hint="default" w:ascii="Times New Roman" w:hAnsi="Times New Roman" w:cs="Times New Roman"/>
                <w:color w:val="auto"/>
                <w:kern w:val="0"/>
                <w:sz w:val="24"/>
                <w:szCs w:val="22"/>
                <w:highlight w:val="none"/>
                <w:vertAlign w:val="superscript"/>
                <w:lang w:val="en-US" w:eastAsia="zh-CN"/>
              </w:rPr>
              <w:t>3</w:t>
            </w:r>
            <w:r>
              <w:rPr>
                <w:rFonts w:hint="default" w:ascii="Times New Roman" w:hAnsi="Times New Roman" w:cs="Times New Roman"/>
                <w:color w:val="auto"/>
                <w:kern w:val="0"/>
                <w:sz w:val="24"/>
                <w:szCs w:val="22"/>
                <w:highlight w:val="none"/>
              </w:rPr>
              <w:t>/（人·</w:t>
            </w:r>
            <w:r>
              <w:rPr>
                <w:rFonts w:hint="default" w:ascii="Times New Roman" w:hAnsi="Times New Roman" w:cs="Times New Roman"/>
                <w:color w:val="auto"/>
                <w:kern w:val="0"/>
                <w:sz w:val="24"/>
                <w:szCs w:val="22"/>
                <w:highlight w:val="none"/>
                <w:lang w:val="en-US" w:eastAsia="zh-CN"/>
              </w:rPr>
              <w:t>a</w:t>
            </w:r>
            <w:r>
              <w:rPr>
                <w:rFonts w:hint="default" w:ascii="Times New Roman" w:hAnsi="Times New Roman" w:cs="Times New Roman"/>
                <w:color w:val="auto"/>
                <w:kern w:val="0"/>
                <w:sz w:val="24"/>
                <w:szCs w:val="22"/>
                <w:highlight w:val="none"/>
              </w:rPr>
              <w:t>）</w:t>
            </w:r>
            <w:r>
              <w:rPr>
                <w:rFonts w:hint="default" w:ascii="Times New Roman" w:hAnsi="Times New Roman" w:cs="Times New Roman"/>
                <w:color w:val="auto"/>
                <w:kern w:val="0"/>
                <w:sz w:val="24"/>
                <w:szCs w:val="22"/>
                <w:highlight w:val="none"/>
                <w:lang w:val="zh-TW"/>
              </w:rPr>
              <w:t>，</w:t>
            </w:r>
            <w:r>
              <w:rPr>
                <w:rFonts w:hint="default" w:ascii="Times New Roman" w:hAnsi="Times New Roman" w:cs="Times New Roman"/>
                <w:color w:val="auto"/>
                <w:kern w:val="0"/>
                <w:sz w:val="24"/>
                <w:szCs w:val="22"/>
                <w:highlight w:val="none"/>
                <w:lang w:val="en-US" w:eastAsia="zh-CN"/>
              </w:rPr>
              <w:t>则生活用水量为</w:t>
            </w:r>
            <w:r>
              <w:rPr>
                <w:rFonts w:hint="eastAsia" w:ascii="Times New Roman" w:hAnsi="Times New Roman" w:cs="Times New Roman"/>
                <w:color w:val="auto"/>
                <w:kern w:val="0"/>
                <w:sz w:val="24"/>
                <w:szCs w:val="22"/>
                <w:highlight w:val="none"/>
                <w:lang w:val="en-US" w:eastAsia="zh-CN"/>
              </w:rPr>
              <w:t>1.515</w:t>
            </w:r>
            <w:r>
              <w:rPr>
                <w:rFonts w:hint="default" w:ascii="Times New Roman" w:hAnsi="Times New Roman" w:cs="Times New Roman"/>
                <w:color w:val="auto"/>
                <w:kern w:val="0"/>
                <w:sz w:val="24"/>
                <w:szCs w:val="22"/>
                <w:highlight w:val="none"/>
              </w:rPr>
              <w:t>m</w:t>
            </w:r>
            <w:r>
              <w:rPr>
                <w:rFonts w:hint="default" w:ascii="Times New Roman" w:hAnsi="Times New Roman" w:cs="Times New Roman"/>
                <w:color w:val="auto"/>
                <w:kern w:val="0"/>
                <w:sz w:val="24"/>
                <w:szCs w:val="22"/>
                <w:highlight w:val="none"/>
                <w:vertAlign w:val="superscript"/>
              </w:rPr>
              <w:t>3</w:t>
            </w:r>
            <w:r>
              <w:rPr>
                <w:rFonts w:hint="default" w:ascii="Times New Roman" w:hAnsi="Times New Roman" w:cs="Times New Roman"/>
                <w:color w:val="auto"/>
                <w:kern w:val="0"/>
                <w:sz w:val="24"/>
                <w:szCs w:val="22"/>
                <w:highlight w:val="none"/>
              </w:rPr>
              <w:t>/d</w:t>
            </w:r>
            <w:r>
              <w:rPr>
                <w:rFonts w:hint="default" w:ascii="Times New Roman" w:hAnsi="Times New Roman" w:cs="Times New Roman"/>
                <w:color w:val="auto"/>
                <w:kern w:val="0"/>
                <w:sz w:val="24"/>
                <w:szCs w:val="22"/>
                <w:highlight w:val="none"/>
                <w:lang w:eastAsia="zh-CN"/>
              </w:rPr>
              <w:t>，</w:t>
            </w:r>
            <w:r>
              <w:rPr>
                <w:rFonts w:hint="eastAsia" w:ascii="Times New Roman" w:hAnsi="Times New Roman" w:cs="Times New Roman"/>
                <w:color w:val="auto"/>
                <w:kern w:val="0"/>
                <w:sz w:val="24"/>
                <w:szCs w:val="22"/>
                <w:highlight w:val="none"/>
                <w:lang w:val="en-US" w:eastAsia="zh-CN"/>
              </w:rPr>
              <w:t>500</w:t>
            </w:r>
            <w:r>
              <w:rPr>
                <w:rFonts w:hint="default" w:ascii="Times New Roman" w:hAnsi="Times New Roman" w:cs="Times New Roman"/>
                <w:color w:val="auto"/>
                <w:kern w:val="0"/>
                <w:sz w:val="24"/>
                <w:szCs w:val="22"/>
                <w:highlight w:val="none"/>
              </w:rPr>
              <w:t>m</w:t>
            </w:r>
            <w:r>
              <w:rPr>
                <w:rFonts w:hint="default" w:ascii="Times New Roman" w:hAnsi="Times New Roman" w:cs="Times New Roman"/>
                <w:color w:val="auto"/>
                <w:kern w:val="0"/>
                <w:sz w:val="24"/>
                <w:szCs w:val="22"/>
                <w:highlight w:val="none"/>
                <w:vertAlign w:val="superscript"/>
              </w:rPr>
              <w:t>3</w:t>
            </w:r>
            <w:r>
              <w:rPr>
                <w:rFonts w:hint="default" w:ascii="Times New Roman" w:hAnsi="Times New Roman" w:cs="Times New Roman"/>
                <w:color w:val="auto"/>
                <w:kern w:val="0"/>
                <w:sz w:val="24"/>
                <w:szCs w:val="22"/>
                <w:highlight w:val="none"/>
              </w:rPr>
              <w:t>/</w:t>
            </w:r>
            <w:r>
              <w:rPr>
                <w:rFonts w:hint="default" w:ascii="Times New Roman" w:hAnsi="Times New Roman" w:eastAsia="宋体" w:cs="Times New Roman"/>
                <w:color w:val="auto"/>
                <w:kern w:val="0"/>
                <w:sz w:val="24"/>
                <w:szCs w:val="22"/>
                <w:highlight w:val="none"/>
                <w:lang w:val="en-US" w:eastAsia="zh-CN"/>
              </w:rPr>
              <w:t>a。</w:t>
            </w:r>
          </w:p>
          <w:p w14:paraId="47EC4018">
            <w:pPr>
              <w:numPr>
                <w:ilvl w:val="0"/>
                <w:numId w:val="0"/>
              </w:numPr>
              <w:adjustRightInd w:val="0"/>
              <w:snapToGrid w:val="0"/>
              <w:spacing w:line="360" w:lineRule="auto"/>
              <w:jc w:val="both"/>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val="0"/>
                <w:color w:val="auto"/>
                <w:kern w:val="2"/>
                <w:sz w:val="24"/>
                <w:szCs w:val="24"/>
                <w:highlight w:val="none"/>
                <w:lang w:val="en-US" w:eastAsia="zh-CN" w:bidi="ar-SA"/>
              </w:rPr>
              <w:t>（2）</w:t>
            </w:r>
            <w:r>
              <w:rPr>
                <w:rFonts w:hint="default" w:ascii="Times New Roman" w:hAnsi="Times New Roman" w:cs="Times New Roman"/>
                <w:b/>
                <w:bCs w:val="0"/>
                <w:color w:val="auto"/>
                <w:sz w:val="24"/>
                <w:szCs w:val="24"/>
                <w:highlight w:val="none"/>
                <w:lang w:val="en-US" w:eastAsia="zh-CN"/>
              </w:rPr>
              <w:t>排水</w:t>
            </w:r>
          </w:p>
          <w:p w14:paraId="54061ABA">
            <w:pPr>
              <w:numPr>
                <w:ilvl w:val="0"/>
                <w:numId w:val="0"/>
              </w:numPr>
              <w:adjustRightInd w:val="0"/>
              <w:snapToGrid w:val="0"/>
              <w:spacing w:line="360" w:lineRule="auto"/>
              <w:ind w:firstLine="480" w:firstLineChars="200"/>
              <w:jc w:val="both"/>
              <w:rPr>
                <w:rFonts w:hint="default" w:ascii="Times New Roman" w:hAnsi="Times New Roman" w:eastAsia="宋体" w:cs="Times New Roman"/>
                <w:color w:val="auto"/>
                <w:kern w:val="0"/>
                <w:sz w:val="24"/>
                <w:szCs w:val="22"/>
                <w:highlight w:val="none"/>
                <w:lang w:val="en-US" w:eastAsia="zh-CN"/>
              </w:rPr>
            </w:pPr>
            <w:r>
              <w:rPr>
                <w:rFonts w:hint="default" w:ascii="Times New Roman" w:hAnsi="Times New Roman" w:eastAsia="宋体" w:cs="Times New Roman"/>
                <w:color w:val="auto"/>
                <w:kern w:val="0"/>
                <w:sz w:val="24"/>
                <w:szCs w:val="22"/>
                <w:highlight w:val="none"/>
                <w:lang w:val="en-US" w:eastAsia="zh-CN"/>
              </w:rPr>
              <w:t>排水系统采用雨污分流。</w:t>
            </w:r>
          </w:p>
          <w:p w14:paraId="406A136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本项目生活污水产生量以生活用水量的80%计，则生活污水产生量为</w:t>
            </w:r>
            <w:r>
              <w:rPr>
                <w:rFonts w:hint="eastAsia" w:ascii="Times New Roman" w:hAnsi="Times New Roman" w:cs="Times New Roman"/>
                <w:color w:val="auto"/>
                <w:sz w:val="24"/>
                <w:highlight w:val="none"/>
                <w:lang w:val="en-US" w:eastAsia="zh-CN"/>
              </w:rPr>
              <w:t>1.212</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hint="default" w:ascii="Times New Roman" w:hAnsi="Times New Roman" w:cs="Times New Roman"/>
                <w:color w:val="auto"/>
                <w:sz w:val="24"/>
                <w:highlight w:val="none"/>
                <w:lang w:eastAsia="zh-CN"/>
              </w:rPr>
              <w:t>，</w:t>
            </w:r>
            <w:r>
              <w:rPr>
                <w:rFonts w:hint="eastAsia" w:cs="Times New Roman"/>
                <w:color w:val="auto"/>
                <w:sz w:val="24"/>
                <w:highlight w:val="none"/>
                <w:lang w:val="en-US" w:eastAsia="zh-CN"/>
              </w:rPr>
              <w:t>400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生活污水依托</w:t>
            </w:r>
            <w:r>
              <w:rPr>
                <w:rFonts w:hint="eastAsia" w:ascii="Times New Roman" w:hAnsi="Times New Roman" w:cs="Times New Roman"/>
                <w:color w:val="auto"/>
                <w:sz w:val="24"/>
                <w:highlight w:val="none"/>
                <w:lang w:val="en-US" w:eastAsia="zh-CN"/>
              </w:rPr>
              <w:t>陕西国坤时代科技有限公司化粪池</w:t>
            </w:r>
            <w:r>
              <w:rPr>
                <w:rFonts w:hint="default" w:ascii="Times New Roman" w:hAnsi="Times New Roman" w:cs="Times New Roman"/>
                <w:color w:val="auto"/>
                <w:sz w:val="24"/>
                <w:highlight w:val="none"/>
                <w:lang w:val="en-US" w:eastAsia="zh-CN"/>
              </w:rPr>
              <w:t>处理后经市政污水管网，最终排入泾河新城第二污水处理厂进行</w:t>
            </w:r>
            <w:r>
              <w:rPr>
                <w:rFonts w:hint="eastAsia" w:ascii="Times New Roman" w:hAnsi="Times New Roman" w:cs="Times New Roman"/>
                <w:color w:val="auto"/>
                <w:sz w:val="24"/>
                <w:highlight w:val="none"/>
                <w:lang w:val="en-US" w:eastAsia="zh-CN"/>
              </w:rPr>
              <w:t>进一步</w:t>
            </w:r>
            <w:r>
              <w:rPr>
                <w:rFonts w:hint="default" w:ascii="Times New Roman" w:hAnsi="Times New Roman" w:cs="Times New Roman"/>
                <w:color w:val="auto"/>
                <w:sz w:val="24"/>
                <w:highlight w:val="none"/>
                <w:lang w:val="en-US" w:eastAsia="zh-CN"/>
              </w:rPr>
              <w:t>处理。</w:t>
            </w:r>
          </w:p>
          <w:p w14:paraId="014DF5D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项目用水、排水情况见表</w:t>
            </w:r>
            <w:r>
              <w:rPr>
                <w:rFonts w:hint="eastAsia" w:ascii="Times New Roman" w:hAnsi="Times New Roman" w:eastAsia="宋体" w:cs="Times New Roman"/>
                <w:b w:val="0"/>
                <w:bCs/>
                <w:color w:val="auto"/>
                <w:kern w:val="2"/>
                <w:sz w:val="24"/>
                <w:szCs w:val="24"/>
                <w:highlight w:val="none"/>
                <w:lang w:val="en-US" w:eastAsia="zh-CN" w:bidi="ar-SA"/>
              </w:rPr>
              <w:t>2-6，</w:t>
            </w:r>
            <w:r>
              <w:rPr>
                <w:rFonts w:hint="default" w:ascii="Times New Roman" w:hAnsi="Times New Roman" w:eastAsia="宋体" w:cs="Times New Roman"/>
                <w:b w:val="0"/>
                <w:bCs/>
                <w:color w:val="auto"/>
                <w:kern w:val="2"/>
                <w:sz w:val="24"/>
                <w:szCs w:val="24"/>
                <w:highlight w:val="none"/>
                <w:lang w:val="en-US" w:eastAsia="zh-CN" w:bidi="ar-SA"/>
              </w:rPr>
              <w:t>项目水平衡图见图 2-1。</w:t>
            </w:r>
          </w:p>
          <w:p w14:paraId="118361FC">
            <w:pPr>
              <w:numPr>
                <w:ilvl w:val="0"/>
                <w:numId w:val="0"/>
              </w:numPr>
              <w:adjustRightInd w:val="0"/>
              <w:snapToGrid w:val="0"/>
              <w:spacing w:line="240" w:lineRule="auto"/>
              <w:jc w:val="center"/>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b/>
                <w:bCs w:val="0"/>
                <w:color w:val="auto"/>
                <w:sz w:val="21"/>
                <w:szCs w:val="21"/>
                <w:highlight w:val="none"/>
                <w:lang w:val="en-US" w:eastAsia="zh-CN"/>
              </w:rPr>
              <w:t>表2-</w:t>
            </w:r>
            <w:r>
              <w:rPr>
                <w:rFonts w:hint="eastAsia" w:ascii="Times New Roman" w:hAnsi="Times New Roman" w:cs="Times New Roman"/>
                <w:b/>
                <w:bCs w:val="0"/>
                <w:color w:val="auto"/>
                <w:sz w:val="21"/>
                <w:szCs w:val="21"/>
                <w:highlight w:val="none"/>
                <w:lang w:val="en-US" w:eastAsia="zh-CN"/>
              </w:rPr>
              <w:t>6</w:t>
            </w:r>
            <w:r>
              <w:rPr>
                <w:rFonts w:hint="default" w:ascii="Times New Roman" w:hAnsi="Times New Roman" w:cs="Times New Roman"/>
                <w:b/>
                <w:bCs w:val="0"/>
                <w:color w:val="auto"/>
                <w:sz w:val="21"/>
                <w:szCs w:val="21"/>
                <w:highlight w:val="none"/>
                <w:lang w:val="en-US" w:eastAsia="zh-CN"/>
              </w:rPr>
              <w:t xml:space="preserve"> 项目给排水量一览表</w:t>
            </w:r>
          </w:p>
          <w:tbl>
            <w:tblPr>
              <w:tblStyle w:val="25"/>
              <w:tblW w:w="50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70"/>
              <w:gridCol w:w="1547"/>
              <w:gridCol w:w="1333"/>
              <w:gridCol w:w="1514"/>
              <w:gridCol w:w="2125"/>
            </w:tblGrid>
            <w:tr w14:paraId="3C7F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29C413FE">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序号</w:t>
                  </w:r>
                </w:p>
              </w:tc>
              <w:tc>
                <w:tcPr>
                  <w:tcW w:w="697" w:type="pct"/>
                  <w:tcBorders>
                    <w:tl2br w:val="nil"/>
                    <w:tr2bl w:val="nil"/>
                  </w:tcBorders>
                  <w:noWrap w:val="0"/>
                  <w:vAlign w:val="center"/>
                </w:tcPr>
                <w:p w14:paraId="6081851B">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类别</w:t>
                  </w:r>
                </w:p>
              </w:tc>
              <w:tc>
                <w:tcPr>
                  <w:tcW w:w="922" w:type="pct"/>
                  <w:tcBorders>
                    <w:tl2br w:val="nil"/>
                    <w:tr2bl w:val="nil"/>
                  </w:tcBorders>
                  <w:noWrap w:val="0"/>
                  <w:vAlign w:val="center"/>
                </w:tcPr>
                <w:p w14:paraId="0FB60F8B">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用水量m</w:t>
                  </w:r>
                  <w:r>
                    <w:rPr>
                      <w:rFonts w:hint="default" w:ascii="Times New Roman" w:hAnsi="Times New Roman" w:cs="Times New Roman"/>
                      <w:b/>
                      <w:bCs w:val="0"/>
                      <w:color w:val="auto"/>
                      <w:sz w:val="21"/>
                      <w:szCs w:val="21"/>
                      <w:highlight w:val="none"/>
                      <w:vertAlign w:val="superscript"/>
                    </w:rPr>
                    <w:t>3</w:t>
                  </w:r>
                  <w:r>
                    <w:rPr>
                      <w:rFonts w:hint="default" w:ascii="Times New Roman" w:hAnsi="Times New Roman" w:cs="Times New Roman"/>
                      <w:b/>
                      <w:bCs w:val="0"/>
                      <w:color w:val="auto"/>
                      <w:sz w:val="21"/>
                      <w:szCs w:val="21"/>
                      <w:highlight w:val="none"/>
                    </w:rPr>
                    <w:t>/d</w:t>
                  </w:r>
                </w:p>
              </w:tc>
              <w:tc>
                <w:tcPr>
                  <w:tcW w:w="794" w:type="pct"/>
                  <w:tcBorders>
                    <w:tl2br w:val="nil"/>
                    <w:tr2bl w:val="nil"/>
                  </w:tcBorders>
                  <w:noWrap w:val="0"/>
                  <w:vAlign w:val="center"/>
                </w:tcPr>
                <w:p w14:paraId="0B9D4D3A">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损耗量m</w:t>
                  </w:r>
                  <w:r>
                    <w:rPr>
                      <w:rFonts w:hint="default" w:ascii="Times New Roman" w:hAnsi="Times New Roman" w:cs="Times New Roman"/>
                      <w:b/>
                      <w:bCs w:val="0"/>
                      <w:color w:val="auto"/>
                      <w:sz w:val="21"/>
                      <w:szCs w:val="21"/>
                      <w:highlight w:val="none"/>
                      <w:vertAlign w:val="superscript"/>
                    </w:rPr>
                    <w:t>3</w:t>
                  </w:r>
                  <w:r>
                    <w:rPr>
                      <w:rFonts w:hint="default" w:ascii="Times New Roman" w:hAnsi="Times New Roman" w:cs="Times New Roman"/>
                      <w:b/>
                      <w:bCs w:val="0"/>
                      <w:color w:val="auto"/>
                      <w:sz w:val="21"/>
                      <w:szCs w:val="21"/>
                      <w:highlight w:val="none"/>
                    </w:rPr>
                    <w:t>/d</w:t>
                  </w:r>
                </w:p>
              </w:tc>
              <w:tc>
                <w:tcPr>
                  <w:tcW w:w="902" w:type="pct"/>
                  <w:tcBorders>
                    <w:tl2br w:val="nil"/>
                    <w:tr2bl w:val="nil"/>
                  </w:tcBorders>
                  <w:noWrap w:val="0"/>
                  <w:vAlign w:val="center"/>
                </w:tcPr>
                <w:p w14:paraId="0B044A30">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bCs w:val="0"/>
                      <w:color w:val="auto"/>
                      <w:sz w:val="21"/>
                      <w:szCs w:val="21"/>
                      <w:highlight w:val="none"/>
                      <w:lang w:eastAsia="zh-CN"/>
                    </w:rPr>
                  </w:pPr>
                  <w:r>
                    <w:rPr>
                      <w:rFonts w:hint="default" w:ascii="Times New Roman" w:hAnsi="Times New Roman" w:cs="Times New Roman"/>
                      <w:b/>
                      <w:bCs w:val="0"/>
                      <w:color w:val="auto"/>
                      <w:sz w:val="21"/>
                      <w:szCs w:val="21"/>
                      <w:highlight w:val="none"/>
                    </w:rPr>
                    <w:t>排水量m</w:t>
                  </w:r>
                  <w:r>
                    <w:rPr>
                      <w:rFonts w:hint="default" w:ascii="Times New Roman" w:hAnsi="Times New Roman" w:cs="Times New Roman"/>
                      <w:b/>
                      <w:bCs w:val="0"/>
                      <w:color w:val="auto"/>
                      <w:sz w:val="21"/>
                      <w:szCs w:val="21"/>
                      <w:highlight w:val="none"/>
                      <w:vertAlign w:val="superscript"/>
                    </w:rPr>
                    <w:t>3</w:t>
                  </w:r>
                  <w:r>
                    <w:rPr>
                      <w:rFonts w:hint="default" w:ascii="Times New Roman" w:hAnsi="Times New Roman" w:cs="Times New Roman"/>
                      <w:b/>
                      <w:bCs w:val="0"/>
                      <w:color w:val="auto"/>
                      <w:sz w:val="21"/>
                      <w:szCs w:val="21"/>
                      <w:highlight w:val="none"/>
                    </w:rPr>
                    <w:t>/d</w:t>
                  </w:r>
                </w:p>
              </w:tc>
              <w:tc>
                <w:tcPr>
                  <w:tcW w:w="1266" w:type="pct"/>
                  <w:tcBorders>
                    <w:tl2br w:val="nil"/>
                    <w:tr2bl w:val="nil"/>
                  </w:tcBorders>
                  <w:noWrap w:val="0"/>
                  <w:vAlign w:val="center"/>
                </w:tcPr>
                <w:p w14:paraId="55857B49">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备注</w:t>
                  </w:r>
                </w:p>
              </w:tc>
            </w:tr>
            <w:tr w14:paraId="666FC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3C658AA2">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1</w:t>
                  </w:r>
                </w:p>
              </w:tc>
              <w:tc>
                <w:tcPr>
                  <w:tcW w:w="697" w:type="pct"/>
                  <w:tcBorders>
                    <w:tl2br w:val="nil"/>
                    <w:tr2bl w:val="nil"/>
                  </w:tcBorders>
                  <w:noWrap w:val="0"/>
                  <w:vAlign w:val="center"/>
                </w:tcPr>
                <w:p w14:paraId="251AC55F">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生活用水</w:t>
                  </w:r>
                </w:p>
              </w:tc>
              <w:tc>
                <w:tcPr>
                  <w:tcW w:w="922" w:type="pct"/>
                  <w:tcBorders>
                    <w:tl2br w:val="nil"/>
                    <w:tr2bl w:val="nil"/>
                  </w:tcBorders>
                  <w:noWrap w:val="0"/>
                  <w:vAlign w:val="center"/>
                </w:tcPr>
                <w:p w14:paraId="018CB47C">
                  <w:pPr>
                    <w:keepNext w:val="0"/>
                    <w:keepLines w:val="0"/>
                    <w:widowControl/>
                    <w:suppressLineNumbers w:val="0"/>
                    <w:jc w:val="center"/>
                    <w:textAlignment w:val="bottom"/>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等线" w:cs="Times New Roman"/>
                      <w:i w:val="0"/>
                      <w:iCs w:val="0"/>
                      <w:color w:val="auto"/>
                      <w:kern w:val="0"/>
                      <w:sz w:val="21"/>
                      <w:szCs w:val="21"/>
                      <w:highlight w:val="none"/>
                      <w:u w:val="none"/>
                      <w:lang w:val="en-US" w:eastAsia="zh-CN" w:bidi="ar"/>
                    </w:rPr>
                    <w:t>1.515</w:t>
                  </w:r>
                </w:p>
              </w:tc>
              <w:tc>
                <w:tcPr>
                  <w:tcW w:w="794" w:type="pct"/>
                  <w:tcBorders>
                    <w:tl2br w:val="nil"/>
                    <w:tr2bl w:val="nil"/>
                  </w:tcBorders>
                  <w:noWrap w:val="0"/>
                  <w:vAlign w:val="center"/>
                </w:tcPr>
                <w:p w14:paraId="54E73D84">
                  <w:pPr>
                    <w:keepNext w:val="0"/>
                    <w:keepLines w:val="0"/>
                    <w:widowControl/>
                    <w:suppressLineNumbers w:val="0"/>
                    <w:jc w:val="center"/>
                    <w:textAlignment w:val="bottom"/>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等线" w:cs="Times New Roman"/>
                      <w:i w:val="0"/>
                      <w:iCs w:val="0"/>
                      <w:color w:val="auto"/>
                      <w:kern w:val="0"/>
                      <w:sz w:val="21"/>
                      <w:szCs w:val="21"/>
                      <w:highlight w:val="none"/>
                      <w:u w:val="none"/>
                      <w:lang w:val="en-US" w:eastAsia="zh-CN" w:bidi="ar"/>
                    </w:rPr>
                    <w:t>0.303</w:t>
                  </w:r>
                </w:p>
              </w:tc>
              <w:tc>
                <w:tcPr>
                  <w:tcW w:w="902" w:type="pct"/>
                  <w:tcBorders>
                    <w:tl2br w:val="nil"/>
                    <w:tr2bl w:val="nil"/>
                  </w:tcBorders>
                  <w:noWrap w:val="0"/>
                  <w:vAlign w:val="center"/>
                </w:tcPr>
                <w:p w14:paraId="3B826037">
                  <w:pPr>
                    <w:keepNext w:val="0"/>
                    <w:keepLines w:val="0"/>
                    <w:widowControl/>
                    <w:suppressLineNumbers w:val="0"/>
                    <w:jc w:val="center"/>
                    <w:textAlignment w:val="bottom"/>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等线" w:cs="Times New Roman"/>
                      <w:i w:val="0"/>
                      <w:iCs w:val="0"/>
                      <w:color w:val="auto"/>
                      <w:kern w:val="0"/>
                      <w:sz w:val="21"/>
                      <w:szCs w:val="21"/>
                      <w:highlight w:val="none"/>
                      <w:u w:val="none"/>
                      <w:lang w:val="en-US" w:eastAsia="zh-CN" w:bidi="ar"/>
                    </w:rPr>
                    <w:t>1.212</w:t>
                  </w:r>
                </w:p>
              </w:tc>
              <w:tc>
                <w:tcPr>
                  <w:tcW w:w="1266" w:type="pct"/>
                  <w:tcBorders>
                    <w:tl2br w:val="nil"/>
                    <w:tr2bl w:val="nil"/>
                  </w:tcBorders>
                  <w:noWrap w:val="0"/>
                  <w:vAlign w:val="center"/>
                </w:tcPr>
                <w:p w14:paraId="610B7B93">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排放系数按0.8计</w:t>
                  </w:r>
                </w:p>
              </w:tc>
            </w:tr>
            <w:tr w14:paraId="5ECC3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4" w:type="pct"/>
                  <w:gridSpan w:val="2"/>
                  <w:tcBorders>
                    <w:tl2br w:val="nil"/>
                    <w:tr2bl w:val="nil"/>
                  </w:tcBorders>
                  <w:noWrap w:val="0"/>
                  <w:vAlign w:val="center"/>
                </w:tcPr>
                <w:p w14:paraId="607E00C8">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合计</w:t>
                  </w:r>
                </w:p>
              </w:tc>
              <w:tc>
                <w:tcPr>
                  <w:tcW w:w="1547" w:type="dxa"/>
                  <w:tcBorders>
                    <w:tl2br w:val="nil"/>
                    <w:tr2bl w:val="nil"/>
                  </w:tcBorders>
                  <w:noWrap w:val="0"/>
                  <w:vAlign w:val="center"/>
                </w:tcPr>
                <w:p w14:paraId="55D5F8B6">
                  <w:pPr>
                    <w:keepNext w:val="0"/>
                    <w:keepLines w:val="0"/>
                    <w:widowControl/>
                    <w:suppressLineNumbers w:val="0"/>
                    <w:jc w:val="center"/>
                    <w:textAlignment w:val="bottom"/>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等线" w:cs="Times New Roman"/>
                      <w:i w:val="0"/>
                      <w:iCs w:val="0"/>
                      <w:color w:val="auto"/>
                      <w:kern w:val="0"/>
                      <w:sz w:val="21"/>
                      <w:szCs w:val="21"/>
                      <w:highlight w:val="none"/>
                      <w:u w:val="none"/>
                      <w:lang w:val="en-US" w:eastAsia="zh-CN" w:bidi="ar"/>
                    </w:rPr>
                    <w:t>1.515</w:t>
                  </w:r>
                </w:p>
              </w:tc>
              <w:tc>
                <w:tcPr>
                  <w:tcW w:w="1333" w:type="dxa"/>
                  <w:tcBorders>
                    <w:tl2br w:val="nil"/>
                    <w:tr2bl w:val="nil"/>
                  </w:tcBorders>
                  <w:noWrap w:val="0"/>
                  <w:vAlign w:val="center"/>
                </w:tcPr>
                <w:p w14:paraId="3517E685">
                  <w:pPr>
                    <w:keepNext w:val="0"/>
                    <w:keepLines w:val="0"/>
                    <w:widowControl/>
                    <w:suppressLineNumbers w:val="0"/>
                    <w:jc w:val="center"/>
                    <w:textAlignment w:val="bottom"/>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等线" w:cs="Times New Roman"/>
                      <w:i w:val="0"/>
                      <w:iCs w:val="0"/>
                      <w:color w:val="auto"/>
                      <w:kern w:val="0"/>
                      <w:sz w:val="21"/>
                      <w:szCs w:val="21"/>
                      <w:highlight w:val="none"/>
                      <w:u w:val="none"/>
                      <w:lang w:val="en-US" w:eastAsia="zh-CN" w:bidi="ar"/>
                    </w:rPr>
                    <w:t>0.303</w:t>
                  </w:r>
                </w:p>
              </w:tc>
              <w:tc>
                <w:tcPr>
                  <w:tcW w:w="1514" w:type="dxa"/>
                  <w:tcBorders>
                    <w:tl2br w:val="nil"/>
                    <w:tr2bl w:val="nil"/>
                  </w:tcBorders>
                  <w:noWrap w:val="0"/>
                  <w:vAlign w:val="center"/>
                </w:tcPr>
                <w:p w14:paraId="3CD094A2">
                  <w:pPr>
                    <w:keepNext w:val="0"/>
                    <w:keepLines w:val="0"/>
                    <w:widowControl/>
                    <w:suppressLineNumbers w:val="0"/>
                    <w:jc w:val="center"/>
                    <w:textAlignment w:val="bottom"/>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等线" w:cs="Times New Roman"/>
                      <w:i w:val="0"/>
                      <w:iCs w:val="0"/>
                      <w:color w:val="auto"/>
                      <w:kern w:val="0"/>
                      <w:sz w:val="21"/>
                      <w:szCs w:val="21"/>
                      <w:highlight w:val="none"/>
                      <w:u w:val="none"/>
                      <w:lang w:val="en-US" w:eastAsia="zh-CN" w:bidi="ar"/>
                    </w:rPr>
                    <w:t>1.212</w:t>
                  </w:r>
                </w:p>
              </w:tc>
              <w:tc>
                <w:tcPr>
                  <w:tcW w:w="1266" w:type="pct"/>
                  <w:tcBorders>
                    <w:tl2br w:val="nil"/>
                    <w:tr2bl w:val="nil"/>
                  </w:tcBorders>
                  <w:noWrap w:val="0"/>
                  <w:vAlign w:val="center"/>
                </w:tcPr>
                <w:p w14:paraId="25777240">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w:t>
                  </w:r>
                </w:p>
              </w:tc>
            </w:tr>
          </w:tbl>
          <w:p w14:paraId="139C621B">
            <w:pPr>
              <w:numPr>
                <w:ilvl w:val="0"/>
                <w:numId w:val="0"/>
              </w:numPr>
              <w:adjustRightInd w:val="0"/>
              <w:snapToGrid w:val="0"/>
              <w:spacing w:line="360" w:lineRule="auto"/>
              <w:jc w:val="center"/>
              <w:rPr>
                <w:rFonts w:hint="default" w:ascii="Times New Roman" w:hAnsi="Times New Roman" w:cs="Times New Roman"/>
                <w:b/>
                <w:bCs w:val="0"/>
                <w:color w:val="auto"/>
                <w:sz w:val="24"/>
                <w:szCs w:val="24"/>
                <w:highlight w:val="none"/>
                <w:lang w:val="en-US" w:eastAsia="zh-CN"/>
              </w:rPr>
            </w:pPr>
            <w:r>
              <w:rPr>
                <w:rFonts w:hint="default" w:ascii="Times New Roman" w:hAnsi="Times New Roman" w:cs="Times New Roman"/>
                <w:color w:val="auto"/>
                <w:sz w:val="21"/>
                <w:highlight w:val="none"/>
              </w:rPr>
              <mc:AlternateContent>
                <mc:Choice Requires="wpc">
                  <w:drawing>
                    <wp:inline distT="0" distB="0" distL="114300" distR="114300">
                      <wp:extent cx="5267325" cy="755015"/>
                      <wp:effectExtent l="0" t="0" r="0" b="0"/>
                      <wp:docPr id="79" name="画布 79"/>
                      <wp:cNvGraphicFramePr/>
                      <a:graphic xmlns:a="http://schemas.openxmlformats.org/drawingml/2006/main">
                        <a:graphicData uri="http://schemas.microsoft.com/office/word/2010/wordprocessingCanvas">
                          <wpc:wpc>
                            <wpc:bg>
                              <a:noFill/>
                            </wpc:bg>
                            <wpc:whole>
                              <a:ln>
                                <a:noFill/>
                              </a:ln>
                            </wpc:whole>
                            <wps:wsp>
                              <wps:cNvPr id="2" name="矩形 68"/>
                              <wps:cNvSpPr/>
                              <wps:spPr>
                                <a:xfrm>
                                  <a:off x="37465" y="337820"/>
                                  <a:ext cx="593725"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46C8782">
                                    <w:pPr>
                                      <w:adjustRightInd w:val="0"/>
                                      <w:snapToGrid w:val="0"/>
                                      <w:jc w:val="center"/>
                                      <w:rPr>
                                        <w:rFonts w:hint="default"/>
                                        <w:lang w:val="en-US"/>
                                      </w:rPr>
                                    </w:pPr>
                                    <w:r>
                                      <w:rPr>
                                        <w:rFonts w:hint="eastAsia"/>
                                        <w:lang w:val="en-US" w:eastAsia="zh-CN"/>
                                      </w:rPr>
                                      <w:t>新鲜水</w:t>
                                    </w:r>
                                  </w:p>
                                </w:txbxContent>
                              </wps:txbx>
                              <wps:bodyPr upright="1"/>
                            </wps:wsp>
                            <wps:wsp>
                              <wps:cNvPr id="3" name="直接连接符 69"/>
                              <wps:cNvCnPr/>
                              <wps:spPr>
                                <a:xfrm>
                                  <a:off x="634365" y="474980"/>
                                  <a:ext cx="410210" cy="0"/>
                                </a:xfrm>
                                <a:prstGeom prst="line">
                                  <a:avLst/>
                                </a:prstGeom>
                                <a:ln w="9525" cap="flat" cmpd="sng">
                                  <a:solidFill>
                                    <a:srgbClr val="000000"/>
                                  </a:solidFill>
                                  <a:prstDash val="solid"/>
                                  <a:headEnd type="none" w="med" len="med"/>
                                  <a:tailEnd type="triangle" w="med" len="med"/>
                                </a:ln>
                                <a:effectLst/>
                              </wps:spPr>
                              <wps:bodyPr upright="1"/>
                            </wps:wsp>
                            <wps:wsp>
                              <wps:cNvPr id="4" name="矩形 70"/>
                              <wps:cNvSpPr/>
                              <wps:spPr>
                                <a:xfrm>
                                  <a:off x="577850" y="276225"/>
                                  <a:ext cx="509905" cy="265430"/>
                                </a:xfrm>
                                <a:prstGeom prst="rect">
                                  <a:avLst/>
                                </a:prstGeom>
                                <a:noFill/>
                                <a:ln>
                                  <a:noFill/>
                                </a:ln>
                                <a:effectLst/>
                              </wps:spPr>
                              <wps:txbx>
                                <w:txbxContent>
                                  <w:p w14:paraId="76541D4C">
                                    <w:pPr>
                                      <w:adjustRightInd w:val="0"/>
                                      <w:snapToGrid w:val="0"/>
                                      <w:rPr>
                                        <w:rFonts w:hint="default" w:eastAsia="宋体"/>
                                        <w:lang w:val="en-US" w:eastAsia="zh-CN"/>
                                      </w:rPr>
                                    </w:pPr>
                                    <w:r>
                                      <w:rPr>
                                        <w:rFonts w:hint="eastAsia"/>
                                        <w:lang w:val="en-US" w:eastAsia="zh-CN"/>
                                      </w:rPr>
                                      <w:t>1.5155</w:t>
                                    </w:r>
                                  </w:p>
                                </w:txbxContent>
                              </wps:txbx>
                              <wps:bodyPr upright="1"/>
                            </wps:wsp>
                            <wps:wsp>
                              <wps:cNvPr id="5" name="矩形 71"/>
                              <wps:cNvSpPr/>
                              <wps:spPr>
                                <a:xfrm>
                                  <a:off x="1047750" y="318135"/>
                                  <a:ext cx="1029335" cy="2851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1F88784">
                                    <w:pPr>
                                      <w:jc w:val="center"/>
                                      <w:rPr>
                                        <w:rFonts w:hint="eastAsia"/>
                                      </w:rPr>
                                    </w:pPr>
                                    <w:r>
                                      <w:rPr>
                                        <w:rFonts w:hint="eastAsia"/>
                                        <w:b w:val="0"/>
                                        <w:bCs/>
                                        <w:color w:val="000000"/>
                                        <w:sz w:val="21"/>
                                        <w:szCs w:val="21"/>
                                        <w:lang w:eastAsia="zh-CN"/>
                                      </w:rPr>
                                      <w:t>办公</w:t>
                                    </w:r>
                                    <w:r>
                                      <w:rPr>
                                        <w:rFonts w:ascii="Times New Roman" w:hAnsi="Times New Roman"/>
                                        <w:b w:val="0"/>
                                        <w:bCs/>
                                        <w:color w:val="000000"/>
                                        <w:sz w:val="21"/>
                                        <w:szCs w:val="21"/>
                                      </w:rPr>
                                      <w:t>生活用水</w:t>
                                    </w:r>
                                  </w:p>
                                </w:txbxContent>
                              </wps:txbx>
                              <wps:bodyPr upright="1"/>
                            </wps:wsp>
                            <wps:wsp>
                              <wps:cNvPr id="6" name="直接连接符 72"/>
                              <wps:cNvCnPr/>
                              <wps:spPr>
                                <a:xfrm flipV="1">
                                  <a:off x="1266825" y="198120"/>
                                  <a:ext cx="255270" cy="120015"/>
                                </a:xfrm>
                                <a:prstGeom prst="line">
                                  <a:avLst/>
                                </a:prstGeom>
                                <a:ln w="9525" cap="rnd" cmpd="sng">
                                  <a:solidFill>
                                    <a:srgbClr val="000000"/>
                                  </a:solidFill>
                                  <a:prstDash val="sysDot"/>
                                  <a:headEnd type="none" w="med" len="med"/>
                                  <a:tailEnd type="triangle" w="med" len="med"/>
                                </a:ln>
                                <a:effectLst/>
                              </wps:spPr>
                              <wps:bodyPr upright="1"/>
                            </wps:wsp>
                            <wps:wsp>
                              <wps:cNvPr id="7" name="矩形 73"/>
                              <wps:cNvSpPr/>
                              <wps:spPr>
                                <a:xfrm>
                                  <a:off x="1429385" y="49530"/>
                                  <a:ext cx="797560" cy="304165"/>
                                </a:xfrm>
                                <a:prstGeom prst="rect">
                                  <a:avLst/>
                                </a:prstGeom>
                                <a:noFill/>
                                <a:ln>
                                  <a:noFill/>
                                </a:ln>
                                <a:effectLst/>
                              </wps:spPr>
                              <wps:txbx>
                                <w:txbxContent>
                                  <w:p w14:paraId="47A53893">
                                    <w:pPr>
                                      <w:adjustRightInd w:val="0"/>
                                      <w:snapToGrid w:val="0"/>
                                      <w:rPr>
                                        <w:rFonts w:hint="default" w:eastAsia="宋体"/>
                                        <w:lang w:val="en-US" w:eastAsia="zh-CN"/>
                                      </w:rPr>
                                    </w:pPr>
                                    <w:r>
                                      <w:rPr>
                                        <w:rFonts w:hint="eastAsia"/>
                                      </w:rPr>
                                      <w:t>消耗</w:t>
                                    </w:r>
                                    <w:r>
                                      <w:rPr>
                                        <w:rFonts w:hint="eastAsia"/>
                                        <w:lang w:val="en-US" w:eastAsia="zh-CN"/>
                                      </w:rPr>
                                      <w:t>0.303</w:t>
                                    </w:r>
                                  </w:p>
                                </w:txbxContent>
                              </wps:txbx>
                              <wps:bodyPr upright="1"/>
                            </wps:wsp>
                            <wps:wsp>
                              <wps:cNvPr id="8" name="直接连接符 74"/>
                              <wps:cNvCnPr/>
                              <wps:spPr>
                                <a:xfrm>
                                  <a:off x="2082165" y="468630"/>
                                  <a:ext cx="457835" cy="6350"/>
                                </a:xfrm>
                                <a:prstGeom prst="line">
                                  <a:avLst/>
                                </a:prstGeom>
                                <a:ln w="9525" cap="flat" cmpd="sng">
                                  <a:solidFill>
                                    <a:srgbClr val="000000"/>
                                  </a:solidFill>
                                  <a:prstDash val="solid"/>
                                  <a:headEnd type="none" w="med" len="med"/>
                                  <a:tailEnd type="triangle" w="med" len="med"/>
                                </a:ln>
                                <a:effectLst/>
                              </wps:spPr>
                              <wps:bodyPr upright="1"/>
                            </wps:wsp>
                            <wps:wsp>
                              <wps:cNvPr id="9" name="矩形 75"/>
                              <wps:cNvSpPr/>
                              <wps:spPr>
                                <a:xfrm>
                                  <a:off x="2542540" y="318770"/>
                                  <a:ext cx="1003300"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9583245">
                                    <w:pPr>
                                      <w:adjustRightInd w:val="0"/>
                                      <w:snapToGrid w:val="0"/>
                                      <w:jc w:val="center"/>
                                      <w:rPr>
                                        <w:rFonts w:hint="eastAsia"/>
                                      </w:rPr>
                                    </w:pPr>
                                    <w:r>
                                      <w:rPr>
                                        <w:rFonts w:hint="eastAsia"/>
                                        <w:lang w:val="en-US" w:eastAsia="zh-CN"/>
                                      </w:rPr>
                                      <w:t>园区</w:t>
                                    </w:r>
                                    <w:r>
                                      <w:rPr>
                                        <w:rFonts w:hint="eastAsia"/>
                                      </w:rPr>
                                      <w:t>化粪池</w:t>
                                    </w:r>
                                  </w:p>
                                </w:txbxContent>
                              </wps:txbx>
                              <wps:bodyPr upright="1"/>
                            </wps:wsp>
                            <wps:wsp>
                              <wps:cNvPr id="10" name="直接连接符 76"/>
                              <wps:cNvCnPr/>
                              <wps:spPr>
                                <a:xfrm flipV="1">
                                  <a:off x="3561080" y="456565"/>
                                  <a:ext cx="447675" cy="8890"/>
                                </a:xfrm>
                                <a:prstGeom prst="line">
                                  <a:avLst/>
                                </a:prstGeom>
                                <a:ln w="9525" cap="flat" cmpd="sng">
                                  <a:solidFill>
                                    <a:srgbClr val="000000"/>
                                  </a:solidFill>
                                  <a:prstDash val="solid"/>
                                  <a:round/>
                                  <a:headEnd type="none" w="med" len="med"/>
                                  <a:tailEnd type="triangle" w="med" len="med"/>
                                </a:ln>
                              </wps:spPr>
                              <wps:bodyPr upright="1"/>
                            </wps:wsp>
                            <wps:wsp>
                              <wps:cNvPr id="11" name="矩形 77"/>
                              <wps:cNvSpPr/>
                              <wps:spPr>
                                <a:xfrm>
                                  <a:off x="3488055" y="255905"/>
                                  <a:ext cx="511810" cy="241300"/>
                                </a:xfrm>
                                <a:prstGeom prst="rect">
                                  <a:avLst/>
                                </a:prstGeom>
                                <a:noFill/>
                                <a:ln>
                                  <a:noFill/>
                                </a:ln>
                                <a:effectLst/>
                              </wps:spPr>
                              <wps:txbx>
                                <w:txbxContent>
                                  <w:p w14:paraId="1C9AE4B9">
                                    <w:pPr>
                                      <w:adjustRightInd w:val="0"/>
                                      <w:snapToGrid w:val="0"/>
                                      <w:rPr>
                                        <w:rFonts w:hint="default" w:eastAsia="宋体"/>
                                        <w:lang w:val="en-US" w:eastAsia="zh-CN"/>
                                      </w:rPr>
                                    </w:pPr>
                                    <w:r>
                                      <w:rPr>
                                        <w:rFonts w:hint="eastAsia"/>
                                        <w:lang w:val="en-US" w:eastAsia="zh-CN"/>
                                      </w:rPr>
                                      <w:t>1.212</w:t>
                                    </w:r>
                                  </w:p>
                                </w:txbxContent>
                              </wps:txbx>
                              <wps:bodyPr upright="1"/>
                            </wps:wsp>
                            <wps:wsp>
                              <wps:cNvPr id="12" name="矩形 78"/>
                              <wps:cNvSpPr/>
                              <wps:spPr>
                                <a:xfrm>
                                  <a:off x="4008755" y="227330"/>
                                  <a:ext cx="1094740" cy="4572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A163F9">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排</w:t>
                                    </w:r>
                                    <w:r>
                                      <w:rPr>
                                        <w:rFonts w:hint="eastAsia"/>
                                        <w:color w:val="auto"/>
                                        <w:sz w:val="21"/>
                                        <w:szCs w:val="21"/>
                                      </w:rPr>
                                      <w:t>入</w:t>
                                    </w:r>
                                    <w:r>
                                      <w:rPr>
                                        <w:rFonts w:hint="eastAsia" w:ascii="Times New Roman" w:hAnsi="Times New Roman" w:eastAsia="宋体" w:cs="Times New Roman"/>
                                        <w:color w:val="auto"/>
                                        <w:sz w:val="21"/>
                                        <w:szCs w:val="21"/>
                                        <w:lang w:val="en-US" w:eastAsia="zh-CN"/>
                                      </w:rPr>
                                      <w:t>泾河新城</w:t>
                                    </w:r>
                                  </w:p>
                                  <w:p w14:paraId="4E0A1B07">
                                    <w:pPr>
                                      <w:adjustRightInd w:val="0"/>
                                      <w:snapToGrid w:val="0"/>
                                      <w:jc w:val="center"/>
                                      <w:rPr>
                                        <w:rFonts w:hint="eastAsia"/>
                                        <w:color w:val="auto"/>
                                        <w:sz w:val="21"/>
                                        <w:szCs w:val="21"/>
                                      </w:rPr>
                                    </w:pPr>
                                    <w:r>
                                      <w:rPr>
                                        <w:rFonts w:hint="eastAsia" w:ascii="Times New Roman" w:hAnsi="Times New Roman" w:eastAsia="宋体" w:cs="Times New Roman"/>
                                        <w:color w:val="auto"/>
                                        <w:sz w:val="21"/>
                                        <w:szCs w:val="21"/>
                                        <w:lang w:val="en-US" w:eastAsia="zh-CN"/>
                                      </w:rPr>
                                      <w:t>第二污水处理厂</w:t>
                                    </w:r>
                                  </w:p>
                                </w:txbxContent>
                              </wps:txbx>
                              <wps:bodyPr lIns="36000" tIns="36000" rIns="36000" bIns="36000" upright="1"/>
                            </wps:wsp>
                            <wps:wsp>
                              <wps:cNvPr id="13" name="矩形 80"/>
                              <wps:cNvSpPr/>
                              <wps:spPr>
                                <a:xfrm>
                                  <a:off x="2027555" y="265430"/>
                                  <a:ext cx="503555" cy="265430"/>
                                </a:xfrm>
                                <a:prstGeom prst="rect">
                                  <a:avLst/>
                                </a:prstGeom>
                                <a:noFill/>
                                <a:ln>
                                  <a:noFill/>
                                </a:ln>
                                <a:effectLst/>
                              </wps:spPr>
                              <wps:txbx>
                                <w:txbxContent>
                                  <w:p w14:paraId="70077162">
                                    <w:pPr>
                                      <w:adjustRightInd w:val="0"/>
                                      <w:snapToGrid w:val="0"/>
                                      <w:rPr>
                                        <w:rFonts w:hint="default" w:eastAsia="宋体"/>
                                        <w:lang w:val="en-US" w:eastAsia="zh-CN"/>
                                      </w:rPr>
                                    </w:pPr>
                                    <w:r>
                                      <w:rPr>
                                        <w:rFonts w:hint="eastAsia"/>
                                        <w:lang w:val="en-US" w:eastAsia="zh-CN"/>
                                      </w:rPr>
                                      <w:t>1.2125</w:t>
                                    </w:r>
                                  </w:p>
                                </w:txbxContent>
                              </wps:txbx>
                              <wps:bodyPr upright="1"/>
                            </wps:wsp>
                          </wpc:wpc>
                        </a:graphicData>
                      </a:graphic>
                    </wp:inline>
                  </w:drawing>
                </mc:Choice>
                <mc:Fallback>
                  <w:pict>
                    <v:group id="_x0000_s1026" o:spid="_x0000_s1026" o:spt="203" style="height:59.45pt;width:414.75pt;" coordsize="5267325,755015" editas="canvas"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2+P+F9cAAAAFAQAADwAAAAAAAAAB&#10;ACAAAAAiAAAAZHJzL2Rvd25yZXYueG1sUEsBAhQAFAAAAAgAh07iQOSFgif2BAAAXhsAAA4AAAAA&#10;AAAAAQAgAAAAJgEAAGRycy9lMm9Eb2MueG1sUEsFBgAAAAAGAAYAWQEAAI4IAAAAAA==&#10;">
                      <o:lock v:ext="edit" aspectratio="f"/>
                      <v:shape id="_x0000_s1026" o:spid="_x0000_s1026" style="position:absolute;left:0;top:0;height:755015;width:5267325;"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">
                        <v:fill on="f" focussize="0,0"/>
                        <v:stroke on="f"/>
                        <v:imagedata o:title=""/>
                        <o:lock v:ext="edit" aspectratio="f"/>
                      </v:shape>
                      <v:rect id="矩形 68" o:spid="_x0000_s1026" o:spt="1" style="position:absolute;left:37465;top:337820;height:279400;width:593725;" fillcolor="#FFFFFF" filled="t" stroked="t" coordsize="21600,21600" o:gfxdata="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oPkwtQAAAAFAQAADwAAAAAAAAABACAA&#10;AAAiAAAAZHJzL2Rvd25yZXYueG1sUEsBAhQAFAAAAAgAh07iQCSZiV0RAgAAQAQAAA4AAAAAAAAA&#10;AQAgAAAAIwEAAGRycy9lMm9Eb2MueG1sUEsFBgAAAAAGAAYAWQEAAKYFAAAAAA==&#10;">
                        <v:fill on="t" focussize="0,0"/>
                        <v:stroke color="#000000" joinstyle="miter"/>
                        <v:imagedata o:title=""/>
                        <o:lock v:ext="edit" aspectratio="f"/>
                        <v:textbox>
                          <w:txbxContent>
                            <w:p w14:paraId="546C8782">
                              <w:pPr>
                                <w:adjustRightInd w:val="0"/>
                                <w:snapToGrid w:val="0"/>
                                <w:jc w:val="center"/>
                                <w:rPr>
                                  <w:rFonts w:hint="default"/>
                                  <w:lang w:val="en-US"/>
                                </w:rPr>
                              </w:pPr>
                              <w:r>
                                <w:rPr>
                                  <w:rFonts w:hint="eastAsia"/>
                                  <w:lang w:val="en-US" w:eastAsia="zh-CN"/>
                                </w:rPr>
                                <w:t>新鲜水</w:t>
                              </w:r>
                            </w:p>
                          </w:txbxContent>
                        </v:textbox>
                      </v:rect>
                      <v:line id="直接连接符 69" o:spid="_x0000_s1026" o:spt="20" style="position:absolute;left:634365;top:474980;height:0;width:410210;" filled="f" stroked="t" coordsize="21600,21600" o:gfxdata="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Wk2MI1gAAAAUBAAAPAAAAAAAAAAEAIAAA&#10;ACIAAABkcnMvZG93bnJldi54bWxQSwECFAAUAAAACACHTuJAVas4oQ4CAAAABAAADgAAAAAAAAAB&#10;ACAAAAAlAQAAZHJzL2Uyb0RvYy54bWxQSwUGAAAAAAYABgBZAQAApQUAAAAA&#10;">
                        <v:fill on="f" focussize="0,0"/>
                        <v:stroke color="#000000" joinstyle="round" endarrow="block"/>
                        <v:imagedata o:title=""/>
                        <o:lock v:ext="edit" aspectratio="f"/>
                      </v:line>
                      <v:rect id="矩形 70" o:spid="_x0000_s1026" o:spt="1" style="position:absolute;left:577850;top:276225;height:265430;width:509905;"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vj&#10;/hfXAAAABQEAAA8AAAAAAAAAAQAgAAAAIgAAAGRycy9kb3ducmV2LnhtbFBLAQIUABQAAAAIAIdO&#10;4kBrqVxAsgEAAFkDAAAOAAAAAAAAAAEAIAAAACYBAABkcnMvZTJvRG9jLnhtbFBLBQYAAAAABgAG&#10;AFkBAABKBQAAAAA=&#10;">
                        <v:fill on="f" focussize="0,0"/>
                        <v:stroke on="f"/>
                        <v:imagedata o:title=""/>
                        <o:lock v:ext="edit" aspectratio="f"/>
                        <v:textbox>
                          <w:txbxContent>
                            <w:p w14:paraId="76541D4C">
                              <w:pPr>
                                <w:adjustRightInd w:val="0"/>
                                <w:snapToGrid w:val="0"/>
                                <w:rPr>
                                  <w:rFonts w:hint="default" w:eastAsia="宋体"/>
                                  <w:lang w:val="en-US" w:eastAsia="zh-CN"/>
                                </w:rPr>
                              </w:pPr>
                              <w:r>
                                <w:rPr>
                                  <w:rFonts w:hint="eastAsia"/>
                                  <w:lang w:val="en-US" w:eastAsia="zh-CN"/>
                                </w:rPr>
                                <w:t>1.5155</w:t>
                              </w:r>
                            </w:p>
                          </w:txbxContent>
                        </v:textbox>
                      </v:rect>
                      <v:rect id="矩形 71" o:spid="_x0000_s1026" o:spt="1" style="position:absolute;left:1047750;top:318135;height:285115;width:1029335;" fillcolor="#FFFFFF" filled="t" stroked="t" coordsize="21600,21600" o:gfxdata="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eg+TC1AAAAAUBAAAPAAAAAAAAAAEA&#10;IAAAACIAAABkcnMvZG93bnJldi54bWxQSwECFAAUAAAACACHTuJATkA0FBMCAABDBAAADgAAAAAA&#10;AAABACAAAAAjAQAAZHJzL2Uyb0RvYy54bWxQSwUGAAAAAAYABgBZAQAAqAUAAAAA&#10;">
                        <v:fill on="t" focussize="0,0"/>
                        <v:stroke color="#000000" joinstyle="miter"/>
                        <v:imagedata o:title=""/>
                        <o:lock v:ext="edit" aspectratio="f"/>
                        <v:textbox>
                          <w:txbxContent>
                            <w:p w14:paraId="21F88784">
                              <w:pPr>
                                <w:jc w:val="center"/>
                                <w:rPr>
                                  <w:rFonts w:hint="eastAsia"/>
                                </w:rPr>
                              </w:pPr>
                              <w:r>
                                <w:rPr>
                                  <w:rFonts w:hint="eastAsia"/>
                                  <w:b w:val="0"/>
                                  <w:bCs/>
                                  <w:color w:val="000000"/>
                                  <w:sz w:val="21"/>
                                  <w:szCs w:val="21"/>
                                  <w:lang w:eastAsia="zh-CN"/>
                                </w:rPr>
                                <w:t>办公</w:t>
                              </w:r>
                              <w:r>
                                <w:rPr>
                                  <w:rFonts w:ascii="Times New Roman" w:hAnsi="Times New Roman"/>
                                  <w:b w:val="0"/>
                                  <w:bCs/>
                                  <w:color w:val="000000"/>
                                  <w:sz w:val="21"/>
                                  <w:szCs w:val="21"/>
                                </w:rPr>
                                <w:t>生活用水</w:t>
                              </w:r>
                            </w:p>
                          </w:txbxContent>
                        </v:textbox>
                      </v:rect>
                      <v:line id="直接连接符 72" o:spid="_x0000_s1026" o:spt="20" style="position:absolute;left:1266825;top:198120;flip:y;height:120015;width:255270;" filled="f" stroked="t" coordsize="21600,21600" o:gfxdata="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imfEdQAAAAFAQAADwAAAAAA&#10;AAABACAAAAAiAAAAZHJzL2Rvd25yZXYueG1sUEsBAhQAFAAAAAgAh07iQGKc/UEXAgAAEAQAAA4A&#10;AAAAAAAAAQAgAAAAIwEAAGRycy9lMm9Eb2MueG1sUEsFBgAAAAAGAAYAWQEAAKwFAAAAAA==&#10;">
                        <v:fill on="f" focussize="0,0"/>
                        <v:stroke color="#000000" joinstyle="round" dashstyle="1 1" endcap="round" endarrow="block"/>
                        <v:imagedata o:title=""/>
                        <o:lock v:ext="edit" aspectratio="f"/>
                      </v:line>
                      <v:rect id="矩形 73" o:spid="_x0000_s1026" o:spt="1" style="position:absolute;left:1429385;top:49530;height:304165;width:797560;"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vj&#10;/hfXAAAABQEAAA8AAAAAAAAAAQAgAAAAIgAAAGRycy9kb3ducmV2LnhtbFBLAQIUABQAAAAIAIdO&#10;4kDL+oRUsgEAAFkDAAAOAAAAAAAAAAEAIAAAACYBAABkcnMvZTJvRG9jLnhtbFBLBQYAAAAABgAG&#10;AFkBAABKBQAAAAA=&#10;">
                        <v:fill on="f" focussize="0,0"/>
                        <v:stroke on="f"/>
                        <v:imagedata o:title=""/>
                        <o:lock v:ext="edit" aspectratio="f"/>
                        <v:textbox>
                          <w:txbxContent>
                            <w:p w14:paraId="47A53893">
                              <w:pPr>
                                <w:adjustRightInd w:val="0"/>
                                <w:snapToGrid w:val="0"/>
                                <w:rPr>
                                  <w:rFonts w:hint="default" w:eastAsia="宋体"/>
                                  <w:lang w:val="en-US" w:eastAsia="zh-CN"/>
                                </w:rPr>
                              </w:pPr>
                              <w:r>
                                <w:rPr>
                                  <w:rFonts w:hint="eastAsia"/>
                                </w:rPr>
                                <w:t>消耗</w:t>
                              </w:r>
                              <w:r>
                                <w:rPr>
                                  <w:rFonts w:hint="eastAsia"/>
                                  <w:lang w:val="en-US" w:eastAsia="zh-CN"/>
                                </w:rPr>
                                <w:t>0.303</w:t>
                              </w:r>
                            </w:p>
                          </w:txbxContent>
                        </v:textbox>
                      </v:rect>
                      <v:line id="直接连接符 74" o:spid="_x0000_s1026" o:spt="20" style="position:absolute;left:2082165;top:468630;height:6350;width:457835;" filled="f" stroked="t" coordsize="21600,21600" o:gfxdata="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pNjCNYAAAAFAQAADwAAAAAAAAABACAA&#10;AAAiAAAAZHJzL2Rvd25yZXYueG1sUEsBAhQAFAAAAAgAh07iQEcWGQAPAgAABAQAAA4AAAAAAAAA&#10;AQAgAAAAJQEAAGRycy9lMm9Eb2MueG1sUEsFBgAAAAAGAAYAWQEAAKYFAAAAAA==&#10;">
                        <v:fill on="f" focussize="0,0"/>
                        <v:stroke color="#000000" joinstyle="round" endarrow="block"/>
                        <v:imagedata o:title=""/>
                        <o:lock v:ext="edit" aspectratio="f"/>
                      </v:line>
                      <v:rect id="矩形 75" o:spid="_x0000_s1026" o:spt="1" style="position:absolute;left:2542540;top:318770;height:279400;width:1003300;" fillcolor="#FFFFFF" filled="t" stroked="t" coordsize="21600,21600" o:gfxdata="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eg+TC1AAAAAUBAAAPAAAAAAAAAAEAIAAA&#10;ACIAAABkcnMvZG93bnJldi54bWxQSwECFAAUAAAACACHTuJAHw3QgRACAABDBAAADgAAAAAAAAAB&#10;ACAAAAAjAQAAZHJzL2Uyb0RvYy54bWxQSwUGAAAAAAYABgBZAQAApQUAAAAA&#10;">
                        <v:fill on="t" focussize="0,0"/>
                        <v:stroke color="#000000" joinstyle="miter"/>
                        <v:imagedata o:title=""/>
                        <o:lock v:ext="edit" aspectratio="f"/>
                        <v:textbox>
                          <w:txbxContent>
                            <w:p w14:paraId="49583245">
                              <w:pPr>
                                <w:adjustRightInd w:val="0"/>
                                <w:snapToGrid w:val="0"/>
                                <w:jc w:val="center"/>
                                <w:rPr>
                                  <w:rFonts w:hint="eastAsia"/>
                                </w:rPr>
                              </w:pPr>
                              <w:r>
                                <w:rPr>
                                  <w:rFonts w:hint="eastAsia"/>
                                  <w:lang w:val="en-US" w:eastAsia="zh-CN"/>
                                </w:rPr>
                                <w:t>园区</w:t>
                              </w:r>
                              <w:r>
                                <w:rPr>
                                  <w:rFonts w:hint="eastAsia"/>
                                </w:rPr>
                                <w:t>化粪池</w:t>
                              </w:r>
                            </w:p>
                          </w:txbxContent>
                        </v:textbox>
                      </v:rect>
                      <v:line id="直接连接符 76" o:spid="_x0000_s1026" o:spt="20" style="position:absolute;left:3561080;top:456565;flip:y;height:8890;width:447675;" filled="f" stroked="t" coordsize="21600,21600" o:gfxdata="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779lvWAAAABQEAAA8A&#10;AAAAAAAAAQAgAAAAIgAAAGRycy9kb3ducmV2LnhtbFBLAQIUABQAAAAIAIdO4kBDPk8tGQIAAAsE&#10;AAAOAAAAAAAAAAEAIAAAACUBAABkcnMvZTJvRG9jLnhtbFBLBQYAAAAABgAGAFkBAACwBQAAAAA=&#10;">
                        <v:fill on="f" focussize="0,0"/>
                        <v:stroke color="#000000" joinstyle="round" endarrow="block"/>
                        <v:imagedata o:title=""/>
                        <o:lock v:ext="edit" aspectratio="f"/>
                      </v:line>
                      <v:rect id="矩形 77" o:spid="_x0000_s1026" o:spt="1" style="position:absolute;left:3488055;top:255905;height:241300;width:511810;"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2+P+F9cAAAAFAQAADwAAAAAAAAABACAAAAAiAAAAZHJzL2Rvd25yZXYueG1sUEsBAhQAFAAAAAgA&#10;h07iQCw2gdK0AQAAWwMAAA4AAAAAAAAAAQAgAAAAJgEAAGRycy9lMm9Eb2MueG1sUEsFBgAAAAAG&#10;AAYAWQEAAEwFAAAAAA==&#10;">
                        <v:fill on="f" focussize="0,0"/>
                        <v:stroke on="f"/>
                        <v:imagedata o:title=""/>
                        <o:lock v:ext="edit" aspectratio="f"/>
                        <v:textbox>
                          <w:txbxContent>
                            <w:p w14:paraId="1C9AE4B9">
                              <w:pPr>
                                <w:adjustRightInd w:val="0"/>
                                <w:snapToGrid w:val="0"/>
                                <w:rPr>
                                  <w:rFonts w:hint="default" w:eastAsia="宋体"/>
                                  <w:lang w:val="en-US" w:eastAsia="zh-CN"/>
                                </w:rPr>
                              </w:pPr>
                              <w:r>
                                <w:rPr>
                                  <w:rFonts w:hint="eastAsia"/>
                                  <w:lang w:val="en-US" w:eastAsia="zh-CN"/>
                                </w:rPr>
                                <w:t>1.212</w:t>
                              </w:r>
                            </w:p>
                          </w:txbxContent>
                        </v:textbox>
                      </v:rect>
                      <v:rect id="矩形 78" o:spid="_x0000_s1026" o:spt="1" style="position:absolute;left:4008755;top:227330;height:457200;width:1094740;" fillcolor="#FFFFFF" filled="t" stroked="t" coordsize="21600,21600" o:gfxdata="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mPX/CNUA&#10;AAAFAQAADwAAAAAAAAABACAAAAAiAAAAZHJzL2Rvd25yZXYueG1sUEsBAhQAFAAAAAgAh07iQCc/&#10;ajQiAgAAagQAAA4AAAAAAAAAAQAgAAAAJAEAAGRycy9lMm9Eb2MueG1sUEsFBgAAAAAGAAYAWQEA&#10;ALgFAAAAAA==&#10;">
                        <v:fill on="t" focussize="0,0"/>
                        <v:stroke color="#000000" joinstyle="miter"/>
                        <v:imagedata o:title=""/>
                        <o:lock v:ext="edit" aspectratio="f"/>
                        <v:textbox inset="1mm,1mm,1mm,1mm">
                          <w:txbxContent>
                            <w:p w14:paraId="4CA163F9">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排</w:t>
                              </w:r>
                              <w:r>
                                <w:rPr>
                                  <w:rFonts w:hint="eastAsia"/>
                                  <w:color w:val="auto"/>
                                  <w:sz w:val="21"/>
                                  <w:szCs w:val="21"/>
                                </w:rPr>
                                <w:t>入</w:t>
                              </w:r>
                              <w:r>
                                <w:rPr>
                                  <w:rFonts w:hint="eastAsia" w:ascii="Times New Roman" w:hAnsi="Times New Roman" w:eastAsia="宋体" w:cs="Times New Roman"/>
                                  <w:color w:val="auto"/>
                                  <w:sz w:val="21"/>
                                  <w:szCs w:val="21"/>
                                  <w:lang w:val="en-US" w:eastAsia="zh-CN"/>
                                </w:rPr>
                                <w:t>泾河新城</w:t>
                              </w:r>
                            </w:p>
                            <w:p w14:paraId="4E0A1B07">
                              <w:pPr>
                                <w:adjustRightInd w:val="0"/>
                                <w:snapToGrid w:val="0"/>
                                <w:jc w:val="center"/>
                                <w:rPr>
                                  <w:rFonts w:hint="eastAsia"/>
                                  <w:color w:val="auto"/>
                                  <w:sz w:val="21"/>
                                  <w:szCs w:val="21"/>
                                </w:rPr>
                              </w:pPr>
                              <w:r>
                                <w:rPr>
                                  <w:rFonts w:hint="eastAsia" w:ascii="Times New Roman" w:hAnsi="Times New Roman" w:eastAsia="宋体" w:cs="Times New Roman"/>
                                  <w:color w:val="auto"/>
                                  <w:sz w:val="21"/>
                                  <w:szCs w:val="21"/>
                                  <w:lang w:val="en-US" w:eastAsia="zh-CN"/>
                                </w:rPr>
                                <w:t>第二污水处理厂</w:t>
                              </w:r>
                            </w:p>
                          </w:txbxContent>
                        </v:textbox>
                      </v:rect>
                      <v:rect id="矩形 80" o:spid="_x0000_s1026" o:spt="1" style="position:absolute;left:2027555;top:265430;height:265430;width:503555;"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vj/hfXAAAA&#10;BQEAAA8AAAAAAAAAAQAgAAAAIgAAAGRycy9kb3ducmV2LnhtbFBLAQIUABQAAAAIAIdO4kBHO+vR&#10;rAEAAFsDAAAOAAAAAAAAAAEAIAAAACYBAABkcnMvZTJvRG9jLnhtbFBLBQYAAAAABgAGAFkBAABE&#10;BQAAAAA=&#10;">
                        <v:fill on="f" focussize="0,0"/>
                        <v:stroke on="f"/>
                        <v:imagedata o:title=""/>
                        <o:lock v:ext="edit" aspectratio="f"/>
                        <v:textbox>
                          <w:txbxContent>
                            <w:p w14:paraId="70077162">
                              <w:pPr>
                                <w:adjustRightInd w:val="0"/>
                                <w:snapToGrid w:val="0"/>
                                <w:rPr>
                                  <w:rFonts w:hint="default" w:eastAsia="宋体"/>
                                  <w:lang w:val="en-US" w:eastAsia="zh-CN"/>
                                </w:rPr>
                              </w:pPr>
                              <w:r>
                                <w:rPr>
                                  <w:rFonts w:hint="eastAsia"/>
                                  <w:lang w:val="en-US" w:eastAsia="zh-CN"/>
                                </w:rPr>
                                <w:t>1.2125</w:t>
                              </w:r>
                            </w:p>
                          </w:txbxContent>
                        </v:textbox>
                      </v:rect>
                      <w10:wrap type="none"/>
                      <w10:anchorlock/>
                    </v:group>
                  </w:pict>
                </mc:Fallback>
              </mc:AlternateContent>
            </w:r>
            <w:r>
              <w:rPr>
                <w:rFonts w:hint="default" w:ascii="Times New Roman" w:hAnsi="Times New Roman" w:cs="Times New Roman"/>
                <w:b/>
                <w:bCs w:val="0"/>
                <w:color w:val="auto"/>
                <w:sz w:val="21"/>
                <w:szCs w:val="21"/>
                <w:highlight w:val="none"/>
                <w:lang w:val="en-US" w:eastAsia="zh-CN"/>
              </w:rPr>
              <w:t>图2-1 项目水平衡图 单位：m</w:t>
            </w:r>
            <w:r>
              <w:rPr>
                <w:rFonts w:hint="default" w:ascii="Times New Roman" w:hAnsi="Times New Roman" w:cs="Times New Roman"/>
                <w:b/>
                <w:bCs w:val="0"/>
                <w:color w:val="auto"/>
                <w:sz w:val="21"/>
                <w:szCs w:val="21"/>
                <w:highlight w:val="none"/>
                <w:vertAlign w:val="superscript"/>
                <w:lang w:val="en-US" w:eastAsia="zh-CN"/>
              </w:rPr>
              <w:t>3</w:t>
            </w:r>
            <w:r>
              <w:rPr>
                <w:rFonts w:hint="default" w:ascii="Times New Roman" w:hAnsi="Times New Roman" w:cs="Times New Roman"/>
                <w:b/>
                <w:bCs w:val="0"/>
                <w:color w:val="auto"/>
                <w:sz w:val="21"/>
                <w:szCs w:val="21"/>
                <w:highlight w:val="none"/>
                <w:lang w:val="en-US" w:eastAsia="zh-CN"/>
              </w:rPr>
              <w:t>/d</w:t>
            </w:r>
          </w:p>
          <w:p w14:paraId="650A2D91">
            <w:pPr>
              <w:numPr>
                <w:ilvl w:val="0"/>
                <w:numId w:val="0"/>
              </w:numPr>
              <w:adjustRightInd w:val="0"/>
              <w:snapToGrid w:val="0"/>
              <w:spacing w:line="360" w:lineRule="auto"/>
              <w:jc w:val="both"/>
              <w:rPr>
                <w:rFonts w:hint="default" w:ascii="Times New Roman" w:hAnsi="Times New Roman" w:cs="Times New Roman"/>
                <w:bCs/>
                <w:color w:val="auto"/>
                <w:sz w:val="24"/>
                <w:szCs w:val="24"/>
                <w:highlight w:val="none"/>
                <w:lang w:val="en-US" w:eastAsia="zh-CN"/>
              </w:rPr>
            </w:pPr>
            <w:r>
              <w:rPr>
                <w:rFonts w:hint="eastAsia" w:cs="Times New Roman"/>
                <w:b/>
                <w:bCs/>
                <w:color w:val="auto"/>
                <w:kern w:val="2"/>
                <w:sz w:val="24"/>
                <w:szCs w:val="24"/>
                <w:highlight w:val="none"/>
                <w:lang w:val="en-US" w:eastAsia="zh-CN" w:bidi="ar-SA"/>
              </w:rPr>
              <w:t>8</w:t>
            </w:r>
            <w:r>
              <w:rPr>
                <w:rFonts w:hint="default" w:ascii="Times New Roman" w:hAnsi="Times New Roman" w:cs="Times New Roman"/>
                <w:b/>
                <w:bCs/>
                <w:color w:val="auto"/>
                <w:kern w:val="2"/>
                <w:sz w:val="24"/>
                <w:szCs w:val="24"/>
                <w:highlight w:val="none"/>
                <w:lang w:val="en-US" w:eastAsia="zh-CN" w:bidi="ar-SA"/>
              </w:rPr>
              <w:t>、</w:t>
            </w:r>
            <w:r>
              <w:rPr>
                <w:rFonts w:hint="default" w:ascii="Times New Roman" w:hAnsi="Times New Roman" w:cs="Times New Roman"/>
                <w:b/>
                <w:bCs w:val="0"/>
                <w:color w:val="auto"/>
                <w:sz w:val="24"/>
                <w:szCs w:val="24"/>
                <w:highlight w:val="none"/>
                <w:lang w:val="en-US" w:eastAsia="zh-CN"/>
              </w:rPr>
              <w:t>劳动定员及工作制度</w:t>
            </w:r>
          </w:p>
          <w:p w14:paraId="67F0DC8A">
            <w:pPr>
              <w:numPr>
                <w:ilvl w:val="0"/>
                <w:numId w:val="0"/>
              </w:numPr>
              <w:adjustRightInd w:val="0"/>
              <w:snapToGrid w:val="0"/>
              <w:spacing w:line="360" w:lineRule="auto"/>
              <w:ind w:firstLine="480" w:firstLineChars="200"/>
              <w:jc w:val="both"/>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本项目劳动定员</w:t>
            </w:r>
            <w:r>
              <w:rPr>
                <w:rFonts w:hint="eastAsia" w:ascii="Times New Roman" w:hAnsi="Times New Roman" w:cs="Times New Roman"/>
                <w:bCs/>
                <w:color w:val="auto"/>
                <w:sz w:val="24"/>
                <w:szCs w:val="24"/>
                <w:highlight w:val="none"/>
                <w:lang w:val="en-US" w:eastAsia="zh-CN"/>
              </w:rPr>
              <w:t>20</w:t>
            </w:r>
            <w:r>
              <w:rPr>
                <w:rFonts w:hint="default" w:ascii="Times New Roman" w:hAnsi="Times New Roman" w:cs="Times New Roman"/>
                <w:bCs/>
                <w:color w:val="auto"/>
                <w:sz w:val="24"/>
                <w:szCs w:val="24"/>
                <w:highlight w:val="none"/>
                <w:lang w:val="en-US" w:eastAsia="zh-CN"/>
              </w:rPr>
              <w:t>人，工作制度为</w:t>
            </w:r>
            <w:r>
              <w:rPr>
                <w:rFonts w:hint="eastAsia" w:ascii="Times New Roman" w:hAnsi="Times New Roman" w:cs="Times New Roman"/>
                <w:bCs/>
                <w:color w:val="auto"/>
                <w:sz w:val="24"/>
                <w:szCs w:val="24"/>
                <w:highlight w:val="none"/>
                <w:lang w:val="en-US" w:eastAsia="zh-CN"/>
              </w:rPr>
              <w:t>三</w:t>
            </w:r>
            <w:r>
              <w:rPr>
                <w:rFonts w:hint="default" w:ascii="Times New Roman" w:hAnsi="Times New Roman" w:cs="Times New Roman"/>
                <w:bCs/>
                <w:color w:val="auto"/>
                <w:sz w:val="24"/>
                <w:szCs w:val="24"/>
                <w:highlight w:val="none"/>
                <w:lang w:val="en-US" w:eastAsia="zh-CN"/>
              </w:rPr>
              <w:t>班制，每班工作</w:t>
            </w:r>
            <w:r>
              <w:rPr>
                <w:rFonts w:hint="eastAsia" w:ascii="Times New Roman" w:hAnsi="Times New Roman" w:cs="Times New Roman"/>
                <w:bCs/>
                <w:color w:val="auto"/>
                <w:sz w:val="24"/>
                <w:szCs w:val="24"/>
                <w:highlight w:val="none"/>
                <w:lang w:val="en-US" w:eastAsia="zh-CN"/>
              </w:rPr>
              <w:t>8</w:t>
            </w:r>
            <w:r>
              <w:rPr>
                <w:rFonts w:hint="default" w:ascii="Times New Roman" w:hAnsi="Times New Roman" w:cs="Times New Roman"/>
                <w:bCs/>
                <w:color w:val="auto"/>
                <w:sz w:val="24"/>
                <w:szCs w:val="24"/>
                <w:highlight w:val="none"/>
                <w:lang w:val="en-US" w:eastAsia="zh-CN"/>
              </w:rPr>
              <w:t>小时，年工作</w:t>
            </w:r>
            <w:r>
              <w:rPr>
                <w:rFonts w:hint="eastAsia" w:ascii="Times New Roman" w:hAnsi="Times New Roman" w:cs="Times New Roman"/>
                <w:bCs/>
                <w:color w:val="auto"/>
                <w:sz w:val="24"/>
                <w:szCs w:val="24"/>
                <w:highlight w:val="none"/>
                <w:lang w:val="en-US" w:eastAsia="zh-CN"/>
              </w:rPr>
              <w:t>330</w:t>
            </w:r>
            <w:r>
              <w:rPr>
                <w:rFonts w:hint="default" w:ascii="Times New Roman" w:hAnsi="Times New Roman" w:cs="Times New Roman"/>
                <w:bCs/>
                <w:color w:val="auto"/>
                <w:sz w:val="24"/>
                <w:szCs w:val="24"/>
                <w:highlight w:val="none"/>
                <w:lang w:val="en-US" w:eastAsia="zh-CN"/>
              </w:rPr>
              <w:t>天，员工均不在厂区内食宿。</w:t>
            </w:r>
          </w:p>
          <w:p w14:paraId="2B80846F">
            <w:pPr>
              <w:numPr>
                <w:ilvl w:val="0"/>
                <w:numId w:val="0"/>
              </w:numPr>
              <w:adjustRightInd w:val="0"/>
              <w:snapToGrid w:val="0"/>
              <w:spacing w:line="360" w:lineRule="auto"/>
              <w:jc w:val="both"/>
              <w:rPr>
                <w:rFonts w:hint="default" w:ascii="Times New Roman" w:hAnsi="Times New Roman" w:cs="Times New Roman"/>
                <w:bCs/>
                <w:color w:val="auto"/>
                <w:sz w:val="24"/>
                <w:szCs w:val="24"/>
                <w:highlight w:val="none"/>
                <w:lang w:val="en-US" w:eastAsia="zh-CN"/>
              </w:rPr>
            </w:pPr>
            <w:r>
              <w:rPr>
                <w:rFonts w:hint="eastAsia" w:cs="Times New Roman"/>
                <w:b/>
                <w:bCs/>
                <w:color w:val="auto"/>
                <w:kern w:val="2"/>
                <w:sz w:val="24"/>
                <w:szCs w:val="24"/>
                <w:highlight w:val="none"/>
                <w:lang w:val="en-US" w:eastAsia="zh-CN" w:bidi="ar-SA"/>
              </w:rPr>
              <w:t>9</w:t>
            </w:r>
            <w:r>
              <w:rPr>
                <w:rFonts w:hint="default" w:ascii="Times New Roman" w:hAnsi="Times New Roman" w:cs="Times New Roman"/>
                <w:b/>
                <w:bCs/>
                <w:color w:val="auto"/>
                <w:kern w:val="2"/>
                <w:sz w:val="24"/>
                <w:szCs w:val="24"/>
                <w:highlight w:val="none"/>
                <w:lang w:val="en-US" w:eastAsia="zh-CN" w:bidi="ar-SA"/>
              </w:rPr>
              <w:t>、</w:t>
            </w:r>
            <w:r>
              <w:rPr>
                <w:rFonts w:hint="default" w:ascii="Times New Roman" w:hAnsi="Times New Roman" w:cs="Times New Roman"/>
                <w:b/>
                <w:bCs w:val="0"/>
                <w:color w:val="auto"/>
                <w:sz w:val="24"/>
                <w:szCs w:val="24"/>
                <w:highlight w:val="none"/>
                <w:lang w:val="en-US" w:eastAsia="zh-CN"/>
              </w:rPr>
              <w:t>平面布置</w:t>
            </w:r>
          </w:p>
          <w:p w14:paraId="07A587FC">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本项目位于</w:t>
            </w:r>
            <w:r>
              <w:rPr>
                <w:rFonts w:hint="eastAsia" w:ascii="Times New Roman" w:hAnsi="Times New Roman" w:eastAsia="宋体" w:cs="Times New Roman"/>
                <w:bCs/>
                <w:color w:val="auto"/>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Cs/>
                <w:color w:val="auto"/>
                <w:sz w:val="24"/>
                <w:szCs w:val="24"/>
                <w:highlight w:val="none"/>
                <w:lang w:val="en-US" w:eastAsia="zh-CN"/>
              </w:rPr>
              <w:t>。</w:t>
            </w:r>
            <w:r>
              <w:rPr>
                <w:rFonts w:hint="eastAsia" w:ascii="Times New Roman" w:hAnsi="Times New Roman" w:eastAsia="宋体" w:cs="Times New Roman"/>
                <w:bCs/>
                <w:color w:val="auto"/>
                <w:sz w:val="24"/>
                <w:szCs w:val="24"/>
                <w:highlight w:val="none"/>
                <w:lang w:val="en-US" w:eastAsia="zh-CN"/>
              </w:rPr>
              <w:t>办公室</w:t>
            </w:r>
            <w:r>
              <w:rPr>
                <w:rFonts w:hint="default" w:ascii="Times New Roman" w:hAnsi="Times New Roman" w:eastAsia="宋体" w:cs="Times New Roman"/>
                <w:bCs/>
                <w:color w:val="auto"/>
                <w:sz w:val="24"/>
                <w:szCs w:val="24"/>
                <w:highlight w:val="none"/>
                <w:lang w:val="en-US" w:eastAsia="zh-CN"/>
              </w:rPr>
              <w:t>位于</w:t>
            </w:r>
            <w:r>
              <w:rPr>
                <w:rFonts w:hint="eastAsia" w:ascii="Times New Roman" w:hAnsi="Times New Roman" w:eastAsia="宋体" w:cs="Times New Roman"/>
                <w:bCs/>
                <w:color w:val="auto"/>
                <w:sz w:val="24"/>
                <w:szCs w:val="24"/>
                <w:highlight w:val="none"/>
                <w:lang w:val="en-US" w:eastAsia="zh-CN"/>
              </w:rPr>
              <w:t>园区西南</w:t>
            </w:r>
            <w:r>
              <w:rPr>
                <w:rFonts w:hint="default" w:ascii="Times New Roman" w:hAnsi="Times New Roman" w:eastAsia="宋体" w:cs="Times New Roman"/>
                <w:bCs/>
                <w:color w:val="auto"/>
                <w:sz w:val="24"/>
                <w:szCs w:val="24"/>
                <w:highlight w:val="none"/>
                <w:lang w:val="en-US" w:eastAsia="zh-CN"/>
              </w:rPr>
              <w:t>角</w:t>
            </w:r>
            <w:r>
              <w:rPr>
                <w:rFonts w:hint="eastAsia" w:ascii="Times New Roman" w:hAnsi="Times New Roman" w:eastAsia="宋体" w:cs="Times New Roman"/>
                <w:bCs/>
                <w:color w:val="auto"/>
                <w:sz w:val="24"/>
                <w:szCs w:val="24"/>
                <w:highlight w:val="none"/>
                <w:lang w:val="en-US" w:eastAsia="zh-CN"/>
              </w:rPr>
              <w:t>办公楼，用于办公</w:t>
            </w:r>
            <w:r>
              <w:rPr>
                <w:rFonts w:hint="eastAsia" w:ascii="Times New Roman" w:hAnsi="Times New Roman" w:eastAsia="宋体" w:cs="Times New Roman"/>
                <w:bCs/>
                <w:color w:val="auto"/>
                <w:kern w:val="2"/>
                <w:sz w:val="21"/>
                <w:szCs w:val="21"/>
                <w:highlight w:val="none"/>
                <w:lang w:val="en-US" w:eastAsia="zh-CN" w:bidi="ar-SA"/>
              </w:rPr>
              <w:t>；</w:t>
            </w:r>
            <w:r>
              <w:rPr>
                <w:rFonts w:hint="eastAsia" w:ascii="Times New Roman" w:hAnsi="Times New Roman" w:eastAsia="宋体" w:cs="Times New Roman"/>
                <w:bCs/>
                <w:color w:val="auto"/>
                <w:sz w:val="24"/>
                <w:szCs w:val="24"/>
                <w:highlight w:val="none"/>
                <w:lang w:val="en-US" w:eastAsia="zh-CN"/>
              </w:rPr>
              <w:t>生产车间位于园区东南角，</w:t>
            </w:r>
            <w:r>
              <w:rPr>
                <w:rFonts w:hint="eastAsia" w:ascii="Times New Roman" w:hAnsi="Times New Roman" w:eastAsia="宋体" w:cs="Times New Roman"/>
                <w:bCs/>
                <w:color w:val="auto"/>
                <w:sz w:val="24"/>
                <w:szCs w:val="24"/>
                <w:highlight w:val="none"/>
                <w:lang w:val="zh-CN" w:eastAsia="zh-CN"/>
              </w:rPr>
              <w:t>RDF固体废物衍生燃料</w:t>
            </w:r>
            <w:r>
              <w:rPr>
                <w:rFonts w:hint="eastAsia" w:ascii="Times New Roman" w:hAnsi="Times New Roman" w:eastAsia="宋体" w:cs="Times New Roman"/>
                <w:bCs/>
                <w:color w:val="auto"/>
                <w:sz w:val="24"/>
                <w:szCs w:val="24"/>
                <w:highlight w:val="none"/>
                <w:lang w:val="en-US" w:eastAsia="zh-CN"/>
              </w:rPr>
              <w:t>生产线位于车间内东北侧，分拣预处理区位于其西侧，原料区位于车间内西南侧，成品区位于车间内东南侧，备件库位于车间内西北侧，危废贮存库位于车间内西北侧，地磅位于车间外南侧。</w:t>
            </w:r>
          </w:p>
          <w:p w14:paraId="4A513AF9">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项目各区域衔接适当、物流通畅、布置合理，周边交通便利，可以满足日常生产需求。项目平面布置图见附图5。</w:t>
            </w:r>
          </w:p>
        </w:tc>
      </w:tr>
      <w:tr w14:paraId="40FC6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46" w:type="dxa"/>
            <w:noWrap w:val="0"/>
            <w:vAlign w:val="center"/>
          </w:tcPr>
          <w:p w14:paraId="4DFCCB6A">
            <w:pPr>
              <w:pStyle w:val="21"/>
              <w:adjustRightInd w:val="0"/>
              <w:snapToGrid w:val="0"/>
              <w:spacing w:before="0" w:beforeAutospacing="0" w:after="0" w:afterAutospacing="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val="0"/>
                <w:bCs w:val="0"/>
                <w:color w:val="auto"/>
                <w:sz w:val="24"/>
                <w:szCs w:val="24"/>
                <w:highlight w:val="none"/>
              </w:rPr>
              <w:t>工艺流程和产排污环节</w:t>
            </w:r>
          </w:p>
        </w:tc>
        <w:tc>
          <w:tcPr>
            <w:tcW w:w="8538" w:type="dxa"/>
            <w:noWrap w:val="0"/>
            <w:vAlign w:val="top"/>
          </w:tcPr>
          <w:p w14:paraId="4B7A851D">
            <w:pPr>
              <w:numPr>
                <w:ilvl w:val="0"/>
                <w:numId w:val="0"/>
              </w:numPr>
              <w:adjustRightInd w:val="0"/>
              <w:snapToGrid w:val="0"/>
              <w:spacing w:line="360" w:lineRule="auto"/>
              <w:jc w:val="both"/>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一、施工期工程分析</w:t>
            </w:r>
          </w:p>
          <w:p w14:paraId="75E67477">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本项目位于</w:t>
            </w:r>
            <w:r>
              <w:rPr>
                <w:rFonts w:hint="eastAsia" w:ascii="Times New Roman" w:hAnsi="Times New Roman" w:eastAsia="宋体" w:cs="Times New Roman"/>
                <w:bCs/>
                <w:color w:val="auto"/>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Cs/>
                <w:color w:val="auto"/>
                <w:sz w:val="24"/>
                <w:szCs w:val="24"/>
                <w:highlight w:val="none"/>
                <w:lang w:val="en-US" w:eastAsia="zh-CN"/>
              </w:rPr>
              <w:t>，租用已建成厂房，施工期只进行生产设备和环保设施的安装及调试。施工过程中主要产生少量的设备安装废气、噪声、固废及工人产生的少量生活污水和生活垃圾等。</w:t>
            </w:r>
          </w:p>
          <w:p w14:paraId="43424F22">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项目施工期较短，工程量</w:t>
            </w:r>
            <w:r>
              <w:rPr>
                <w:rFonts w:hint="eastAsia" w:ascii="Times New Roman" w:hAnsi="Times New Roman" w:eastAsia="宋体" w:cs="Times New Roman"/>
                <w:bCs/>
                <w:color w:val="auto"/>
                <w:sz w:val="24"/>
                <w:szCs w:val="24"/>
                <w:highlight w:val="none"/>
                <w:lang w:val="en-US" w:eastAsia="zh-CN"/>
              </w:rPr>
              <w:t>较小</w:t>
            </w:r>
            <w:r>
              <w:rPr>
                <w:rFonts w:hint="default" w:ascii="Times New Roman" w:hAnsi="Times New Roman" w:eastAsia="宋体" w:cs="Times New Roman"/>
                <w:bCs/>
                <w:color w:val="auto"/>
                <w:sz w:val="24"/>
                <w:szCs w:val="24"/>
                <w:highlight w:val="none"/>
                <w:lang w:val="en-US" w:eastAsia="zh-CN"/>
              </w:rPr>
              <w:t>，且不涉及土建工程，施工结束后污染也随之消失，对环境影响较小，因此本次不对施工期进行影响分析。</w:t>
            </w:r>
          </w:p>
          <w:p w14:paraId="2B71F53E">
            <w:pPr>
              <w:numPr>
                <w:ilvl w:val="0"/>
                <w:numId w:val="3"/>
              </w:numPr>
              <w:adjustRightInd w:val="0"/>
              <w:snapToGrid w:val="0"/>
              <w:spacing w:line="360" w:lineRule="auto"/>
              <w:jc w:val="both"/>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运营期工程分析</w:t>
            </w:r>
          </w:p>
          <w:p w14:paraId="432AAB86">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该项目与产生一般固废的工业企业、科研院校、行政机关等签订一般固体废物处置协议，同时查看各企业</w:t>
            </w:r>
            <w:r>
              <w:rPr>
                <w:rFonts w:hint="default" w:ascii="Times New Roman" w:hAnsi="Times New Roman" w:eastAsia="宋体" w:cs="Times New Roman"/>
                <w:bCs/>
                <w:color w:val="auto"/>
                <w:sz w:val="24"/>
                <w:szCs w:val="24"/>
                <w:highlight w:val="none"/>
                <w:lang w:val="en-US" w:eastAsia="zh-CN"/>
              </w:rPr>
              <w:t>、科研院校等单位的环评报告、排污许可、检测报告等，确认该类废物属于</w:t>
            </w:r>
            <w:r>
              <w:rPr>
                <w:rFonts w:hint="eastAsia" w:ascii="Times New Roman" w:hAnsi="Times New Roman" w:eastAsia="宋体" w:cs="Times New Roman"/>
                <w:bCs/>
                <w:color w:val="auto"/>
                <w:sz w:val="24"/>
                <w:szCs w:val="24"/>
                <w:highlight w:val="none"/>
                <w:lang w:val="en-US" w:eastAsia="zh-CN"/>
              </w:rPr>
              <w:t>一般固体废物</w:t>
            </w:r>
            <w:r>
              <w:rPr>
                <w:rFonts w:hint="default" w:ascii="Times New Roman" w:hAnsi="Times New Roman" w:eastAsia="宋体"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不属于危险废物</w:t>
            </w:r>
            <w:r>
              <w:rPr>
                <w:rFonts w:hint="eastAsia" w:cs="Times New Roman"/>
                <w:bCs/>
                <w:color w:val="auto"/>
                <w:sz w:val="24"/>
                <w:szCs w:val="24"/>
                <w:highlight w:val="none"/>
                <w:lang w:val="en-US" w:eastAsia="zh-CN"/>
              </w:rPr>
              <w:t>、医疗废物、城市污水处理厂污泥、工业企业污泥、</w:t>
            </w:r>
            <w:r>
              <w:rPr>
                <w:rFonts w:hint="eastAsia" w:ascii="Times New Roman" w:hAnsi="Times New Roman" w:eastAsia="宋体" w:cs="Times New Roman"/>
                <w:b w:val="0"/>
                <w:bCs/>
                <w:color w:val="auto"/>
                <w:kern w:val="2"/>
                <w:sz w:val="24"/>
                <w:szCs w:val="24"/>
                <w:highlight w:val="none"/>
                <w:lang w:val="en-US" w:eastAsia="zh-CN" w:bidi="ar-SA"/>
              </w:rPr>
              <w:t>含重金属</w:t>
            </w:r>
            <w:r>
              <w:rPr>
                <w:rFonts w:hint="eastAsia" w:cs="Times New Roman"/>
                <w:b w:val="0"/>
                <w:bCs/>
                <w:color w:val="auto"/>
                <w:kern w:val="2"/>
                <w:sz w:val="24"/>
                <w:szCs w:val="24"/>
                <w:highlight w:val="none"/>
                <w:lang w:val="en-US" w:eastAsia="zh-CN" w:bidi="ar-SA"/>
              </w:rPr>
              <w:t>废物</w:t>
            </w:r>
            <w:r>
              <w:rPr>
                <w:rFonts w:hint="eastAsia" w:ascii="Times New Roman" w:hAnsi="Times New Roman" w:eastAsia="宋体" w:cs="Times New Roman"/>
                <w:b w:val="0"/>
                <w:bCs/>
                <w:color w:val="auto"/>
                <w:kern w:val="2"/>
                <w:sz w:val="24"/>
                <w:szCs w:val="24"/>
                <w:highlight w:val="none"/>
                <w:lang w:val="en-US" w:eastAsia="zh-CN" w:bidi="ar-SA"/>
              </w:rPr>
              <w:t>以及产生渗滤液的固废</w:t>
            </w:r>
            <w:r>
              <w:rPr>
                <w:rFonts w:hint="default" w:ascii="Times New Roman" w:hAnsi="Times New Roman" w:eastAsia="宋体" w:cs="Times New Roman"/>
                <w:bCs/>
                <w:color w:val="auto"/>
                <w:sz w:val="24"/>
                <w:szCs w:val="24"/>
                <w:highlight w:val="none"/>
                <w:lang w:val="en-US" w:eastAsia="zh-CN"/>
              </w:rPr>
              <w:t>。</w:t>
            </w:r>
          </w:p>
          <w:p w14:paraId="53001A31">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在产废单位</w:t>
            </w:r>
            <w:r>
              <w:rPr>
                <w:rFonts w:hint="eastAsia" w:cs="Times New Roman"/>
                <w:bCs/>
                <w:color w:val="auto"/>
                <w:sz w:val="24"/>
                <w:szCs w:val="24"/>
                <w:highlight w:val="none"/>
                <w:lang w:val="en-US" w:eastAsia="zh-CN"/>
              </w:rPr>
              <w:t>对</w:t>
            </w:r>
            <w:r>
              <w:rPr>
                <w:rFonts w:hint="eastAsia" w:ascii="Times New Roman" w:hAnsi="Times New Roman" w:eastAsia="宋体" w:cs="Times New Roman"/>
                <w:bCs/>
                <w:color w:val="auto"/>
                <w:sz w:val="24"/>
                <w:szCs w:val="24"/>
                <w:highlight w:val="none"/>
                <w:lang w:val="en-US" w:eastAsia="zh-CN"/>
              </w:rPr>
              <w:t>一般固体废物进行</w:t>
            </w:r>
            <w:r>
              <w:rPr>
                <w:rFonts w:hint="eastAsia" w:cs="Times New Roman"/>
                <w:bCs/>
                <w:color w:val="auto"/>
                <w:sz w:val="24"/>
                <w:szCs w:val="24"/>
                <w:highlight w:val="none"/>
                <w:lang w:val="en-US" w:eastAsia="zh-CN"/>
              </w:rPr>
              <w:t>区分，分出可燃物后，</w:t>
            </w:r>
            <w:r>
              <w:rPr>
                <w:rFonts w:hint="eastAsia" w:ascii="Times New Roman" w:hAnsi="Times New Roman" w:eastAsia="宋体" w:cs="Times New Roman"/>
                <w:bCs/>
                <w:color w:val="auto"/>
                <w:sz w:val="24"/>
                <w:szCs w:val="24"/>
                <w:highlight w:val="none"/>
                <w:lang w:val="en-US" w:eastAsia="zh-CN"/>
              </w:rPr>
              <w:t>对</w:t>
            </w:r>
            <w:r>
              <w:rPr>
                <w:rFonts w:hint="eastAsia" w:cs="Times New Roman"/>
                <w:bCs/>
                <w:color w:val="auto"/>
                <w:sz w:val="24"/>
                <w:szCs w:val="24"/>
                <w:highlight w:val="none"/>
                <w:lang w:val="en-US" w:eastAsia="zh-CN"/>
              </w:rPr>
              <w:t>满足要求的</w:t>
            </w:r>
            <w:r>
              <w:rPr>
                <w:rFonts w:hint="eastAsia" w:ascii="Times New Roman" w:hAnsi="Times New Roman" w:eastAsia="宋体" w:cs="Times New Roman"/>
                <w:bCs/>
                <w:color w:val="auto"/>
                <w:sz w:val="24"/>
                <w:szCs w:val="24"/>
                <w:highlight w:val="none"/>
                <w:lang w:val="en-US" w:eastAsia="zh-CN"/>
              </w:rPr>
              <w:t>一般固体废物</w:t>
            </w:r>
            <w:r>
              <w:rPr>
                <w:rFonts w:hint="eastAsia" w:cs="Times New Roman"/>
                <w:bCs/>
                <w:color w:val="auto"/>
                <w:sz w:val="24"/>
                <w:szCs w:val="24"/>
                <w:highlight w:val="none"/>
                <w:lang w:val="en-US" w:eastAsia="zh-CN"/>
              </w:rPr>
              <w:t>完成</w:t>
            </w:r>
            <w:r>
              <w:rPr>
                <w:rFonts w:hint="eastAsia" w:ascii="Times New Roman" w:hAnsi="Times New Roman" w:eastAsia="宋体" w:cs="Times New Roman"/>
                <w:bCs/>
                <w:color w:val="auto"/>
                <w:sz w:val="24"/>
                <w:szCs w:val="24"/>
                <w:highlight w:val="none"/>
                <w:lang w:val="en-US" w:eastAsia="zh-CN"/>
              </w:rPr>
              <w:t>转运联单的填写，</w:t>
            </w:r>
            <w:r>
              <w:rPr>
                <w:rFonts w:hint="eastAsia" w:cs="Times New Roman"/>
                <w:bCs/>
                <w:color w:val="auto"/>
                <w:sz w:val="24"/>
                <w:szCs w:val="24"/>
                <w:highlight w:val="none"/>
                <w:lang w:val="en-US" w:eastAsia="zh-CN"/>
              </w:rPr>
              <w:t>经</w:t>
            </w:r>
            <w:r>
              <w:rPr>
                <w:rFonts w:hint="eastAsia" w:ascii="Times New Roman" w:hAnsi="Times New Roman" w:eastAsia="宋体" w:cs="Times New Roman"/>
                <w:bCs/>
                <w:color w:val="auto"/>
                <w:sz w:val="24"/>
                <w:szCs w:val="24"/>
                <w:highlight w:val="none"/>
                <w:lang w:val="en-US" w:eastAsia="zh-CN"/>
              </w:rPr>
              <w:t>专用车辆运输回厂区后暂存于原料区。</w:t>
            </w:r>
            <w:r>
              <w:rPr>
                <w:rFonts w:hint="eastAsia" w:cs="Times New Roman"/>
                <w:bCs/>
                <w:color w:val="auto"/>
                <w:sz w:val="24"/>
                <w:szCs w:val="24"/>
                <w:highlight w:val="none"/>
                <w:lang w:val="en-US" w:eastAsia="zh-CN"/>
              </w:rPr>
              <w:t xml:space="preserve">  </w:t>
            </w:r>
          </w:p>
          <w:p w14:paraId="01CE4DCB">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textAlignment w:val="baseline"/>
              <w:rPr>
                <w:rFonts w:hint="eastAsia" w:ascii="Times New Roman" w:hAnsi="Times New Roman" w:eastAsia="宋体" w:cs="Times New Roman"/>
                <w:b/>
                <w:bCs w:val="0"/>
                <w:color w:val="auto"/>
                <w:kern w:val="2"/>
                <w:sz w:val="24"/>
                <w:szCs w:val="24"/>
                <w:highlight w:val="none"/>
                <w:lang w:val="en-US" w:eastAsia="zh-CN" w:bidi="ar-SA"/>
              </w:rPr>
            </w:pPr>
            <w:r>
              <w:rPr>
                <w:rFonts w:hint="eastAsia" w:ascii="Times New Roman" w:hAnsi="Times New Roman" w:eastAsia="宋体" w:cs="Times New Roman"/>
                <w:b/>
                <w:bCs w:val="0"/>
                <w:color w:val="auto"/>
                <w:kern w:val="2"/>
                <w:sz w:val="24"/>
                <w:szCs w:val="24"/>
                <w:highlight w:val="none"/>
                <w:lang w:val="zh-CN" w:eastAsia="zh-CN" w:bidi="ar-SA"/>
              </w:rPr>
              <w:t>RDF固体废物衍生燃料</w:t>
            </w:r>
            <w:r>
              <w:rPr>
                <w:rFonts w:hint="eastAsia" w:ascii="Times New Roman" w:hAnsi="Times New Roman" w:eastAsia="宋体" w:cs="Times New Roman"/>
                <w:b/>
                <w:bCs w:val="0"/>
                <w:color w:val="auto"/>
                <w:kern w:val="2"/>
                <w:sz w:val="24"/>
                <w:szCs w:val="24"/>
                <w:highlight w:val="none"/>
                <w:lang w:val="en-US" w:eastAsia="zh-CN" w:bidi="ar-SA"/>
              </w:rPr>
              <w:t>生产工艺流程</w:t>
            </w:r>
          </w:p>
          <w:p w14:paraId="79886B70">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（1）上料：将收回来的</w:t>
            </w:r>
            <w:r>
              <w:rPr>
                <w:rFonts w:hint="default" w:ascii="Times New Roman" w:hAnsi="Times New Roman" w:eastAsia="宋体" w:cs="Times New Roman"/>
                <w:bCs/>
                <w:color w:val="auto"/>
                <w:sz w:val="24"/>
                <w:szCs w:val="24"/>
                <w:highlight w:val="none"/>
                <w:lang w:val="en-GB" w:eastAsia="zh-CN"/>
              </w:rPr>
              <w:t>一般固废（工业固废、生活垃圾（废纸、废塑料、废纺织物、报废家具、园林垃圾、废包装物）、建筑垃圾中的轻浮物、农业固体废物）</w:t>
            </w:r>
            <w:r>
              <w:rPr>
                <w:rFonts w:hint="eastAsia" w:ascii="Times New Roman" w:hAnsi="Times New Roman" w:eastAsia="宋体" w:cs="Times New Roman"/>
                <w:bCs/>
                <w:color w:val="auto"/>
                <w:sz w:val="24"/>
                <w:szCs w:val="24"/>
                <w:highlight w:val="none"/>
                <w:lang w:val="en-US" w:eastAsia="zh-CN"/>
              </w:rPr>
              <w:t>通过抓机或装载机运送至上料链板机上，通过链板机均匀并缓慢的进入到一破撕碎机内进行一破撕碎。此工序产生设备运转的噪声。</w:t>
            </w:r>
          </w:p>
          <w:p w14:paraId="3726862E">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（2）一次破碎</w:t>
            </w:r>
            <w:r>
              <w:rPr>
                <w:rFonts w:hint="eastAsia" w:cs="Times New Roman"/>
                <w:bCs/>
                <w:color w:val="auto"/>
                <w:sz w:val="24"/>
                <w:szCs w:val="24"/>
                <w:highlight w:val="none"/>
                <w:lang w:val="en-US" w:eastAsia="zh-CN"/>
              </w:rPr>
              <w:t>：</w:t>
            </w:r>
            <w:r>
              <w:rPr>
                <w:rFonts w:hint="eastAsia" w:ascii="Times New Roman" w:hAnsi="Times New Roman" w:eastAsia="宋体" w:cs="Times New Roman"/>
                <w:bCs/>
                <w:color w:val="auto"/>
                <w:sz w:val="24"/>
                <w:szCs w:val="24"/>
                <w:highlight w:val="none"/>
                <w:lang w:val="en-US" w:eastAsia="zh-CN"/>
              </w:rPr>
              <w:t>将混合在一起的物料进行粗粉碎，使物料变得更松散。此工序产生粉尘和设备运转的噪声。此工序产生粉尘和设备运转的噪声。</w:t>
            </w:r>
          </w:p>
          <w:p w14:paraId="1F0FFD38">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（3）磁选：一破撕碎后的物料通常含有铁等金属，通过带有磁选的皮带输送机，磁选出废铁等金属。此工序产生废铁等金属。</w:t>
            </w:r>
          </w:p>
          <w:p w14:paraId="753B7EBD">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（4）二次破碎：</w:t>
            </w:r>
            <w:r>
              <w:rPr>
                <w:rFonts w:hint="eastAsia" w:cs="Times New Roman"/>
                <w:bCs/>
                <w:color w:val="auto"/>
                <w:sz w:val="24"/>
                <w:szCs w:val="24"/>
                <w:highlight w:val="none"/>
                <w:lang w:val="en-US" w:eastAsia="zh-CN"/>
              </w:rPr>
              <w:t>磁选后的原料</w:t>
            </w:r>
            <w:r>
              <w:rPr>
                <w:rFonts w:hint="eastAsia" w:ascii="Times New Roman" w:hAnsi="Times New Roman" w:eastAsia="宋体" w:cs="Times New Roman"/>
                <w:bCs/>
                <w:color w:val="auto"/>
                <w:sz w:val="24"/>
                <w:szCs w:val="24"/>
                <w:highlight w:val="none"/>
                <w:lang w:val="en-US" w:eastAsia="zh-CN"/>
              </w:rPr>
              <w:t>通过输送皮带进入二破撕碎机机腔内进行二次破碎，将物料破碎至10-20厘米大小状。此工序产生粉尘和设备运转的噪声。</w:t>
            </w:r>
          </w:p>
          <w:p w14:paraId="1B81FCA4">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5）磁选和三次破碎：将二次破碎后的物料再次通过带有磁选的皮带输送机，磁选出废铁等金属；再进入三破撕碎机机腔内进行三次破碎，并将物料破碎至3-5厘米大小状。此工序产生粉尘、废铁等金属和设备运转的噪声。</w:t>
            </w:r>
          </w:p>
          <w:p w14:paraId="7E8B72A7">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（5）打包：将三次破碎后的3-5厘米大小状的一般固体废物通过输送皮带进入卧式打包机进行打包处理，打包后的尺寸为1.5×1.2×1.1(长×宽×高)m，此处理方式主要是为了运输方便，节约成本。</w:t>
            </w:r>
          </w:p>
          <w:p w14:paraId="2EAEC90E">
            <w:pPr>
              <w:pStyle w:val="41"/>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baseline"/>
              <w:rPr>
                <w:rFonts w:hint="eastAsia" w:ascii="Times New Roman" w:hAnsi="Times New Roman" w:eastAsia="宋体" w:cs="Times New Roman"/>
                <w:b/>
                <w:bCs w:val="0"/>
                <w:color w:val="auto"/>
                <w:kern w:val="2"/>
                <w:sz w:val="24"/>
                <w:szCs w:val="24"/>
                <w:highlight w:val="none"/>
                <w:lang w:val="en-US" w:eastAsia="zh-CN" w:bidi="ar-SA"/>
              </w:rPr>
            </w:pPr>
            <w:r>
              <w:rPr>
                <w:rFonts w:hint="eastAsia" w:ascii="Times New Roman" w:hAnsi="Times New Roman" w:eastAsia="宋体" w:cs="Times New Roman"/>
                <w:b/>
                <w:bCs w:val="0"/>
                <w:color w:val="auto"/>
                <w:kern w:val="2"/>
                <w:sz w:val="24"/>
                <w:szCs w:val="24"/>
                <w:highlight w:val="none"/>
                <w:lang w:val="en-US" w:eastAsia="zh-CN" w:bidi="ar-SA"/>
              </w:rPr>
              <w:t>工艺流程图如下：</w:t>
            </w:r>
          </w:p>
          <w:p w14:paraId="6AEE3ADD">
            <w:pPr>
              <w:pStyle w:val="41"/>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rPr>
              <mc:AlternateContent>
                <mc:Choice Requires="wpc">
                  <w:drawing>
                    <wp:inline distT="0" distB="0" distL="114300" distR="114300">
                      <wp:extent cx="3735705" cy="4219575"/>
                      <wp:effectExtent l="0" t="0" r="0" b="9525"/>
                      <wp:docPr id="56" name="画布 242"/>
                      <wp:cNvGraphicFramePr/>
                      <a:graphic xmlns:a="http://schemas.openxmlformats.org/drawingml/2006/main">
                        <a:graphicData uri="http://schemas.microsoft.com/office/word/2010/wordprocessingCanvas">
                          <wpc:wpc>
                            <wpc:bg>
                              <a:noFill/>
                            </wpc:bg>
                            <wpc:whole>
                              <a:ln>
                                <a:noFill/>
                              </a:ln>
                            </wpc:whole>
                            <wps:wsp>
                              <wps:cNvPr id="23" name="文本框 244"/>
                              <wps:cNvSpPr txBox="1"/>
                              <wps:spPr>
                                <a:xfrm>
                                  <a:off x="789305" y="0"/>
                                  <a:ext cx="1715135" cy="379730"/>
                                </a:xfrm>
                                <a:prstGeom prst="rect">
                                  <a:avLst/>
                                </a:prstGeom>
                                <a:solidFill>
                                  <a:srgbClr val="FFFFFF"/>
                                </a:solidFill>
                                <a:ln>
                                  <a:noFill/>
                                </a:ln>
                              </wps:spPr>
                              <wps:txbx>
                                <w:txbxContent>
                                  <w:p w14:paraId="7DCCA5F3">
                                    <w:pPr>
                                      <w:rPr>
                                        <w:rFonts w:hint="default" w:cs="Times New Roman"/>
                                        <w:lang w:val="en-US" w:eastAsia="zh-CN"/>
                                      </w:rPr>
                                    </w:pPr>
                                    <w:r>
                                      <w:rPr>
                                        <w:rFonts w:hint="default" w:cs="Times New Roman"/>
                                        <w:lang w:val="en-GB" w:eastAsia="zh-CN"/>
                                      </w:rPr>
                                      <w:t>一般固废</w:t>
                                    </w:r>
                                    <w:r>
                                      <w:rPr>
                                        <w:rFonts w:hint="eastAsia" w:cs="Times New Roman"/>
                                        <w:lang w:val="en-US" w:eastAsia="zh-CN"/>
                                      </w:rPr>
                                      <w:t>运输回厂</w:t>
                                    </w:r>
                                  </w:p>
                                </w:txbxContent>
                              </wps:txbx>
                              <wps:bodyPr vert="horz" wrap="square" anchor="t" anchorCtr="0" upright="1"/>
                            </wps:wsp>
                            <wps:wsp>
                              <wps:cNvPr id="24" name="文本框 245"/>
                              <wps:cNvSpPr txBox="1"/>
                              <wps:spPr>
                                <a:xfrm>
                                  <a:off x="873760" y="648335"/>
                                  <a:ext cx="935356"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27B54E">
                                    <w:pPr>
                                      <w:jc w:val="center"/>
                                      <w:rPr>
                                        <w:rFonts w:hint="default" w:eastAsia="宋体"/>
                                        <w:lang w:val="en-US" w:eastAsia="zh-CN"/>
                                      </w:rPr>
                                    </w:pPr>
                                    <w:r>
                                      <w:rPr>
                                        <w:rFonts w:hint="eastAsia" w:eastAsia="宋体"/>
                                        <w:lang w:val="en-US" w:eastAsia="zh-CN"/>
                                      </w:rPr>
                                      <w:t>上料</w:t>
                                    </w:r>
                                  </w:p>
                                </w:txbxContent>
                              </wps:txbx>
                              <wps:bodyPr vert="horz" wrap="square" anchor="t" anchorCtr="0" upright="1"/>
                            </wps:wsp>
                            <wps:wsp>
                              <wps:cNvPr id="25" name="文本框 246"/>
                              <wps:cNvSpPr txBox="1"/>
                              <wps:spPr>
                                <a:xfrm>
                                  <a:off x="891540" y="1221105"/>
                                  <a:ext cx="91948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81F268">
                                    <w:pPr>
                                      <w:jc w:val="center"/>
                                      <w:rPr>
                                        <w:rFonts w:hint="default" w:eastAsia="宋体"/>
                                        <w:lang w:val="en-US" w:eastAsia="zh-CN"/>
                                      </w:rPr>
                                    </w:pPr>
                                    <w:r>
                                      <w:rPr>
                                        <w:rFonts w:hint="eastAsia" w:eastAsia="宋体"/>
                                        <w:lang w:val="en-US" w:eastAsia="zh-CN"/>
                                      </w:rPr>
                                      <w:t>一次破碎</w:t>
                                    </w:r>
                                  </w:p>
                                </w:txbxContent>
                              </wps:txbx>
                              <wps:bodyPr vert="horz" wrap="square" anchor="t" anchorCtr="0" upright="1"/>
                            </wps:wsp>
                            <wps:wsp>
                              <wps:cNvPr id="26" name="文本框 247"/>
                              <wps:cNvSpPr txBox="1"/>
                              <wps:spPr>
                                <a:xfrm>
                                  <a:off x="901700" y="1754505"/>
                                  <a:ext cx="921385" cy="269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194F23">
                                    <w:pPr>
                                      <w:jc w:val="center"/>
                                      <w:rPr>
                                        <w:rFonts w:hint="default" w:eastAsia="宋体"/>
                                        <w:lang w:val="en-US" w:eastAsia="zh-CN"/>
                                      </w:rPr>
                                    </w:pPr>
                                    <w:r>
                                      <w:rPr>
                                        <w:rFonts w:hint="eastAsia"/>
                                        <w:lang w:val="en-US" w:eastAsia="zh-CN"/>
                                      </w:rPr>
                                      <w:t>磁选</w:t>
                                    </w:r>
                                  </w:p>
                                </w:txbxContent>
                              </wps:txbx>
                              <wps:bodyPr vert="horz" wrap="square" anchor="t" anchorCtr="0" upright="1"/>
                            </wps:wsp>
                            <wps:wsp>
                              <wps:cNvPr id="28" name="直线 252"/>
                              <wps:cNvCnPr/>
                              <wps:spPr>
                                <a:xfrm flipH="1">
                                  <a:off x="1363980" y="258445"/>
                                  <a:ext cx="635" cy="386715"/>
                                </a:xfrm>
                                <a:prstGeom prst="line">
                                  <a:avLst/>
                                </a:prstGeom>
                                <a:ln w="9525" cap="flat" cmpd="sng">
                                  <a:solidFill>
                                    <a:srgbClr val="000000"/>
                                  </a:solidFill>
                                  <a:prstDash val="solid"/>
                                  <a:headEnd type="none" w="med" len="med"/>
                                  <a:tailEnd type="triangle" w="lg" len="med"/>
                                </a:ln>
                              </wps:spPr>
                              <wps:bodyPr upright="1"/>
                            </wps:wsp>
                            <wps:wsp>
                              <wps:cNvPr id="29" name="文本框 260"/>
                              <wps:cNvSpPr txBox="1"/>
                              <wps:spPr>
                                <a:xfrm>
                                  <a:off x="2043430" y="1223010"/>
                                  <a:ext cx="921385" cy="279400"/>
                                </a:xfrm>
                                <a:prstGeom prst="rect">
                                  <a:avLst/>
                                </a:prstGeom>
                                <a:noFill/>
                                <a:ln>
                                  <a:noFill/>
                                </a:ln>
                              </wps:spPr>
                              <wps:txbx>
                                <w:txbxContent>
                                  <w:p w14:paraId="65502BD0">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30" name="直线 261"/>
                              <wps:cNvCnPr/>
                              <wps:spPr>
                                <a:xfrm>
                                  <a:off x="1360805" y="941705"/>
                                  <a:ext cx="635" cy="263525"/>
                                </a:xfrm>
                                <a:prstGeom prst="line">
                                  <a:avLst/>
                                </a:prstGeom>
                                <a:ln w="9525" cap="flat" cmpd="sng">
                                  <a:solidFill>
                                    <a:srgbClr val="000000"/>
                                  </a:solidFill>
                                  <a:prstDash val="solid"/>
                                  <a:headEnd type="none" w="med" len="med"/>
                                  <a:tailEnd type="triangle" w="lg" len="med"/>
                                </a:ln>
                              </wps:spPr>
                              <wps:bodyPr upright="1"/>
                            </wps:wsp>
                            <wps:wsp>
                              <wps:cNvPr id="32" name="文本框 274"/>
                              <wps:cNvSpPr txBox="1"/>
                              <wps:spPr>
                                <a:xfrm>
                                  <a:off x="2065655" y="1760855"/>
                                  <a:ext cx="532130" cy="279400"/>
                                </a:xfrm>
                                <a:prstGeom prst="rect">
                                  <a:avLst/>
                                </a:prstGeom>
                                <a:noFill/>
                                <a:ln>
                                  <a:noFill/>
                                </a:ln>
                              </wps:spPr>
                              <wps:txbx>
                                <w:txbxContent>
                                  <w:p w14:paraId="12EB685B">
                                    <w:pPr>
                                      <w:rPr>
                                        <w:rFonts w:hint="default" w:eastAsia="宋体"/>
                                        <w:lang w:val="en-US" w:eastAsia="zh-CN"/>
                                      </w:rPr>
                                    </w:pPr>
                                    <w:r>
                                      <w:rPr>
                                        <w:rFonts w:hint="eastAsia"/>
                                        <w:lang w:val="en-US" w:eastAsia="zh-CN"/>
                                      </w:rPr>
                                      <w:t>固废</w:t>
                                    </w:r>
                                  </w:p>
                                </w:txbxContent>
                              </wps:txbx>
                              <wps:bodyPr vert="horz" wrap="square" anchor="t" anchorCtr="0" upright="1"/>
                            </wps:wsp>
                            <wps:wsp>
                              <wps:cNvPr id="34" name="直线 308"/>
                              <wps:cNvCnPr/>
                              <wps:spPr>
                                <a:xfrm>
                                  <a:off x="1351280" y="1503680"/>
                                  <a:ext cx="0" cy="254000"/>
                                </a:xfrm>
                                <a:prstGeom prst="line">
                                  <a:avLst/>
                                </a:prstGeom>
                                <a:ln w="9525" cap="flat" cmpd="sng">
                                  <a:solidFill>
                                    <a:srgbClr val="000000"/>
                                  </a:solidFill>
                                  <a:prstDash val="solid"/>
                                  <a:headEnd type="none" w="med" len="med"/>
                                  <a:tailEnd type="triangle" w="lg" len="med"/>
                                </a:ln>
                              </wps:spPr>
                              <wps:bodyPr upright="1"/>
                            </wps:wsp>
                            <wps:wsp>
                              <wps:cNvPr id="36" name="直线 310"/>
                              <wps:cNvCnPr/>
                              <wps:spPr>
                                <a:xfrm>
                                  <a:off x="1360805" y="2027555"/>
                                  <a:ext cx="0" cy="254000"/>
                                </a:xfrm>
                                <a:prstGeom prst="line">
                                  <a:avLst/>
                                </a:prstGeom>
                                <a:ln w="9525" cap="flat" cmpd="sng">
                                  <a:solidFill>
                                    <a:srgbClr val="000000"/>
                                  </a:solidFill>
                                  <a:prstDash val="solid"/>
                                  <a:headEnd type="none" w="med" len="med"/>
                                  <a:tailEnd type="triangle" w="lg" len="med"/>
                                </a:ln>
                              </wps:spPr>
                              <wps:bodyPr upright="1"/>
                            </wps:wsp>
                            <wps:wsp>
                              <wps:cNvPr id="37" name="文本框 311"/>
                              <wps:cNvSpPr txBox="1"/>
                              <wps:spPr>
                                <a:xfrm>
                                  <a:off x="941705" y="2275205"/>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3A5FAE">
                                    <w:pPr>
                                      <w:jc w:val="center"/>
                                      <w:rPr>
                                        <w:rFonts w:hint="default" w:eastAsia="宋体"/>
                                        <w:lang w:val="en-US" w:eastAsia="zh-CN"/>
                                      </w:rPr>
                                    </w:pPr>
                                    <w:r>
                                      <w:rPr>
                                        <w:rFonts w:hint="eastAsia" w:eastAsia="宋体"/>
                                        <w:lang w:val="en-US" w:eastAsia="zh-CN"/>
                                      </w:rPr>
                                      <w:t>二次破碎</w:t>
                                    </w:r>
                                  </w:p>
                                </w:txbxContent>
                              </wps:txbx>
                              <wps:bodyPr vert="horz" wrap="square" anchor="t" anchorCtr="0" upright="1"/>
                            </wps:wsp>
                            <wps:wsp>
                              <wps:cNvPr id="38" name="直线 312"/>
                              <wps:cNvCnPr/>
                              <wps:spPr>
                                <a:xfrm>
                                  <a:off x="1389380" y="2570480"/>
                                  <a:ext cx="0" cy="241300"/>
                                </a:xfrm>
                                <a:prstGeom prst="line">
                                  <a:avLst/>
                                </a:prstGeom>
                                <a:ln w="9525" cap="flat" cmpd="sng">
                                  <a:solidFill>
                                    <a:srgbClr val="000000"/>
                                  </a:solidFill>
                                  <a:prstDash val="solid"/>
                                  <a:headEnd type="none" w="med" len="med"/>
                                  <a:tailEnd type="triangle" w="lg" len="med"/>
                                </a:ln>
                              </wps:spPr>
                              <wps:bodyPr upright="1"/>
                            </wps:wsp>
                            <wps:wsp>
                              <wps:cNvPr id="39" name="文本框 313"/>
                              <wps:cNvSpPr txBox="1"/>
                              <wps:spPr>
                                <a:xfrm>
                                  <a:off x="951230" y="2808605"/>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5C6E11">
                                    <w:pPr>
                                      <w:jc w:val="center"/>
                                      <w:rPr>
                                        <w:rFonts w:hint="default" w:eastAsia="宋体"/>
                                        <w:lang w:val="en-US" w:eastAsia="zh-CN"/>
                                      </w:rPr>
                                    </w:pPr>
                                    <w:r>
                                      <w:rPr>
                                        <w:rFonts w:hint="eastAsia" w:eastAsia="宋体"/>
                                        <w:lang w:val="en-US" w:eastAsia="zh-CN"/>
                                      </w:rPr>
                                      <w:t>磁选</w:t>
                                    </w:r>
                                  </w:p>
                                </w:txbxContent>
                              </wps:txbx>
                              <wps:bodyPr vert="horz" wrap="square" anchor="t" anchorCtr="0" upright="1"/>
                            </wps:wsp>
                            <wps:wsp>
                              <wps:cNvPr id="40" name="直线 314"/>
                              <wps:cNvCnPr/>
                              <wps:spPr>
                                <a:xfrm>
                                  <a:off x="1408430" y="3113405"/>
                                  <a:ext cx="0" cy="241300"/>
                                </a:xfrm>
                                <a:prstGeom prst="line">
                                  <a:avLst/>
                                </a:prstGeom>
                                <a:ln w="9525" cap="flat" cmpd="sng">
                                  <a:solidFill>
                                    <a:srgbClr val="000000"/>
                                  </a:solidFill>
                                  <a:prstDash val="solid"/>
                                  <a:headEnd type="none" w="med" len="med"/>
                                  <a:tailEnd type="triangle" w="lg" len="med"/>
                                </a:ln>
                              </wps:spPr>
                              <wps:bodyPr upright="1"/>
                            </wps:wsp>
                            <wps:wsp>
                              <wps:cNvPr id="41" name="文本框 315"/>
                              <wps:cNvSpPr txBox="1"/>
                              <wps:spPr>
                                <a:xfrm>
                                  <a:off x="979805" y="3351530"/>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3D73E3">
                                    <w:pPr>
                                      <w:jc w:val="center"/>
                                      <w:rPr>
                                        <w:rFonts w:hint="default" w:eastAsia="宋体"/>
                                        <w:lang w:val="en-US" w:eastAsia="zh-CN"/>
                                      </w:rPr>
                                    </w:pPr>
                                    <w:r>
                                      <w:rPr>
                                        <w:rFonts w:hint="eastAsia" w:eastAsia="宋体"/>
                                        <w:lang w:val="en-US" w:eastAsia="zh-CN"/>
                                      </w:rPr>
                                      <w:t>三次破碎</w:t>
                                    </w:r>
                                  </w:p>
                                </w:txbxContent>
                              </wps:txbx>
                              <wps:bodyPr vert="horz" wrap="square" anchor="t" anchorCtr="0" upright="1"/>
                            </wps:wsp>
                            <wps:wsp>
                              <wps:cNvPr id="42" name="直线 316"/>
                              <wps:cNvCnPr/>
                              <wps:spPr>
                                <a:xfrm>
                                  <a:off x="1427480" y="3646805"/>
                                  <a:ext cx="0" cy="241300"/>
                                </a:xfrm>
                                <a:prstGeom prst="line">
                                  <a:avLst/>
                                </a:prstGeom>
                                <a:ln w="9525" cap="flat" cmpd="sng">
                                  <a:solidFill>
                                    <a:srgbClr val="000000"/>
                                  </a:solidFill>
                                  <a:prstDash val="solid"/>
                                  <a:headEnd type="none" w="med" len="med"/>
                                  <a:tailEnd type="triangle" w="lg" len="med"/>
                                </a:ln>
                              </wps:spPr>
                              <wps:bodyPr upright="1"/>
                            </wps:wsp>
                            <wps:wsp>
                              <wps:cNvPr id="43" name="文本框 317"/>
                              <wps:cNvSpPr txBox="1"/>
                              <wps:spPr>
                                <a:xfrm>
                                  <a:off x="989330" y="3884930"/>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FF42A5">
                                    <w:pPr>
                                      <w:jc w:val="center"/>
                                      <w:rPr>
                                        <w:rFonts w:hint="default" w:eastAsia="宋体"/>
                                        <w:lang w:val="en-US" w:eastAsia="zh-CN"/>
                                      </w:rPr>
                                    </w:pPr>
                                    <w:r>
                                      <w:rPr>
                                        <w:rFonts w:hint="eastAsia" w:eastAsia="宋体"/>
                                        <w:lang w:val="en-US" w:eastAsia="zh-CN"/>
                                      </w:rPr>
                                      <w:t>打包</w:t>
                                    </w:r>
                                  </w:p>
                                </w:txbxContent>
                              </wps:txbx>
                              <wps:bodyPr vert="horz" wrap="square" anchor="t" anchorCtr="0" upright="1"/>
                            </wps:wsp>
                            <wps:wsp>
                              <wps:cNvPr id="44" name="直线 319"/>
                              <wps:cNvCnPr/>
                              <wps:spPr>
                                <a:xfrm>
                                  <a:off x="1875155" y="3494405"/>
                                  <a:ext cx="317500" cy="0"/>
                                </a:xfrm>
                                <a:prstGeom prst="line">
                                  <a:avLst/>
                                </a:prstGeom>
                                <a:ln w="9525" cap="flat" cmpd="sng">
                                  <a:solidFill>
                                    <a:srgbClr val="000000"/>
                                  </a:solidFill>
                                  <a:prstDash val="dash"/>
                                  <a:headEnd type="none" w="med" len="med"/>
                                  <a:tailEnd type="triangle" w="lg" len="med"/>
                                </a:ln>
                              </wps:spPr>
                              <wps:bodyPr upright="1"/>
                            </wps:wsp>
                            <wps:wsp>
                              <wps:cNvPr id="45" name="直线 320"/>
                              <wps:cNvCnPr/>
                              <wps:spPr>
                                <a:xfrm>
                                  <a:off x="1846580" y="2961005"/>
                                  <a:ext cx="317500" cy="0"/>
                                </a:xfrm>
                                <a:prstGeom prst="line">
                                  <a:avLst/>
                                </a:prstGeom>
                                <a:ln w="9525" cap="flat" cmpd="sng">
                                  <a:solidFill>
                                    <a:srgbClr val="000000"/>
                                  </a:solidFill>
                                  <a:prstDash val="dash"/>
                                  <a:headEnd type="none" w="med" len="med"/>
                                  <a:tailEnd type="triangle" w="lg" len="med"/>
                                </a:ln>
                              </wps:spPr>
                              <wps:bodyPr upright="1"/>
                            </wps:wsp>
                            <wps:wsp>
                              <wps:cNvPr id="46" name="直线 321"/>
                              <wps:cNvCnPr/>
                              <wps:spPr>
                                <a:xfrm>
                                  <a:off x="1856105" y="2418080"/>
                                  <a:ext cx="317500" cy="0"/>
                                </a:xfrm>
                                <a:prstGeom prst="line">
                                  <a:avLst/>
                                </a:prstGeom>
                                <a:ln w="9525" cap="flat" cmpd="sng">
                                  <a:solidFill>
                                    <a:srgbClr val="000000"/>
                                  </a:solidFill>
                                  <a:prstDash val="dash"/>
                                  <a:headEnd type="none" w="med" len="med"/>
                                  <a:tailEnd type="triangle" w="lg" len="med"/>
                                </a:ln>
                              </wps:spPr>
                              <wps:bodyPr upright="1"/>
                            </wps:wsp>
                            <wps:wsp>
                              <wps:cNvPr id="47" name="文本框 322"/>
                              <wps:cNvSpPr txBox="1"/>
                              <wps:spPr>
                                <a:xfrm>
                                  <a:off x="2094230" y="2818130"/>
                                  <a:ext cx="952500" cy="279400"/>
                                </a:xfrm>
                                <a:prstGeom prst="rect">
                                  <a:avLst/>
                                </a:prstGeom>
                                <a:noFill/>
                                <a:ln>
                                  <a:noFill/>
                                </a:ln>
                              </wps:spPr>
                              <wps:txbx>
                                <w:txbxContent>
                                  <w:p w14:paraId="18BDFF9D">
                                    <w:pPr>
                                      <w:rPr>
                                        <w:rFonts w:hint="default" w:eastAsia="宋体"/>
                                        <w:lang w:val="en-US" w:eastAsia="zh-CN"/>
                                      </w:rPr>
                                    </w:pPr>
                                    <w:r>
                                      <w:rPr>
                                        <w:rFonts w:hint="eastAsia"/>
                                        <w:lang w:val="en-US" w:eastAsia="zh-CN"/>
                                      </w:rPr>
                                      <w:t>颗粒物、固废</w:t>
                                    </w:r>
                                  </w:p>
                                </w:txbxContent>
                              </wps:txbx>
                              <wps:bodyPr vert="horz" wrap="square" anchor="t" anchorCtr="0" upright="1"/>
                            </wps:wsp>
                            <wps:wsp>
                              <wps:cNvPr id="48" name="文本框 323"/>
                              <wps:cNvSpPr txBox="1"/>
                              <wps:spPr>
                                <a:xfrm>
                                  <a:off x="2094230" y="2275205"/>
                                  <a:ext cx="939800" cy="279400"/>
                                </a:xfrm>
                                <a:prstGeom prst="rect">
                                  <a:avLst/>
                                </a:prstGeom>
                                <a:noFill/>
                                <a:ln>
                                  <a:noFill/>
                                </a:ln>
                              </wps:spPr>
                              <wps:txbx>
                                <w:txbxContent>
                                  <w:p w14:paraId="08E1C278">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49" name="文本框 324"/>
                              <wps:cNvSpPr txBox="1"/>
                              <wps:spPr>
                                <a:xfrm>
                                  <a:off x="2113280" y="3361055"/>
                                  <a:ext cx="939800" cy="279400"/>
                                </a:xfrm>
                                <a:prstGeom prst="rect">
                                  <a:avLst/>
                                </a:prstGeom>
                                <a:noFill/>
                                <a:ln>
                                  <a:noFill/>
                                </a:ln>
                              </wps:spPr>
                              <wps:txbx>
                                <w:txbxContent>
                                  <w:p w14:paraId="1B715D80">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50" name="直线 325"/>
                              <wps:cNvCnPr/>
                              <wps:spPr>
                                <a:xfrm>
                                  <a:off x="1837055" y="1903730"/>
                                  <a:ext cx="317500" cy="0"/>
                                </a:xfrm>
                                <a:prstGeom prst="line">
                                  <a:avLst/>
                                </a:prstGeom>
                                <a:ln w="9525" cap="flat" cmpd="sng">
                                  <a:solidFill>
                                    <a:srgbClr val="000000"/>
                                  </a:solidFill>
                                  <a:prstDash val="dash"/>
                                  <a:headEnd type="none" w="med" len="med"/>
                                  <a:tailEnd type="triangle" w="lg" len="med"/>
                                </a:ln>
                              </wps:spPr>
                              <wps:bodyPr upright="1"/>
                            </wps:wsp>
                            <wps:wsp>
                              <wps:cNvPr id="51" name="直线 326"/>
                              <wps:cNvCnPr/>
                              <wps:spPr>
                                <a:xfrm>
                                  <a:off x="1808480" y="1370330"/>
                                  <a:ext cx="317500" cy="0"/>
                                </a:xfrm>
                                <a:prstGeom prst="line">
                                  <a:avLst/>
                                </a:prstGeom>
                                <a:ln w="9525" cap="flat" cmpd="sng">
                                  <a:solidFill>
                                    <a:srgbClr val="000000"/>
                                  </a:solidFill>
                                  <a:prstDash val="dash"/>
                                  <a:headEnd type="none" w="med" len="med"/>
                                  <a:tailEnd type="triangle" w="lg" len="med"/>
                                </a:ln>
                              </wps:spPr>
                              <wps:bodyPr upright="1"/>
                            </wps:wsp>
                            <wps:wsp>
                              <wps:cNvPr id="52" name="直线 348"/>
                              <wps:cNvCnPr/>
                              <wps:spPr>
                                <a:xfrm>
                                  <a:off x="1903730" y="4027805"/>
                                  <a:ext cx="317500" cy="0"/>
                                </a:xfrm>
                                <a:prstGeom prst="line">
                                  <a:avLst/>
                                </a:prstGeom>
                                <a:ln w="9525" cap="flat" cmpd="sng">
                                  <a:solidFill>
                                    <a:srgbClr val="000000"/>
                                  </a:solidFill>
                                  <a:prstDash val="dash"/>
                                  <a:headEnd type="none" w="med" len="med"/>
                                  <a:tailEnd type="triangle" w="lg" len="med"/>
                                </a:ln>
                              </wps:spPr>
                              <wps:bodyPr upright="1"/>
                            </wps:wsp>
                            <wps:wsp>
                              <wps:cNvPr id="53" name="文本框 349"/>
                              <wps:cNvSpPr txBox="1"/>
                              <wps:spPr>
                                <a:xfrm>
                                  <a:off x="2141855" y="3894455"/>
                                  <a:ext cx="644525" cy="279400"/>
                                </a:xfrm>
                                <a:prstGeom prst="rect">
                                  <a:avLst/>
                                </a:prstGeom>
                                <a:noFill/>
                                <a:ln>
                                  <a:noFill/>
                                </a:ln>
                              </wps:spPr>
                              <wps:txbx>
                                <w:txbxContent>
                                  <w:p w14:paraId="2F8BB8A7">
                                    <w:pPr>
                                      <w:rPr>
                                        <w:rFonts w:hint="default" w:eastAsia="宋体"/>
                                        <w:highlight w:val="none"/>
                                        <w:lang w:val="en-US" w:eastAsia="zh-CN"/>
                                      </w:rPr>
                                    </w:pPr>
                                    <w:r>
                                      <w:rPr>
                                        <w:rFonts w:hint="eastAsia"/>
                                        <w:highlight w:val="none"/>
                                        <w:lang w:val="en-US" w:eastAsia="zh-CN"/>
                                      </w:rPr>
                                      <w:t>颗粒物</w:t>
                                    </w:r>
                                  </w:p>
                                </w:txbxContent>
                              </wps:txbx>
                              <wps:bodyPr vert="horz" wrap="square" anchor="t" anchorCtr="0" upright="1"/>
                            </wps:wsp>
                            <wps:wsp>
                              <wps:cNvPr id="54" name="直线 350"/>
                              <wps:cNvCnPr/>
                              <wps:spPr>
                                <a:xfrm>
                                  <a:off x="1818005" y="789305"/>
                                  <a:ext cx="317500" cy="0"/>
                                </a:xfrm>
                                <a:prstGeom prst="line">
                                  <a:avLst/>
                                </a:prstGeom>
                                <a:ln w="9525" cap="flat" cmpd="sng">
                                  <a:solidFill>
                                    <a:srgbClr val="000000"/>
                                  </a:solidFill>
                                  <a:prstDash val="dash"/>
                                  <a:headEnd type="none" w="med" len="med"/>
                                  <a:tailEnd type="triangle" w="lg" len="med"/>
                                </a:ln>
                              </wps:spPr>
                              <wps:bodyPr upright="1"/>
                            </wps:wsp>
                            <wps:wsp>
                              <wps:cNvPr id="55" name="文本框 351"/>
                              <wps:cNvSpPr txBox="1"/>
                              <wps:spPr>
                                <a:xfrm>
                                  <a:off x="2056130" y="665480"/>
                                  <a:ext cx="989330" cy="279400"/>
                                </a:xfrm>
                                <a:prstGeom prst="rect">
                                  <a:avLst/>
                                </a:prstGeom>
                                <a:noFill/>
                                <a:ln>
                                  <a:noFill/>
                                </a:ln>
                              </wps:spPr>
                              <wps:txbx>
                                <w:txbxContent>
                                  <w:p w14:paraId="655E3E8F">
                                    <w:pPr>
                                      <w:rPr>
                                        <w:rFonts w:hint="default" w:eastAsia="宋体"/>
                                        <w:lang w:val="en-US" w:eastAsia="zh-CN"/>
                                      </w:rPr>
                                    </w:pPr>
                                    <w:r>
                                      <w:rPr>
                                        <w:rFonts w:hint="eastAsia"/>
                                        <w:color w:val="auto"/>
                                        <w:highlight w:val="none"/>
                                        <w:lang w:val="en-US" w:eastAsia="zh-CN"/>
                                      </w:rPr>
                                      <w:t>颗粒物</w:t>
                                    </w:r>
                                    <w:r>
                                      <w:rPr>
                                        <w:rFonts w:hint="eastAsia"/>
                                        <w:lang w:val="en-US" w:eastAsia="zh-CN"/>
                                      </w:rPr>
                                      <w:t>、噪声</w:t>
                                    </w:r>
                                  </w:p>
                                </w:txbxContent>
                              </wps:txbx>
                              <wps:bodyPr vert="horz" wrap="square" anchor="t" anchorCtr="0" upright="1"/>
                            </wps:wsp>
                          </wpc:wpc>
                        </a:graphicData>
                      </a:graphic>
                    </wp:inline>
                  </w:drawing>
                </mc:Choice>
                <mc:Fallback>
                  <w:pict>
                    <v:group id="画布 242" o:spid="_x0000_s1026" o:spt="203" style="height:332.25pt;width:294.15pt;" coordsize="3735705,4219575" editas="canvas" o:gfxdata="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">
                      <o:lock v:ext="edit" aspectratio="f"/>
                      <v:shape id="画布 242" o:spid="_x0000_s1026" style="position:absolute;left:0;top:0;height:4219575;width:3735705;" filled="f" stroked="f" coordsize="21600,21600" o:gfxdata="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">
                        <v:fill on="f" focussize="0,0"/>
                        <v:stroke on="f"/>
                        <v:imagedata o:title=""/>
                        <o:lock v:ext="edit" aspectratio="f"/>
                      </v:shape>
                      <v:shape id="文本框 244" o:spid="_x0000_s1026" o:spt="202" type="#_x0000_t202" style="position:absolute;left:789305;top:0;height:379730;width:1715135;" fillcolor="#FFFFFF" filled="t" stroked="f" coordsize="21600,21600" o:gfxdata="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NMWBNUA&#10;AAAFAQAADwAAAAAAAAABACAAAAAiAAAAZHJzL2Rvd25yZXYueG1sUEsBAhQAFAAAAAgAh07iQLOw&#10;uiTpAQAAsgMAAA4AAAAAAAAAAQAgAAAAJAEAAGRycy9lMm9Eb2MueG1sUEsFBgAAAAAGAAYAWQEA&#10;AH8FAAAAAA==&#10;">
                        <v:fill on="t" focussize="0,0"/>
                        <v:stroke on="f"/>
                        <v:imagedata o:title=""/>
                        <o:lock v:ext="edit" aspectratio="f"/>
                        <v:textbox>
                          <w:txbxContent>
                            <w:p w14:paraId="7DCCA5F3">
                              <w:pPr>
                                <w:rPr>
                                  <w:rFonts w:hint="default" w:cs="Times New Roman"/>
                                  <w:lang w:val="en-US" w:eastAsia="zh-CN"/>
                                </w:rPr>
                              </w:pPr>
                              <w:r>
                                <w:rPr>
                                  <w:rFonts w:hint="default" w:cs="Times New Roman"/>
                                  <w:lang w:val="en-GB" w:eastAsia="zh-CN"/>
                                </w:rPr>
                                <w:t>一般固废</w:t>
                              </w:r>
                              <w:r>
                                <w:rPr>
                                  <w:rFonts w:hint="eastAsia" w:cs="Times New Roman"/>
                                  <w:lang w:val="en-US" w:eastAsia="zh-CN"/>
                                </w:rPr>
                                <w:t>运输回厂</w:t>
                              </w:r>
                            </w:p>
                          </w:txbxContent>
                        </v:textbox>
                      </v:shape>
                      <v:shape id="文本框 245" o:spid="_x0000_s1026" o:spt="202" type="#_x0000_t202" style="position:absolute;left:873760;top:648335;height:279400;width:935356;"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2mFEz1gAAAAUBAAAPAAAAAAAAAAEAIAAAACIAAABkcnMvZG93bnJl&#10;di54bWxQSwECFAAUAAAACACHTuJArtAN5DgCAAB1BAAADgAAAAAAAAABACAAAAAlAQAAZHJzL2Uy&#10;b0RvYy54bWxQSwUGAAAAAAYABgBZAQAAzwUAAAAA&#10;">
                        <v:fill on="t" focussize="0,0"/>
                        <v:stroke color="#000000" joinstyle="miter"/>
                        <v:imagedata o:title=""/>
                        <o:lock v:ext="edit" aspectratio="f"/>
                        <v:textbox>
                          <w:txbxContent>
                            <w:p w14:paraId="3027B54E">
                              <w:pPr>
                                <w:jc w:val="center"/>
                                <w:rPr>
                                  <w:rFonts w:hint="default" w:eastAsia="宋体"/>
                                  <w:lang w:val="en-US" w:eastAsia="zh-CN"/>
                                </w:rPr>
                              </w:pPr>
                              <w:r>
                                <w:rPr>
                                  <w:rFonts w:hint="eastAsia" w:eastAsia="宋体"/>
                                  <w:lang w:val="en-US" w:eastAsia="zh-CN"/>
                                </w:rPr>
                                <w:t>上料</w:t>
                              </w:r>
                            </w:p>
                          </w:txbxContent>
                        </v:textbox>
                      </v:shape>
                      <v:shape id="文本框 246" o:spid="_x0000_s1026" o:spt="202" type="#_x0000_t202" style="position:absolute;left:891540;top:1221105;height:279400;width:91948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phRM9YAAAAFAQAADwAAAAAAAAABACAAAAAiAAAAZHJzL2Rvd25yZXYu&#10;eG1sUEsBAhQAFAAAAAgAh07iQNIdbhA2AgAAdgQAAA4AAAAAAAAAAQAgAAAAJQEAAGRycy9lMm9E&#10;b2MueG1sUEsFBgAAAAAGAAYAWQEAAM0FAAAAAA==&#10;">
                        <v:fill on="t" focussize="0,0"/>
                        <v:stroke color="#000000" joinstyle="miter"/>
                        <v:imagedata o:title=""/>
                        <o:lock v:ext="edit" aspectratio="f"/>
                        <v:textbox>
                          <w:txbxContent>
                            <w:p w14:paraId="2881F268">
                              <w:pPr>
                                <w:jc w:val="center"/>
                                <w:rPr>
                                  <w:rFonts w:hint="default" w:eastAsia="宋体"/>
                                  <w:lang w:val="en-US" w:eastAsia="zh-CN"/>
                                </w:rPr>
                              </w:pPr>
                              <w:r>
                                <w:rPr>
                                  <w:rFonts w:hint="eastAsia" w:eastAsia="宋体"/>
                                  <w:lang w:val="en-US" w:eastAsia="zh-CN"/>
                                </w:rPr>
                                <w:t>一次破碎</w:t>
                              </w:r>
                            </w:p>
                          </w:txbxContent>
                        </v:textbox>
                      </v:shape>
                      <v:shape id="文本框 247" o:spid="_x0000_s1026" o:spt="202" type="#_x0000_t202" style="position:absolute;left:901700;top:1754505;height:269875;width:921385;"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phRM9YAAAAFAQAADwAAAAAAAAABACAAAAAiAAAAZHJzL2Rvd25yZXYu&#10;eG1sUEsBAhQAFAAAAAgAh07iQJduc302AgAAdgQAAA4AAAAAAAAAAQAgAAAAJQEAAGRycy9lMm9E&#10;b2MueG1sUEsFBgAAAAAGAAYAWQEAAM0FAAAAAA==&#10;">
                        <v:fill on="t" focussize="0,0"/>
                        <v:stroke color="#000000" joinstyle="miter"/>
                        <v:imagedata o:title=""/>
                        <o:lock v:ext="edit" aspectratio="f"/>
                        <v:textbox>
                          <w:txbxContent>
                            <w:p w14:paraId="1F194F23">
                              <w:pPr>
                                <w:jc w:val="center"/>
                                <w:rPr>
                                  <w:rFonts w:hint="default" w:eastAsia="宋体"/>
                                  <w:lang w:val="en-US" w:eastAsia="zh-CN"/>
                                </w:rPr>
                              </w:pPr>
                              <w:r>
                                <w:rPr>
                                  <w:rFonts w:hint="eastAsia"/>
                                  <w:lang w:val="en-US" w:eastAsia="zh-CN"/>
                                </w:rPr>
                                <w:t>磁选</w:t>
                              </w:r>
                            </w:p>
                          </w:txbxContent>
                        </v:textbox>
                      </v:shape>
                      <v:line id="直线 252" o:spid="_x0000_s1026" o:spt="20" style="position:absolute;left:1363980;top:258445;flip:x;height:386715;width:635;" filled="f" stroked="t" coordsize="21600,21600" o:gfxdata="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ygyhHWAAAABQEAAA8AAAAAAAAAAQAgAAAAIgAA&#10;AGRycy9kb3ducmV2LnhtbFBLAQIUABQAAAAIAIdO4kAeWSP0CgIAAPcDAAAOAAAAAAAAAAEAIAAA&#10;ACUBAABkcnMvZTJvRG9jLnhtbFBLBQYAAAAABgAGAFkBAAChBQAAAAA=&#10;">
                        <v:fill on="f" focussize="0,0"/>
                        <v:stroke color="#000000" joinstyle="round" endarrow="block" endarrowwidth="wide"/>
                        <v:imagedata o:title=""/>
                        <o:lock v:ext="edit" aspectratio="f"/>
                      </v:line>
                      <v:shape id="文本框 260" o:spid="_x0000_s1026" o:spt="202" type="#_x0000_t202" style="position:absolute;left:2043430;top:1223010;height:279400;width:921385;"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asNjtQAAAAFAQAADwAAAAAAAAABACAA&#10;AAAiAAAAZHJzL2Rvd25yZXYueG1sUEsBAhQAFAAAAAgAh07iQFhWTKfYAQAAjwMAAA4AAAAAAAAA&#10;AQAgAAAAIwEAAGRycy9lMm9Eb2MueG1sUEsFBgAAAAAGAAYAWQEAAG0FAAAAAA==&#10;">
                        <v:fill on="f" focussize="0,0"/>
                        <v:stroke on="f"/>
                        <v:imagedata o:title=""/>
                        <o:lock v:ext="edit" aspectratio="f"/>
                        <v:textbox>
                          <w:txbxContent>
                            <w:p w14:paraId="65502BD0">
                              <w:pPr>
                                <w:rPr>
                                  <w:rFonts w:hint="default" w:eastAsia="宋体"/>
                                  <w:lang w:val="en-US" w:eastAsia="zh-CN"/>
                                </w:rPr>
                              </w:pPr>
                              <w:r>
                                <w:rPr>
                                  <w:rFonts w:hint="eastAsia"/>
                                  <w:lang w:val="en-US" w:eastAsia="zh-CN"/>
                                </w:rPr>
                                <w:t>颗粒物、噪声</w:t>
                              </w:r>
                            </w:p>
                          </w:txbxContent>
                        </v:textbox>
                      </v:shape>
                      <v:line id="直线 261" o:spid="_x0000_s1026" o:spt="20" style="position:absolute;left:1360805;top:941705;height:263525;width:635;"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JoWoe1gAAAAUBAAAPAAAAAAAAAAEAIAAAACIAAABkcnMvZG93bnJldi54&#10;bWxQSwECFAAUAAAACACHTuJAX9MS3/wBAADtAwAADgAAAAAAAAABACAAAAAlAQAAZHJzL2Uyb0Rv&#10;Yy54bWxQSwUGAAAAAAYABgBZAQAAkwUAAAAA&#10;">
                        <v:fill on="f" focussize="0,0"/>
                        <v:stroke color="#000000" joinstyle="round" endarrow="block" endarrowwidth="wide"/>
                        <v:imagedata o:title=""/>
                        <o:lock v:ext="edit" aspectratio="f"/>
                      </v:line>
                      <v:shape id="文本框 274" o:spid="_x0000_s1026" o:spt="202" type="#_x0000_t202" style="position:absolute;left:2065655;top:1760855;height:279400;width:53213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WrDY7UAAAABQEAAA8AAAAAAAAAAQAg&#10;AAAAIgAAAGRycy9kb3ducmV2LnhtbFBLAQIUABQAAAAIAIdO4kDCSdM32QEAAI8DAAAOAAAAAAAA&#10;AAEAIAAAACMBAABkcnMvZTJvRG9jLnhtbFBLBQYAAAAABgAGAFkBAABuBQAAAAA=&#10;">
                        <v:fill on="f" focussize="0,0"/>
                        <v:stroke on="f"/>
                        <v:imagedata o:title=""/>
                        <o:lock v:ext="edit" aspectratio="f"/>
                        <v:textbox>
                          <w:txbxContent>
                            <w:p w14:paraId="12EB685B">
                              <w:pPr>
                                <w:rPr>
                                  <w:rFonts w:hint="default" w:eastAsia="宋体"/>
                                  <w:lang w:val="en-US" w:eastAsia="zh-CN"/>
                                </w:rPr>
                              </w:pPr>
                              <w:r>
                                <w:rPr>
                                  <w:rFonts w:hint="eastAsia"/>
                                  <w:lang w:val="en-US" w:eastAsia="zh-CN"/>
                                </w:rPr>
                                <w:t>固废</w:t>
                              </w:r>
                            </w:p>
                          </w:txbxContent>
                        </v:textbox>
                      </v:shape>
                      <v:line id="直线 308" o:spid="_x0000_s1026" o:spt="20" style="position:absolute;left:1351280;top:1503680;height:2540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oWoe1gAAAAUBAAAPAAAAAAAAAAEAIAAAACIAAABkcnMvZG93bnJl&#10;di54bWxQSwECFAAUAAAACACHTuJAkt1NTv8BAADsAwAADgAAAAAAAAABACAAAAAlAQAAZHJzL2Uy&#10;b0RvYy54bWxQSwUGAAAAAAYABgBZAQAAlgUAAAAA&#10;">
                        <v:fill on="f" focussize="0,0"/>
                        <v:stroke color="#000000" joinstyle="round" endarrow="block" endarrowwidth="wide"/>
                        <v:imagedata o:title=""/>
                        <o:lock v:ext="edit" aspectratio="f"/>
                      </v:line>
                      <v:line id="直线 310" o:spid="_x0000_s1026" o:spt="20" style="position:absolute;left:1360805;top:2027555;height:2540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aFqHtYAAAAFAQAADwAAAAAAAAABACAAAAAiAAAAZHJzL2Rvd25y&#10;ZXYueG1sUEsBAhQAFAAAAAgAh07iQPFlTPgAAgAA7AMAAA4AAAAAAAAAAQAgAAAAJQEAAGRycy9l&#10;Mm9Eb2MueG1sUEsFBgAAAAAGAAYAWQEAAJcFAAAAAA==&#10;">
                        <v:fill on="f" focussize="0,0"/>
                        <v:stroke color="#000000" joinstyle="round" endarrow="block" endarrowwidth="wide"/>
                        <v:imagedata o:title=""/>
                        <o:lock v:ext="edit" aspectratio="f"/>
                      </v:line>
                      <v:shape id="文本框 311" o:spid="_x0000_s1026" o:spt="202" type="#_x0000_t202" style="position:absolute;left:941705;top:2275205;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2mFEz1gAAAAUBAAAPAAAAAAAAAAEAIAAAACIAAABkcnMvZG93bnJldi54bWxQ&#10;SwECFAAUAAAACACHTuJAn1ru3TICAAB2BAAADgAAAAAAAAABACAAAAAlAQAAZHJzL2Uyb0RvYy54&#10;bWxQSwUGAAAAAAYABgBZAQAAyQUAAAAA&#10;">
                        <v:fill on="t" focussize="0,0"/>
                        <v:stroke color="#000000" joinstyle="miter"/>
                        <v:imagedata o:title=""/>
                        <o:lock v:ext="edit" aspectratio="f"/>
                        <v:textbox>
                          <w:txbxContent>
                            <w:p w14:paraId="4E3A5FAE">
                              <w:pPr>
                                <w:jc w:val="center"/>
                                <w:rPr>
                                  <w:rFonts w:hint="default" w:eastAsia="宋体"/>
                                  <w:lang w:val="en-US" w:eastAsia="zh-CN"/>
                                </w:rPr>
                              </w:pPr>
                              <w:r>
                                <w:rPr>
                                  <w:rFonts w:hint="eastAsia" w:eastAsia="宋体"/>
                                  <w:lang w:val="en-US" w:eastAsia="zh-CN"/>
                                </w:rPr>
                                <w:t>二次破碎</w:t>
                              </w:r>
                            </w:p>
                          </w:txbxContent>
                        </v:textbox>
                      </v:shape>
                      <v:line id="直线 312" o:spid="_x0000_s1026" o:spt="20" style="position:absolute;left:1389380;top:2570480;height:2413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oWoe1gAAAAUBAAAPAAAAAAAAAAEAIAAAACIAAABkcnMvZG93bnJl&#10;di54bWxQSwECFAAUAAAACACHTuJAUZ2nhf8BAADsAwAADgAAAAAAAAABACAAAAAlAQAAZHJzL2Uy&#10;b0RvYy54bWxQSwUGAAAAAAYABgBZAQAAlgUAAAAA&#10;">
                        <v:fill on="f" focussize="0,0"/>
                        <v:stroke color="#000000" joinstyle="round" endarrow="block" endarrowwidth="wide"/>
                        <v:imagedata o:title=""/>
                        <o:lock v:ext="edit" aspectratio="f"/>
                      </v:line>
                      <v:shape id="文本框 313" o:spid="_x0000_s1026" o:spt="202" type="#_x0000_t202" style="position:absolute;left:951230;top:2808605;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aYUTPWAAAABQEAAA8AAAAAAAAAAQAgAAAAIgAAAGRycy9kb3ducmV2Lnht&#10;bFBLAQIUABQAAAAIAIdO4kBns3NiNAIAAHYEAAAOAAAAAAAAAAEAIAAAACUBAABkcnMvZTJvRG9j&#10;LnhtbFBLBQYAAAAABgAGAFkBAADLBQAAAAA=&#10;">
                        <v:fill on="t" focussize="0,0"/>
                        <v:stroke color="#000000" joinstyle="miter"/>
                        <v:imagedata o:title=""/>
                        <o:lock v:ext="edit" aspectratio="f"/>
                        <v:textbox>
                          <w:txbxContent>
                            <w:p w14:paraId="545C6E11">
                              <w:pPr>
                                <w:jc w:val="center"/>
                                <w:rPr>
                                  <w:rFonts w:hint="default" w:eastAsia="宋体"/>
                                  <w:lang w:val="en-US" w:eastAsia="zh-CN"/>
                                </w:rPr>
                              </w:pPr>
                              <w:r>
                                <w:rPr>
                                  <w:rFonts w:hint="eastAsia" w:eastAsia="宋体"/>
                                  <w:lang w:val="en-US" w:eastAsia="zh-CN"/>
                                </w:rPr>
                                <w:t>磁选</w:t>
                              </w:r>
                            </w:p>
                          </w:txbxContent>
                        </v:textbox>
                      </v:shape>
                      <v:line id="直线 314" o:spid="_x0000_s1026" o:spt="20" style="position:absolute;left:1408430;top:3113405;height:2413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mhah7WAAAABQEAAA8AAAAAAAAAAQAgAAAAIgAAAGRycy9kb3du&#10;cmV2LnhtbFBLAQIUABQAAAAIAIdO4kCDw9qnAQIAAOwDAAAOAAAAAAAAAAEAIAAAACUBAABkcnMv&#10;ZTJvRG9jLnhtbFBLBQYAAAAABgAGAFkBAACYBQAAAAA=&#10;">
                        <v:fill on="f" focussize="0,0"/>
                        <v:stroke color="#000000" joinstyle="round" endarrow="block" endarrowwidth="wide"/>
                        <v:imagedata o:title=""/>
                        <o:lock v:ext="edit" aspectratio="f"/>
                      </v:line>
                      <v:shape id="文本框 315" o:spid="_x0000_s1026" o:spt="202" type="#_x0000_t202" style="position:absolute;left:979805;top:3351530;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phRM9YAAAAFAQAADwAAAAAAAAABACAAAAAiAAAAZHJzL2Rvd25yZXYu&#10;eG1sUEsBAhQAFAAAAAgAh07iQILIJ182AgAAdgQAAA4AAAAAAAAAAQAgAAAAJQEAAGRycy9lMm9E&#10;b2MueG1sUEsFBgAAAAAGAAYAWQEAAM0FAAAAAA==&#10;">
                        <v:fill on="t" focussize="0,0"/>
                        <v:stroke color="#000000" joinstyle="miter"/>
                        <v:imagedata o:title=""/>
                        <o:lock v:ext="edit" aspectratio="f"/>
                        <v:textbox>
                          <w:txbxContent>
                            <w:p w14:paraId="503D73E3">
                              <w:pPr>
                                <w:jc w:val="center"/>
                                <w:rPr>
                                  <w:rFonts w:hint="default" w:eastAsia="宋体"/>
                                  <w:lang w:val="en-US" w:eastAsia="zh-CN"/>
                                </w:rPr>
                              </w:pPr>
                              <w:r>
                                <w:rPr>
                                  <w:rFonts w:hint="eastAsia" w:eastAsia="宋体"/>
                                  <w:lang w:val="en-US" w:eastAsia="zh-CN"/>
                                </w:rPr>
                                <w:t>三次破碎</w:t>
                              </w:r>
                            </w:p>
                          </w:txbxContent>
                        </v:textbox>
                      </v:shape>
                      <v:line id="直线 316" o:spid="_x0000_s1026" o:spt="20" style="position:absolute;left:1427480;top:3646805;height:2413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JoWoe1gAAAAUBAAAPAAAAAAAAAAEAIAAAACIAAABkcnMvZG93&#10;bnJldi54bWxQSwECFAAUAAAACACHTuJAr3BGBAICAADsAwAADgAAAAAAAAABACAAAAAlAQAAZHJz&#10;L2Uyb0RvYy54bWxQSwUGAAAAAAYABgBZAQAAmQUAAAAA&#10;">
                        <v:fill on="f" focussize="0,0"/>
                        <v:stroke color="#000000" joinstyle="round" endarrow="block" endarrowwidth="wide"/>
                        <v:imagedata o:title=""/>
                        <o:lock v:ext="edit" aspectratio="f"/>
                      </v:line>
                      <v:shape id="文本框 317" o:spid="_x0000_s1026" o:spt="202" type="#_x0000_t202" style="position:absolute;left:989330;top:3884930;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aYUTPWAAAABQEAAA8AAAAAAAAAAQAgAAAAIgAAAGRycy9kb3ducmV2Lnht&#10;bFBLAQIUABQAAAAIAIdO4kCD97SQNAIAAHYEAAAOAAAAAAAAAAEAIAAAACUBAABkcnMvZTJvRG9j&#10;LnhtbFBLBQYAAAAABgAGAFkBAADLBQAAAAA=&#10;">
                        <v:fill on="t" focussize="0,0"/>
                        <v:stroke color="#000000" joinstyle="miter"/>
                        <v:imagedata o:title=""/>
                        <o:lock v:ext="edit" aspectratio="f"/>
                        <v:textbox>
                          <w:txbxContent>
                            <w:p w14:paraId="20FF42A5">
                              <w:pPr>
                                <w:jc w:val="center"/>
                                <w:rPr>
                                  <w:rFonts w:hint="default" w:eastAsia="宋体"/>
                                  <w:lang w:val="en-US" w:eastAsia="zh-CN"/>
                                </w:rPr>
                              </w:pPr>
                              <w:r>
                                <w:rPr>
                                  <w:rFonts w:hint="eastAsia" w:eastAsia="宋体"/>
                                  <w:lang w:val="en-US" w:eastAsia="zh-CN"/>
                                </w:rPr>
                                <w:t>打包</w:t>
                              </w:r>
                            </w:p>
                          </w:txbxContent>
                        </v:textbox>
                      </v:shape>
                      <v:line id="直线 319" o:spid="_x0000_s1026" o:spt="20" style="position:absolute;left:1875155;top:34944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oNH/1QAAAAUBAAAPAAAAAAAAAAEAIAAAACIAAABkcnMvZG93&#10;bnJldi54bWxQSwECFAAUAAAACACHTuJA8nsZMAMCAADrAwAADgAAAAAAAAABACAAAAAkAQAAZHJz&#10;L2Uyb0RvYy54bWxQSwUGAAAAAAYABgBZAQAAmQUAAAAA&#10;">
                        <v:fill on="f" focussize="0,0"/>
                        <v:stroke color="#000000" joinstyle="round" dashstyle="dash" endarrow="block" endarrowwidth="wide"/>
                        <v:imagedata o:title=""/>
                        <o:lock v:ext="edit" aspectratio="f"/>
                      </v:line>
                      <v:line id="直线 320" o:spid="_x0000_s1026" o:spt="20" style="position:absolute;left:1846580;top:29610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qDR/9UAAAAFAQAADwAAAAAAAAABACAAAAAiAAAAZHJzL2Rvd25y&#10;ZXYueG1sUEsBAhQAFAAAAAgAh07iQN0Nyr0BAgAA6wMAAA4AAAAAAAAAAQAgAAAAJAEAAGRycy9l&#10;Mm9Eb2MueG1sUEsFBgAAAAAGAAYAWQEAAJcFAAAAAA==&#10;">
                        <v:fill on="f" focussize="0,0"/>
                        <v:stroke color="#000000" joinstyle="round" dashstyle="dash" endarrow="block" endarrowwidth="wide"/>
                        <v:imagedata o:title=""/>
                        <o:lock v:ext="edit" aspectratio="f"/>
                      </v:line>
                      <v:line id="直线 321" o:spid="_x0000_s1026" o:spt="20" style="position:absolute;left:1856105;top:2418080;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qDR/9UAAAAFAQAADwAAAAAAAAABACAAAAAiAAAAZHJzL2Rvd25y&#10;ZXYueG1sUEsBAhQAFAAAAAgAh07iQA39vQUBAgAA6wMAAA4AAAAAAAAAAQAgAAAAJAEAAGRycy9l&#10;Mm9Eb2MueG1sUEsFBgAAAAAGAAYAWQEAAJcFAAAAAA==&#10;">
                        <v:fill on="f" focussize="0,0"/>
                        <v:stroke color="#000000" joinstyle="round" dashstyle="dash" endarrow="block" endarrowwidth="wide"/>
                        <v:imagedata o:title=""/>
                        <o:lock v:ext="edit" aspectratio="f"/>
                      </v:line>
                      <v:shape id="文本框 322" o:spid="_x0000_s1026" o:spt="202" type="#_x0000_t202" style="position:absolute;left:2094230;top:2818130;height:279400;width:95250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Fqw2O1AAAAAUBAAAPAAAAAAAAAAEAIAAA&#10;ACIAAABkcnMvZG93bnJldi54bWxQSwECFAAUAAAACACHTuJAzj8cKtcBAACPAwAADgAAAAAAAAAB&#10;ACAAAAAjAQAAZHJzL2Uyb0RvYy54bWxQSwUGAAAAAAYABgBZAQAAbAUAAAAA&#10;">
                        <v:fill on="f" focussize="0,0"/>
                        <v:stroke on="f"/>
                        <v:imagedata o:title=""/>
                        <o:lock v:ext="edit" aspectratio="f"/>
                        <v:textbox>
                          <w:txbxContent>
                            <w:p w14:paraId="18BDFF9D">
                              <w:pPr>
                                <w:rPr>
                                  <w:rFonts w:hint="default" w:eastAsia="宋体"/>
                                  <w:lang w:val="en-US" w:eastAsia="zh-CN"/>
                                </w:rPr>
                              </w:pPr>
                              <w:r>
                                <w:rPr>
                                  <w:rFonts w:hint="eastAsia"/>
                                  <w:lang w:val="en-US" w:eastAsia="zh-CN"/>
                                </w:rPr>
                                <w:t>颗粒物、固废</w:t>
                              </w:r>
                            </w:p>
                          </w:txbxContent>
                        </v:textbox>
                      </v:shape>
                      <v:shape id="文本框 323" o:spid="_x0000_s1026" o:spt="202" type="#_x0000_t202" style="position:absolute;left:2094230;top:2275205;height:279400;width:93980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asNjtQAAAAFAQAADwAAAAAAAAABACAA&#10;AAAiAAAAZHJzL2Rvd25yZXYueG1sUEsBAhQAFAAAAAgAh07iQLTjDijYAQAAjwMAAA4AAAAAAAAA&#10;AQAgAAAAIwEAAGRycy9lMm9Eb2MueG1sUEsFBgAAAAAGAAYAWQEAAG0FAAAAAA==&#10;">
                        <v:fill on="f" focussize="0,0"/>
                        <v:stroke on="f"/>
                        <v:imagedata o:title=""/>
                        <o:lock v:ext="edit" aspectratio="f"/>
                        <v:textbox>
                          <w:txbxContent>
                            <w:p w14:paraId="08E1C278">
                              <w:pPr>
                                <w:rPr>
                                  <w:rFonts w:hint="default" w:eastAsia="宋体"/>
                                  <w:lang w:val="en-US" w:eastAsia="zh-CN"/>
                                </w:rPr>
                              </w:pPr>
                              <w:r>
                                <w:rPr>
                                  <w:rFonts w:hint="eastAsia"/>
                                  <w:lang w:val="en-US" w:eastAsia="zh-CN"/>
                                </w:rPr>
                                <w:t>颗粒物、噪声</w:t>
                              </w:r>
                            </w:p>
                          </w:txbxContent>
                        </v:textbox>
                      </v:shape>
                      <v:shape id="文本框 324" o:spid="_x0000_s1026" o:spt="202" type="#_x0000_t202" style="position:absolute;left:2113280;top:3361055;height:279400;width:93980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WrDY7UAAAABQEAAA8AAAAAAAAAAQAg&#10;AAAAIgAAAGRycy9kb3ducmV2LnhtbFBLAQIUABQAAAAIAIdO4kDfeBg32QEAAI8DAAAOAAAAAAAA&#10;AAEAIAAAACMBAABkcnMvZTJvRG9jLnhtbFBLBQYAAAAABgAGAFkBAABuBQAAAAA=&#10;">
                        <v:fill on="f" focussize="0,0"/>
                        <v:stroke on="f"/>
                        <v:imagedata o:title=""/>
                        <o:lock v:ext="edit" aspectratio="f"/>
                        <v:textbox>
                          <w:txbxContent>
                            <w:p w14:paraId="1B715D80">
                              <w:pPr>
                                <w:rPr>
                                  <w:rFonts w:hint="default" w:eastAsia="宋体"/>
                                  <w:lang w:val="en-US" w:eastAsia="zh-CN"/>
                                </w:rPr>
                              </w:pPr>
                              <w:r>
                                <w:rPr>
                                  <w:rFonts w:hint="eastAsia"/>
                                  <w:lang w:val="en-US" w:eastAsia="zh-CN"/>
                                </w:rPr>
                                <w:t>颗粒物、噪声</w:t>
                              </w:r>
                            </w:p>
                          </w:txbxContent>
                        </v:textbox>
                      </v:shape>
                      <v:line id="直线 325" o:spid="_x0000_s1026" o:spt="20" style="position:absolute;left:1837055;top:1903730;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KoNH/1QAAAAUBAAAPAAAAAAAAAAEAIAAAACIAAABkcnMvZG93bnJl&#10;di54bWxQSwECFAAUAAAACACHTuJA5p/DogACAADrAwAADgAAAAAAAAABACAAAAAkAQAAZHJzL2Uy&#10;b0RvYy54bWxQSwUGAAAAAAYABgBZAQAAlgUAAAAA&#10;">
                        <v:fill on="f" focussize="0,0"/>
                        <v:stroke color="#000000" joinstyle="round" dashstyle="dash" endarrow="block" endarrowwidth="wide"/>
                        <v:imagedata o:title=""/>
                        <o:lock v:ext="edit" aspectratio="f"/>
                      </v:line>
                      <v:line id="直线 326" o:spid="_x0000_s1026" o:spt="20" style="position:absolute;left:1808480;top:1370330;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qDR/9UAAAAFAQAADwAAAAAAAAABACAAAAAiAAAAZHJzL2Rvd25y&#10;ZXYueG1sUEsBAhQAFAAAAAgAh07iQBvw3LkBAgAA6wMAAA4AAAAAAAAAAQAgAAAAJAEAAGRycy9l&#10;Mm9Eb2MueG1sUEsFBgAAAAAGAAYAWQEAAJcFAAAAAA==&#10;">
                        <v:fill on="f" focussize="0,0"/>
                        <v:stroke color="#000000" joinstyle="round" dashstyle="dash" endarrow="block" endarrowwidth="wide"/>
                        <v:imagedata o:title=""/>
                        <o:lock v:ext="edit" aspectratio="f"/>
                      </v:line>
                      <v:line id="直线 348" o:spid="_x0000_s1026" o:spt="20" style="position:absolute;left:1903730;top:40278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oNH/1QAAAAUBAAAPAAAAAAAAAAEAIAAAACIAAABkcnMvZG93&#10;bnJldi54bWxQSwECFAAUAAAACACHTuJADWJ3MAMCAADrAwAADgAAAAAAAAABACAAAAAkAQAAZHJz&#10;L2Uyb0RvYy54bWxQSwUGAAAAAAYABgBZAQAAmQUAAAAA&#10;">
                        <v:fill on="f" focussize="0,0"/>
                        <v:stroke color="#000000" joinstyle="round" dashstyle="dash" endarrow="block" endarrowwidth="wide"/>
                        <v:imagedata o:title=""/>
                        <o:lock v:ext="edit" aspectratio="f"/>
                      </v:line>
                      <v:shape id="文本框 349" o:spid="_x0000_s1026" o:spt="202" type="#_x0000_t202" style="position:absolute;left:2141855;top:3894455;height:279400;width:644525;"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asNjtQAAAAFAQAADwAAAAAAAAABACAA&#10;AAAiAAAAZHJzL2Rvd25yZXYueG1sUEsBAhQAFAAAAAgAh07iQB46mXnYAQAAjwMAAA4AAAAAAAAA&#10;AQAgAAAAIwEAAGRycy9lMm9Eb2MueG1sUEsFBgAAAAAGAAYAWQEAAG0FAAAAAA==&#10;">
                        <v:fill on="f" focussize="0,0"/>
                        <v:stroke on="f"/>
                        <v:imagedata o:title=""/>
                        <o:lock v:ext="edit" aspectratio="f"/>
                        <v:textbox>
                          <w:txbxContent>
                            <w:p w14:paraId="2F8BB8A7">
                              <w:pPr>
                                <w:rPr>
                                  <w:rFonts w:hint="default" w:eastAsia="宋体"/>
                                  <w:highlight w:val="none"/>
                                  <w:lang w:val="en-US" w:eastAsia="zh-CN"/>
                                </w:rPr>
                              </w:pPr>
                              <w:r>
                                <w:rPr>
                                  <w:rFonts w:hint="eastAsia"/>
                                  <w:highlight w:val="none"/>
                                  <w:lang w:val="en-US" w:eastAsia="zh-CN"/>
                                </w:rPr>
                                <w:t>颗粒物</w:t>
                              </w:r>
                            </w:p>
                          </w:txbxContent>
                        </v:textbox>
                      </v:shape>
                      <v:line id="直线 350" o:spid="_x0000_s1026" o:spt="20" style="position:absolute;left:1818005;top:7893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qg0f/VAAAABQEAAA8AAAAAAAAAAQAgAAAAIgAAAGRycy9kb3ducmV2&#10;LnhtbFBLAQIUABQAAAAIAIdO4kD53SyP/wEAAOoDAAAOAAAAAAAAAAEAIAAAACQBAABkcnMvZTJv&#10;RG9jLnhtbFBLBQYAAAAABgAGAFkBAACVBQAAAAA=&#10;">
                        <v:fill on="f" focussize="0,0"/>
                        <v:stroke color="#000000" joinstyle="round" dashstyle="dash" endarrow="block" endarrowwidth="wide"/>
                        <v:imagedata o:title=""/>
                        <o:lock v:ext="edit" aspectratio="f"/>
                      </v:line>
                      <v:shape id="文本框 351" o:spid="_x0000_s1026" o:spt="202" type="#_x0000_t202" style="position:absolute;left:2056130;top:665480;height:279400;width:98933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Fqw2O1AAAAAUBAAAPAAAAAAAAAAEAIAAA&#10;ACIAAABkcnMvZG93bnJldi54bWxQSwECFAAUAAAACACHTuJAl/BGWNcBAACOAwAADgAAAAAAAAAB&#10;ACAAAAAjAQAAZHJzL2Uyb0RvYy54bWxQSwUGAAAAAAYABgBZAQAAbAUAAAAA&#10;">
                        <v:fill on="f" focussize="0,0"/>
                        <v:stroke on="f"/>
                        <v:imagedata o:title=""/>
                        <o:lock v:ext="edit" aspectratio="f"/>
                        <v:textbox>
                          <w:txbxContent>
                            <w:p w14:paraId="655E3E8F">
                              <w:pPr>
                                <w:rPr>
                                  <w:rFonts w:hint="default" w:eastAsia="宋体"/>
                                  <w:lang w:val="en-US" w:eastAsia="zh-CN"/>
                                </w:rPr>
                              </w:pPr>
                              <w:r>
                                <w:rPr>
                                  <w:rFonts w:hint="eastAsia"/>
                                  <w:color w:val="auto"/>
                                  <w:highlight w:val="none"/>
                                  <w:lang w:val="en-US" w:eastAsia="zh-CN"/>
                                </w:rPr>
                                <w:t>颗粒物</w:t>
                              </w:r>
                              <w:r>
                                <w:rPr>
                                  <w:rFonts w:hint="eastAsia"/>
                                  <w:lang w:val="en-US" w:eastAsia="zh-CN"/>
                                </w:rPr>
                                <w:t>、噪声</w:t>
                              </w:r>
                            </w:p>
                          </w:txbxContent>
                        </v:textbox>
                      </v:shape>
                      <w10:wrap type="none"/>
                      <w10:anchorlock/>
                    </v:group>
                  </w:pict>
                </mc:Fallback>
              </mc:AlternateContent>
            </w:r>
          </w:p>
          <w:p w14:paraId="6D42E5D3">
            <w:pPr>
              <w:pStyle w:val="41"/>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图2-</w:t>
            </w:r>
            <w:r>
              <w:rPr>
                <w:rFonts w:hint="eastAsia" w:ascii="Times New Roman" w:cs="Times New Roman"/>
                <w:b/>
                <w:bCs/>
                <w:color w:val="auto"/>
                <w:kern w:val="2"/>
                <w:sz w:val="21"/>
                <w:szCs w:val="21"/>
                <w:highlight w:val="none"/>
                <w:lang w:val="en-US" w:eastAsia="zh-CN" w:bidi="ar-SA"/>
              </w:rPr>
              <w:t>2</w:t>
            </w:r>
            <w:r>
              <w:rPr>
                <w:rFonts w:hint="eastAsia" w:ascii="Times New Roman" w:hAnsi="Times New Roman" w:eastAsia="宋体" w:cs="Times New Roman"/>
                <w:b/>
                <w:bCs/>
                <w:color w:val="auto"/>
                <w:kern w:val="2"/>
                <w:sz w:val="21"/>
                <w:szCs w:val="21"/>
                <w:highlight w:val="none"/>
                <w:lang w:val="en-US" w:eastAsia="zh-CN" w:bidi="ar-SA"/>
              </w:rPr>
              <w:t xml:space="preserve"> </w:t>
            </w:r>
            <w:r>
              <w:rPr>
                <w:rFonts w:hint="eastAsia" w:ascii="Times New Roman" w:hAnsi="Times New Roman" w:eastAsia="宋体" w:cs="Times New Roman"/>
                <w:b/>
                <w:bCs/>
                <w:color w:val="auto"/>
                <w:kern w:val="2"/>
                <w:sz w:val="21"/>
                <w:szCs w:val="21"/>
                <w:highlight w:val="none"/>
                <w:lang w:val="zh-CN" w:eastAsia="zh-CN" w:bidi="ar-SA"/>
              </w:rPr>
              <w:t>RDF固体废物衍生燃料</w:t>
            </w:r>
            <w:r>
              <w:rPr>
                <w:rFonts w:hint="eastAsia" w:ascii="Times New Roman" w:hAnsi="Times New Roman" w:eastAsia="宋体" w:cs="Times New Roman"/>
                <w:b/>
                <w:bCs/>
                <w:color w:val="auto"/>
                <w:kern w:val="2"/>
                <w:sz w:val="21"/>
                <w:szCs w:val="21"/>
                <w:highlight w:val="none"/>
                <w:lang w:val="en-US" w:eastAsia="zh-CN" w:bidi="ar-SA"/>
              </w:rPr>
              <w:t>生产工艺流程及产污环节</w:t>
            </w:r>
          </w:p>
          <w:p w14:paraId="7E4DA347">
            <w:pPr>
              <w:numPr>
                <w:ilvl w:val="0"/>
                <w:numId w:val="0"/>
              </w:numPr>
              <w:adjustRightInd w:val="0"/>
              <w:snapToGrid w:val="0"/>
              <w:spacing w:line="360" w:lineRule="auto"/>
              <w:jc w:val="both"/>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kern w:val="2"/>
                <w:sz w:val="24"/>
                <w:szCs w:val="24"/>
                <w:highlight w:val="none"/>
                <w:lang w:val="en-US" w:eastAsia="zh-CN" w:bidi="ar-SA"/>
              </w:rPr>
              <w:t>3、</w:t>
            </w:r>
            <w:r>
              <w:rPr>
                <w:rFonts w:hint="default" w:ascii="Times New Roman" w:hAnsi="Times New Roman" w:eastAsia="宋体" w:cs="Times New Roman"/>
                <w:b/>
                <w:bCs w:val="0"/>
                <w:color w:val="auto"/>
                <w:sz w:val="24"/>
                <w:szCs w:val="24"/>
                <w:highlight w:val="none"/>
                <w:lang w:val="en-US" w:eastAsia="zh-CN"/>
              </w:rPr>
              <w:t>主要产污环节</w:t>
            </w:r>
          </w:p>
          <w:p w14:paraId="5C1CB18C">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本项目运营期主要产污环节见下表。</w:t>
            </w:r>
          </w:p>
          <w:p w14:paraId="0D9DFA6F">
            <w:pPr>
              <w:numPr>
                <w:ilvl w:val="0"/>
                <w:numId w:val="0"/>
              </w:numPr>
              <w:adjustRightInd w:val="0"/>
              <w:snapToGrid w:val="0"/>
              <w:spacing w:line="240" w:lineRule="auto"/>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表2-7 运行期主要产污环节一览表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375"/>
              <w:gridCol w:w="2474"/>
              <w:gridCol w:w="3819"/>
            </w:tblGrid>
            <w:tr w14:paraId="3EA6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164EC98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类别</w:t>
                  </w:r>
                </w:p>
              </w:tc>
              <w:tc>
                <w:tcPr>
                  <w:tcW w:w="827" w:type="pct"/>
                  <w:noWrap w:val="0"/>
                  <w:vAlign w:val="center"/>
                </w:tcPr>
                <w:p w14:paraId="14FF7344">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产污环节</w:t>
                  </w:r>
                </w:p>
              </w:tc>
              <w:tc>
                <w:tcPr>
                  <w:tcW w:w="1488" w:type="pct"/>
                  <w:noWrap w:val="0"/>
                  <w:vAlign w:val="center"/>
                </w:tcPr>
                <w:p w14:paraId="7862F027">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主要污染物</w:t>
                  </w:r>
                </w:p>
              </w:tc>
              <w:tc>
                <w:tcPr>
                  <w:tcW w:w="2298" w:type="pct"/>
                  <w:noWrap w:val="0"/>
                  <w:vAlign w:val="center"/>
                </w:tcPr>
                <w:p w14:paraId="0AD36D3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防治措施</w:t>
                  </w:r>
                </w:p>
              </w:tc>
            </w:tr>
            <w:tr w14:paraId="30D5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46D518E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废水</w:t>
                  </w:r>
                </w:p>
              </w:tc>
              <w:tc>
                <w:tcPr>
                  <w:tcW w:w="827" w:type="pct"/>
                  <w:noWrap w:val="0"/>
                  <w:vAlign w:val="center"/>
                </w:tcPr>
                <w:p w14:paraId="60C837D2">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生活污水</w:t>
                  </w:r>
                </w:p>
              </w:tc>
              <w:tc>
                <w:tcPr>
                  <w:tcW w:w="1488" w:type="pct"/>
                  <w:noWrap w:val="0"/>
                  <w:vAlign w:val="center"/>
                </w:tcPr>
                <w:p w14:paraId="44BC83FF">
                  <w:pPr>
                    <w:keepNext w:val="0"/>
                    <w:keepLines w:val="0"/>
                    <w:pageBreakBefore w:val="0"/>
                    <w:widowControl/>
                    <w:suppressLineNumbers w:val="0"/>
                    <w:kinsoku/>
                    <w:wordWrap/>
                    <w:overflowPunct/>
                    <w:topLinePunct w:val="0"/>
                    <w:autoSpaceDE/>
                    <w:autoSpaceDN/>
                    <w:bidi w:val="0"/>
                    <w:spacing w:line="276"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color w:val="auto"/>
                      <w:kern w:val="0"/>
                      <w:sz w:val="21"/>
                      <w:szCs w:val="21"/>
                      <w:highlight w:val="none"/>
                      <w:lang w:val="en-US" w:eastAsia="zh-CN" w:bidi="ar"/>
                    </w:rPr>
                    <w:t>PH、</w:t>
                  </w:r>
                  <w:r>
                    <w:rPr>
                      <w:rFonts w:hint="default" w:ascii="Times New Roman" w:hAnsi="Times New Roman" w:eastAsia="宋体" w:cs="Times New Roman"/>
                      <w:color w:val="auto"/>
                      <w:kern w:val="0"/>
                      <w:sz w:val="21"/>
                      <w:szCs w:val="21"/>
                      <w:highlight w:val="none"/>
                      <w:lang w:val="en-US" w:eastAsia="zh-CN" w:bidi="ar"/>
                    </w:rPr>
                    <w:t>COD、SS、BOD</w:t>
                  </w:r>
                  <w:r>
                    <w:rPr>
                      <w:rFonts w:hint="default" w:ascii="Times New Roman" w:hAnsi="Times New Roman" w:eastAsia="宋体" w:cs="Times New Roman"/>
                      <w:color w:val="auto"/>
                      <w:kern w:val="0"/>
                      <w:sz w:val="21"/>
                      <w:szCs w:val="21"/>
                      <w:highlight w:val="none"/>
                      <w:vertAlign w:val="subscript"/>
                      <w:lang w:val="en-US" w:eastAsia="zh-CN" w:bidi="ar"/>
                    </w:rPr>
                    <w:t>5</w:t>
                  </w:r>
                  <w:r>
                    <w:rPr>
                      <w:rFonts w:hint="default" w:ascii="Times New Roman" w:hAnsi="Times New Roman" w:eastAsia="宋体" w:cs="Times New Roman"/>
                      <w:color w:val="auto"/>
                      <w:kern w:val="0"/>
                      <w:sz w:val="21"/>
                      <w:szCs w:val="21"/>
                      <w:highlight w:val="none"/>
                      <w:lang w:val="en-US" w:eastAsia="zh-CN" w:bidi="ar"/>
                    </w:rPr>
                    <w:t>、NH</w:t>
                  </w:r>
                  <w:r>
                    <w:rPr>
                      <w:rFonts w:hint="default" w:ascii="Times New Roman" w:hAnsi="Times New Roman" w:eastAsia="宋体" w:cs="Times New Roman"/>
                      <w:color w:val="auto"/>
                      <w:kern w:val="0"/>
                      <w:sz w:val="21"/>
                      <w:szCs w:val="21"/>
                      <w:highlight w:val="none"/>
                      <w:vertAlign w:val="sub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w:t>
                  </w:r>
                </w:p>
              </w:tc>
              <w:tc>
                <w:tcPr>
                  <w:tcW w:w="2298" w:type="pct"/>
                  <w:noWrap w:val="0"/>
                  <w:vAlign w:val="center"/>
                </w:tcPr>
                <w:p w14:paraId="3621FB6E">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依托</w:t>
                  </w:r>
                  <w:r>
                    <w:rPr>
                      <w:rFonts w:hint="eastAsia" w:ascii="Times New Roman" w:hAnsi="Times New Roman" w:eastAsia="宋体" w:cs="Times New Roman"/>
                      <w:bCs/>
                      <w:color w:val="auto"/>
                      <w:sz w:val="21"/>
                      <w:szCs w:val="21"/>
                      <w:highlight w:val="none"/>
                      <w:lang w:val="en-US" w:eastAsia="zh-CN"/>
                    </w:rPr>
                    <w:t>陕西国坤时代科技有限公司化粪池</w:t>
                  </w:r>
                  <w:r>
                    <w:rPr>
                      <w:rFonts w:hint="default" w:ascii="Times New Roman" w:hAnsi="Times New Roman" w:eastAsia="宋体" w:cs="Times New Roman"/>
                      <w:bCs/>
                      <w:color w:val="auto"/>
                      <w:sz w:val="21"/>
                      <w:szCs w:val="21"/>
                      <w:highlight w:val="none"/>
                      <w:lang w:val="en-US" w:eastAsia="zh-CN"/>
                    </w:rPr>
                    <w:t>处理后经市政污水管网排入泾河新城</w:t>
                  </w:r>
                </w:p>
                <w:p w14:paraId="6DDB0067">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lang w:val="en-US" w:eastAsia="zh-CN"/>
                    </w:rPr>
                    <w:t>第二污水处理厂</w:t>
                  </w:r>
                  <w:r>
                    <w:rPr>
                      <w:rFonts w:hint="eastAsia" w:ascii="Times New Roman" w:hAnsi="Times New Roman" w:eastAsia="宋体" w:cs="Times New Roman"/>
                      <w:bCs/>
                      <w:color w:val="auto"/>
                      <w:sz w:val="21"/>
                      <w:szCs w:val="21"/>
                      <w:highlight w:val="none"/>
                      <w:lang w:val="en-US" w:eastAsia="zh-CN"/>
                    </w:rPr>
                    <w:t>进一步</w:t>
                  </w:r>
                  <w:r>
                    <w:rPr>
                      <w:rFonts w:hint="default" w:ascii="Times New Roman" w:hAnsi="Times New Roman" w:eastAsia="宋体" w:cs="Times New Roman"/>
                      <w:bCs/>
                      <w:color w:val="auto"/>
                      <w:sz w:val="21"/>
                      <w:szCs w:val="21"/>
                      <w:highlight w:val="none"/>
                      <w:lang w:val="en-US" w:eastAsia="zh-CN"/>
                    </w:rPr>
                    <w:t>处理</w:t>
                  </w:r>
                </w:p>
              </w:tc>
            </w:tr>
            <w:tr w14:paraId="3DD2C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restart"/>
                  <w:noWrap w:val="0"/>
                  <w:vAlign w:val="center"/>
                </w:tcPr>
                <w:p w14:paraId="0DFC047E">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cs="Times New Roman"/>
                      <w:b w:val="0"/>
                      <w:bCs/>
                      <w:color w:val="auto"/>
                      <w:sz w:val="21"/>
                      <w:szCs w:val="21"/>
                      <w:highlight w:val="none"/>
                      <w:vertAlign w:val="baseline"/>
                      <w:lang w:val="en-US" w:eastAsia="zh-CN"/>
                    </w:rPr>
                    <w:t>废气</w:t>
                  </w:r>
                </w:p>
              </w:tc>
              <w:tc>
                <w:tcPr>
                  <w:tcW w:w="827" w:type="pct"/>
                  <w:noWrap w:val="0"/>
                  <w:vAlign w:val="center"/>
                </w:tcPr>
                <w:p w14:paraId="6836F9FB">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上料</w:t>
                  </w:r>
                </w:p>
              </w:tc>
              <w:tc>
                <w:tcPr>
                  <w:tcW w:w="1488" w:type="pct"/>
                  <w:noWrap w:val="0"/>
                  <w:vAlign w:val="center"/>
                </w:tcPr>
                <w:p w14:paraId="1BA6898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颗粒物</w:t>
                  </w:r>
                </w:p>
              </w:tc>
              <w:tc>
                <w:tcPr>
                  <w:tcW w:w="2298" w:type="pct"/>
                  <w:vMerge w:val="restart"/>
                  <w:noWrap w:val="0"/>
                  <w:vAlign w:val="center"/>
                </w:tcPr>
                <w:p w14:paraId="46FA5A5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lang w:val="en-US" w:eastAsia="zh-CN"/>
                    </w:rPr>
                    <w:t>上料和打包工序</w:t>
                  </w:r>
                  <w:r>
                    <w:rPr>
                      <w:rFonts w:hint="eastAsia" w:cs="Times New Roman"/>
                      <w:b w:val="0"/>
                      <w:bCs w:val="0"/>
                      <w:color w:val="auto"/>
                      <w:sz w:val="21"/>
                      <w:szCs w:val="21"/>
                      <w:highlight w:val="none"/>
                      <w:lang w:val="en-US" w:eastAsia="zh-CN"/>
                    </w:rPr>
                    <w:t>粉尘</w:t>
                  </w:r>
                  <w:r>
                    <w:rPr>
                      <w:rFonts w:hint="eastAsia" w:ascii="Times New Roman" w:hAnsi="Times New Roman" w:eastAsia="宋体" w:cs="Times New Roman"/>
                      <w:b w:val="0"/>
                      <w:bCs w:val="0"/>
                      <w:color w:val="auto"/>
                      <w:sz w:val="21"/>
                      <w:szCs w:val="21"/>
                      <w:highlight w:val="none"/>
                      <w:lang w:val="en-US" w:eastAsia="zh-CN"/>
                    </w:rPr>
                    <w:t>经2个集气罩收集</w:t>
                  </w:r>
                  <w:r>
                    <w:rPr>
                      <w:rFonts w:hint="eastAsia"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破碎工序</w:t>
                  </w:r>
                  <w:r>
                    <w:rPr>
                      <w:rFonts w:hint="eastAsia" w:cs="Times New Roman"/>
                      <w:b w:val="0"/>
                      <w:bCs w:val="0"/>
                      <w:color w:val="auto"/>
                      <w:sz w:val="21"/>
                      <w:szCs w:val="21"/>
                      <w:highlight w:val="none"/>
                      <w:lang w:val="en-US" w:eastAsia="zh-CN"/>
                    </w:rPr>
                    <w:t>粉尘</w:t>
                  </w:r>
                  <w:r>
                    <w:rPr>
                      <w:rFonts w:hint="eastAsia" w:ascii="Times New Roman" w:hAnsi="Times New Roman" w:eastAsia="宋体" w:cs="Times New Roman"/>
                      <w:b w:val="0"/>
                      <w:bCs w:val="0"/>
                      <w:color w:val="auto"/>
                      <w:sz w:val="21"/>
                      <w:szCs w:val="21"/>
                      <w:highlight w:val="none"/>
                      <w:lang w:val="en-US" w:eastAsia="zh-CN"/>
                    </w:rPr>
                    <w:t>经管道收集+布袋除尘器</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18</w:t>
                  </w:r>
                  <w:r>
                    <w:rPr>
                      <w:rFonts w:hint="default" w:ascii="Times New Roman" w:hAnsi="Times New Roman" w:eastAsia="宋体" w:cs="Times New Roman"/>
                      <w:b w:val="0"/>
                      <w:bCs w:val="0"/>
                      <w:color w:val="auto"/>
                      <w:sz w:val="21"/>
                      <w:szCs w:val="21"/>
                      <w:highlight w:val="none"/>
                      <w:lang w:val="en-US" w:eastAsia="zh-CN"/>
                    </w:rPr>
                    <w:t>m</w:t>
                  </w:r>
                  <w:r>
                    <w:rPr>
                      <w:rFonts w:hint="eastAsia" w:cs="Times New Roman"/>
                      <w:b w:val="0"/>
                      <w:bCs w:val="0"/>
                      <w:color w:val="auto"/>
                      <w:sz w:val="21"/>
                      <w:szCs w:val="21"/>
                      <w:highlight w:val="none"/>
                      <w:lang w:val="en-US" w:eastAsia="zh-CN"/>
                    </w:rPr>
                    <w:t>高</w:t>
                  </w:r>
                  <w:r>
                    <w:rPr>
                      <w:rFonts w:hint="default" w:ascii="Times New Roman" w:hAnsi="Times New Roman" w:eastAsia="宋体" w:cs="Times New Roman"/>
                      <w:b w:val="0"/>
                      <w:bCs w:val="0"/>
                      <w:color w:val="auto"/>
                      <w:sz w:val="21"/>
                      <w:szCs w:val="21"/>
                      <w:highlight w:val="none"/>
                      <w:lang w:val="en-US" w:eastAsia="zh-CN"/>
                    </w:rPr>
                    <w:t>排气筒</w:t>
                  </w:r>
                </w:p>
              </w:tc>
            </w:tr>
            <w:tr w14:paraId="0C86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33D06506">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noWrap w:val="0"/>
                  <w:vAlign w:val="center"/>
                </w:tcPr>
                <w:p w14:paraId="1B924354">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一次破碎</w:t>
                  </w:r>
                </w:p>
              </w:tc>
              <w:tc>
                <w:tcPr>
                  <w:tcW w:w="1488" w:type="pct"/>
                  <w:noWrap w:val="0"/>
                  <w:vAlign w:val="center"/>
                </w:tcPr>
                <w:p w14:paraId="0A0567A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2298" w:type="pct"/>
                  <w:vMerge w:val="continue"/>
                  <w:noWrap w:val="0"/>
                  <w:vAlign w:val="center"/>
                </w:tcPr>
                <w:p w14:paraId="07BC658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1D83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0F69FE2">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noWrap w:val="0"/>
                  <w:vAlign w:val="center"/>
                </w:tcPr>
                <w:p w14:paraId="52BEF2AB">
                  <w:pPr>
                    <w:jc w:val="center"/>
                    <w:rPr>
                      <w:rFonts w:hint="default" w:ascii="Times New Roman" w:hAnsi="Times New Roman" w:eastAsia="宋体" w:cs="Times New Roman"/>
                      <w:color w:val="auto"/>
                      <w:kern w:val="0"/>
                      <w:sz w:val="21"/>
                      <w:szCs w:val="21"/>
                      <w:highlight w:val="none"/>
                      <w:lang w:val="en-US" w:eastAsia="zh-CN" w:bidi="ar"/>
                    </w:rPr>
                  </w:pPr>
                  <w:r>
                    <w:rPr>
                      <w:rFonts w:hint="eastAsia"/>
                      <w:color w:val="auto"/>
                      <w:highlight w:val="none"/>
                      <w:lang w:val="en-US" w:eastAsia="zh-CN"/>
                    </w:rPr>
                    <w:t>二次破碎</w:t>
                  </w:r>
                </w:p>
              </w:tc>
              <w:tc>
                <w:tcPr>
                  <w:tcW w:w="1488" w:type="pct"/>
                  <w:noWrap w:val="0"/>
                  <w:vAlign w:val="center"/>
                </w:tcPr>
                <w:p w14:paraId="3E2D7C8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2298" w:type="pct"/>
                  <w:vMerge w:val="continue"/>
                  <w:noWrap w:val="0"/>
                  <w:vAlign w:val="center"/>
                </w:tcPr>
                <w:p w14:paraId="3909CA9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2CE1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232B35F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noWrap w:val="0"/>
                  <w:vAlign w:val="center"/>
                </w:tcPr>
                <w:p w14:paraId="07CF4F72">
                  <w:pPr>
                    <w:jc w:val="center"/>
                    <w:rPr>
                      <w:rFonts w:hint="default" w:ascii="Times New Roman" w:hAnsi="Times New Roman" w:cs="Times New Roman"/>
                      <w:color w:val="auto"/>
                      <w:kern w:val="0"/>
                      <w:sz w:val="21"/>
                      <w:szCs w:val="21"/>
                      <w:highlight w:val="none"/>
                      <w:lang w:val="en-US" w:eastAsia="zh-CN" w:bidi="ar"/>
                    </w:rPr>
                  </w:pPr>
                  <w:r>
                    <w:rPr>
                      <w:rFonts w:hint="eastAsia" w:eastAsia="宋体"/>
                      <w:color w:val="auto"/>
                      <w:highlight w:val="none"/>
                      <w:lang w:val="en-US" w:eastAsia="zh-CN"/>
                    </w:rPr>
                    <w:t>三次破碎</w:t>
                  </w:r>
                </w:p>
              </w:tc>
              <w:tc>
                <w:tcPr>
                  <w:tcW w:w="1488" w:type="pct"/>
                  <w:noWrap w:val="0"/>
                  <w:vAlign w:val="center"/>
                </w:tcPr>
                <w:p w14:paraId="51C37FCC">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2298" w:type="pct"/>
                  <w:vMerge w:val="continue"/>
                  <w:noWrap w:val="0"/>
                  <w:vAlign w:val="center"/>
                </w:tcPr>
                <w:p w14:paraId="2D353D50">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4CE35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5DE9462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noWrap w:val="0"/>
                  <w:vAlign w:val="center"/>
                </w:tcPr>
                <w:p w14:paraId="3C69BFBA">
                  <w:pPr>
                    <w:jc w:val="center"/>
                    <w:rPr>
                      <w:rFonts w:hint="default" w:eastAsia="宋体"/>
                      <w:color w:val="auto"/>
                      <w:highlight w:val="none"/>
                      <w:lang w:val="en-US" w:eastAsia="zh-CN"/>
                    </w:rPr>
                  </w:pPr>
                  <w:r>
                    <w:rPr>
                      <w:rFonts w:hint="eastAsia" w:eastAsia="宋体"/>
                      <w:color w:val="auto"/>
                      <w:highlight w:val="none"/>
                      <w:lang w:val="en-US" w:eastAsia="zh-CN"/>
                    </w:rPr>
                    <w:t>打包</w:t>
                  </w:r>
                </w:p>
              </w:tc>
              <w:tc>
                <w:tcPr>
                  <w:tcW w:w="1488" w:type="pct"/>
                  <w:noWrap w:val="0"/>
                  <w:vAlign w:val="center"/>
                </w:tcPr>
                <w:p w14:paraId="0EA7871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2298" w:type="pct"/>
                  <w:vMerge w:val="continue"/>
                  <w:noWrap w:val="0"/>
                  <w:vAlign w:val="center"/>
                </w:tcPr>
                <w:p w14:paraId="38BFB2E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14:paraId="4566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5C057EE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噪声</w:t>
                  </w:r>
                </w:p>
              </w:tc>
              <w:tc>
                <w:tcPr>
                  <w:tcW w:w="827" w:type="pct"/>
                  <w:noWrap w:val="0"/>
                  <w:vAlign w:val="center"/>
                </w:tcPr>
                <w:p w14:paraId="31D25786">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生产设备</w:t>
                  </w:r>
                </w:p>
              </w:tc>
              <w:tc>
                <w:tcPr>
                  <w:tcW w:w="1488" w:type="pct"/>
                  <w:noWrap w:val="0"/>
                  <w:vAlign w:val="center"/>
                </w:tcPr>
                <w:p w14:paraId="04E06442">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噪声</w:t>
                  </w:r>
                </w:p>
              </w:tc>
              <w:tc>
                <w:tcPr>
                  <w:tcW w:w="2298" w:type="pct"/>
                  <w:noWrap w:val="0"/>
                  <w:vAlign w:val="center"/>
                </w:tcPr>
                <w:p w14:paraId="17DC6400">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Cs/>
                      <w:color w:val="auto"/>
                      <w:kern w:val="2"/>
                      <w:sz w:val="21"/>
                      <w:szCs w:val="21"/>
                      <w:highlight w:val="none"/>
                      <w:lang w:val="en-US" w:eastAsia="zh-CN" w:bidi="ar-SA"/>
                    </w:rPr>
                    <w:t>选用低噪声设备、基础减振、厂房隔声、距离衰减等措施</w:t>
                  </w:r>
                </w:p>
              </w:tc>
            </w:tr>
            <w:tr w14:paraId="6F31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564FDB9C">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生活垃圾</w:t>
                  </w:r>
                </w:p>
              </w:tc>
              <w:tc>
                <w:tcPr>
                  <w:tcW w:w="827" w:type="pct"/>
                  <w:noWrap w:val="0"/>
                  <w:vAlign w:val="center"/>
                </w:tcPr>
                <w:p w14:paraId="41E06E44">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办公生活</w:t>
                  </w:r>
                </w:p>
              </w:tc>
              <w:tc>
                <w:tcPr>
                  <w:tcW w:w="1488" w:type="pct"/>
                  <w:noWrap w:val="0"/>
                  <w:vAlign w:val="center"/>
                </w:tcPr>
                <w:p w14:paraId="5677ECB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果皮、纸屑等</w:t>
                  </w:r>
                </w:p>
              </w:tc>
              <w:tc>
                <w:tcPr>
                  <w:tcW w:w="2298" w:type="pct"/>
                  <w:noWrap w:val="0"/>
                  <w:vAlign w:val="center"/>
                </w:tcPr>
                <w:p w14:paraId="3F2ED2F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垃圾桶收集后由环卫部门统一清运</w:t>
                  </w:r>
                </w:p>
              </w:tc>
            </w:tr>
            <w:tr w14:paraId="5824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restart"/>
                  <w:noWrap w:val="0"/>
                  <w:vAlign w:val="center"/>
                </w:tcPr>
                <w:p w14:paraId="1970AAEC">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一般固废</w:t>
                  </w:r>
                </w:p>
              </w:tc>
              <w:tc>
                <w:tcPr>
                  <w:tcW w:w="827" w:type="pct"/>
                  <w:vMerge w:val="restart"/>
                  <w:noWrap w:val="0"/>
                  <w:vAlign w:val="center"/>
                </w:tcPr>
                <w:p w14:paraId="6E05F78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生产过程</w:t>
                  </w:r>
                </w:p>
              </w:tc>
              <w:tc>
                <w:tcPr>
                  <w:tcW w:w="1488" w:type="pct"/>
                  <w:noWrap w:val="0"/>
                  <w:vAlign w:val="center"/>
                </w:tcPr>
                <w:p w14:paraId="446A24F9">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废铁等金属</w:t>
                  </w:r>
                </w:p>
              </w:tc>
              <w:tc>
                <w:tcPr>
                  <w:tcW w:w="2298" w:type="pct"/>
                  <w:noWrap w:val="0"/>
                  <w:vAlign w:val="center"/>
                </w:tcPr>
                <w:p w14:paraId="4054082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集中收集外售</w:t>
                  </w:r>
                  <w:r>
                    <w:rPr>
                      <w:rFonts w:hint="eastAsia" w:cs="Times New Roman"/>
                      <w:b w:val="0"/>
                      <w:bCs/>
                      <w:color w:val="auto"/>
                      <w:sz w:val="21"/>
                      <w:szCs w:val="21"/>
                      <w:highlight w:val="none"/>
                      <w:vertAlign w:val="baseline"/>
                      <w:lang w:val="en-US" w:eastAsia="zh-CN"/>
                    </w:rPr>
                    <w:t>物资回收公司</w:t>
                  </w:r>
                </w:p>
              </w:tc>
            </w:tr>
            <w:tr w14:paraId="3C942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4BA9E76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vMerge w:val="continue"/>
                  <w:noWrap w:val="0"/>
                  <w:vAlign w:val="center"/>
                </w:tcPr>
                <w:p w14:paraId="1FFFB7E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1488" w:type="pct"/>
                  <w:noWrap w:val="0"/>
                  <w:vAlign w:val="center"/>
                </w:tcPr>
                <w:p w14:paraId="4074B6E3">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除尘器收尘</w:t>
                  </w:r>
                </w:p>
              </w:tc>
              <w:tc>
                <w:tcPr>
                  <w:tcW w:w="2298" w:type="pct"/>
                  <w:vMerge w:val="restart"/>
                  <w:noWrap w:val="0"/>
                  <w:vAlign w:val="center"/>
                </w:tcPr>
                <w:p w14:paraId="23ED157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集中收集外售水泥厂作原料</w:t>
                  </w:r>
                </w:p>
              </w:tc>
            </w:tr>
            <w:tr w14:paraId="039F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916CCA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vMerge w:val="continue"/>
                  <w:noWrap w:val="0"/>
                  <w:vAlign w:val="center"/>
                </w:tcPr>
                <w:p w14:paraId="2C5C342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1488" w:type="pct"/>
                  <w:noWrap w:val="0"/>
                  <w:vAlign w:val="center"/>
                </w:tcPr>
                <w:p w14:paraId="52B415AF">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车间降尘收尘</w:t>
                  </w:r>
                </w:p>
              </w:tc>
              <w:tc>
                <w:tcPr>
                  <w:tcW w:w="2298" w:type="pct"/>
                  <w:vMerge w:val="continue"/>
                  <w:noWrap w:val="0"/>
                  <w:vAlign w:val="center"/>
                </w:tcPr>
                <w:p w14:paraId="5D2F9924">
                  <w:pPr>
                    <w:keepNext w:val="0"/>
                    <w:keepLines w:val="0"/>
                    <w:pageBreakBefore w:val="0"/>
                    <w:kinsoku/>
                    <w:wordWrap/>
                    <w:overflowPunct/>
                    <w:topLinePunct w:val="0"/>
                    <w:autoSpaceDE/>
                    <w:autoSpaceDN/>
                    <w:bidi w:val="0"/>
                    <w:spacing w:line="276" w:lineRule="auto"/>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p>
              </w:tc>
            </w:tr>
            <w:tr w14:paraId="2B84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3CC694E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827" w:type="pct"/>
                  <w:noWrap w:val="0"/>
                  <w:vAlign w:val="center"/>
                </w:tcPr>
                <w:p w14:paraId="6A5BE129">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粉尘治理</w:t>
                  </w:r>
                </w:p>
              </w:tc>
              <w:tc>
                <w:tcPr>
                  <w:tcW w:w="1488" w:type="pct"/>
                  <w:noWrap w:val="0"/>
                  <w:vAlign w:val="center"/>
                </w:tcPr>
                <w:p w14:paraId="37313C8F">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废旧布袋</w:t>
                  </w:r>
                </w:p>
              </w:tc>
              <w:tc>
                <w:tcPr>
                  <w:tcW w:w="2298" w:type="pct"/>
                  <w:noWrap w:val="0"/>
                  <w:vAlign w:val="center"/>
                </w:tcPr>
                <w:p w14:paraId="42B64659">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回用于生产</w:t>
                  </w:r>
                </w:p>
              </w:tc>
            </w:tr>
            <w:tr w14:paraId="7C7E9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1FE6AD0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危险废物</w:t>
                  </w:r>
                </w:p>
              </w:tc>
              <w:tc>
                <w:tcPr>
                  <w:tcW w:w="827" w:type="pct"/>
                  <w:noWrap w:val="0"/>
                  <w:vAlign w:val="center"/>
                </w:tcPr>
                <w:p w14:paraId="3187C189">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设备维护</w:t>
                  </w:r>
                </w:p>
              </w:tc>
              <w:tc>
                <w:tcPr>
                  <w:tcW w:w="1488" w:type="pct"/>
                  <w:noWrap w:val="0"/>
                  <w:vAlign w:val="center"/>
                </w:tcPr>
                <w:p w14:paraId="549435EB">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废润滑油、</w:t>
                  </w:r>
                  <w:r>
                    <w:rPr>
                      <w:rFonts w:hint="eastAsia" w:ascii="Times New Roman" w:hAnsi="Times New Roman" w:eastAsia="宋体" w:cs="Times New Roman"/>
                      <w:b w:val="0"/>
                      <w:bCs/>
                      <w:color w:val="auto"/>
                      <w:sz w:val="21"/>
                      <w:szCs w:val="21"/>
                      <w:highlight w:val="none"/>
                      <w:vertAlign w:val="baseline"/>
                      <w:lang w:val="en-US" w:eastAsia="zh-CN"/>
                    </w:rPr>
                    <w:t>废油桶和</w:t>
                  </w:r>
                  <w:r>
                    <w:rPr>
                      <w:rFonts w:hint="default" w:ascii="Times New Roman" w:hAnsi="Times New Roman" w:eastAsia="宋体" w:cs="Times New Roman"/>
                      <w:b w:val="0"/>
                      <w:bCs/>
                      <w:color w:val="auto"/>
                      <w:sz w:val="21"/>
                      <w:szCs w:val="21"/>
                      <w:highlight w:val="none"/>
                      <w:vertAlign w:val="baseline"/>
                      <w:lang w:val="en-US" w:eastAsia="zh-CN"/>
                    </w:rPr>
                    <w:t>废含油抹布及手套</w:t>
                  </w:r>
                </w:p>
              </w:tc>
              <w:tc>
                <w:tcPr>
                  <w:tcW w:w="2298" w:type="pct"/>
                  <w:noWrap w:val="0"/>
                  <w:vAlign w:val="center"/>
                </w:tcPr>
                <w:p w14:paraId="1BA9AA74">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收集后暂存在危废贮存库，定期</w:t>
                  </w:r>
                  <w:r>
                    <w:rPr>
                      <w:rFonts w:hint="eastAsia" w:ascii="Times New Roman" w:hAnsi="Times New Roman" w:eastAsia="宋体" w:cs="Times New Roman"/>
                      <w:b w:val="0"/>
                      <w:bCs/>
                      <w:color w:val="auto"/>
                      <w:sz w:val="21"/>
                      <w:szCs w:val="21"/>
                      <w:highlight w:val="none"/>
                      <w:vertAlign w:val="baseline"/>
                      <w:lang w:val="en-US" w:eastAsia="zh-CN"/>
                    </w:rPr>
                    <w:t>交由有资质单位处置</w:t>
                  </w:r>
                </w:p>
              </w:tc>
            </w:tr>
          </w:tbl>
          <w:p w14:paraId="29A96C32">
            <w:pPr>
              <w:numPr>
                <w:ilvl w:val="0"/>
                <w:numId w:val="0"/>
              </w:numPr>
              <w:adjustRightInd w:val="0"/>
              <w:snapToGrid w:val="0"/>
              <w:spacing w:line="360" w:lineRule="auto"/>
              <w:jc w:val="center"/>
              <w:rPr>
                <w:rFonts w:hint="default" w:ascii="Times New Roman" w:hAnsi="Times New Roman" w:eastAsia="宋体" w:cs="Times New Roman"/>
                <w:b/>
                <w:bCs w:val="0"/>
                <w:color w:val="auto"/>
                <w:sz w:val="24"/>
                <w:szCs w:val="24"/>
                <w:highlight w:val="none"/>
                <w:lang w:val="en-US" w:eastAsia="zh-CN"/>
              </w:rPr>
            </w:pPr>
          </w:p>
        </w:tc>
      </w:tr>
      <w:tr w14:paraId="247DED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446" w:type="dxa"/>
            <w:noWrap w:val="0"/>
            <w:vAlign w:val="center"/>
          </w:tcPr>
          <w:p w14:paraId="38B1FF32">
            <w:pPr>
              <w:pStyle w:val="21"/>
              <w:adjustRightInd w:val="0"/>
              <w:snapToGrid w:val="0"/>
              <w:spacing w:before="0" w:beforeAutospacing="0" w:after="0" w:afterAutospacing="0"/>
              <w:jc w:val="both"/>
              <w:rPr>
                <w:rFonts w:hint="default" w:ascii="Times New Roman" w:hAnsi="Times New Roman" w:cs="Times New Roman"/>
                <w:b/>
                <w:bCs/>
                <w:color w:val="auto"/>
                <w:sz w:val="24"/>
                <w:szCs w:val="24"/>
                <w:highlight w:val="none"/>
              </w:rPr>
            </w:pPr>
            <w:r>
              <w:rPr>
                <w:rFonts w:hint="default" w:ascii="Times New Roman" w:hAnsi="Times New Roman" w:cs="Times New Roman"/>
                <w:b w:val="0"/>
                <w:bCs w:val="0"/>
                <w:color w:val="auto"/>
                <w:kern w:val="2"/>
                <w:sz w:val="24"/>
                <w:szCs w:val="24"/>
                <w:highlight w:val="none"/>
              </w:rPr>
              <w:t>与项目有关的原有环境污染问题</w:t>
            </w:r>
          </w:p>
        </w:tc>
        <w:tc>
          <w:tcPr>
            <w:tcW w:w="8538" w:type="dxa"/>
            <w:noWrap w:val="0"/>
            <w:vAlign w:val="center"/>
          </w:tcPr>
          <w:p w14:paraId="7FB010C4">
            <w:pPr>
              <w:spacing w:line="360" w:lineRule="auto"/>
              <w:ind w:firstLine="480" w:firstLineChars="200"/>
              <w:jc w:val="left"/>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本项目为新建项目，位于陕西省西咸新区泾河新城永乐工业园区南北大道陕西国坤时代科技有限公司</w:t>
            </w:r>
            <w:r>
              <w:rPr>
                <w:rFonts w:hint="eastAsia"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rPr>
              <w:t>号厂房。根据现场勘察，该库房目前空置，无原有污染情况和主要环境问题。</w:t>
            </w:r>
          </w:p>
          <w:p w14:paraId="4AAD2118">
            <w:pPr>
              <w:spacing w:line="360" w:lineRule="auto"/>
              <w:jc w:val="center"/>
              <w:rPr>
                <w:rFonts w:hint="default" w:ascii="Times New Roman" w:hAnsi="Times New Roman" w:eastAsia="宋体" w:cs="Times New Roman"/>
                <w:color w:val="auto"/>
                <w:sz w:val="24"/>
                <w:szCs w:val="24"/>
                <w:highlight w:val="none"/>
              </w:rPr>
            </w:pPr>
            <w:r>
              <w:rPr>
                <w:rFonts w:hint="eastAsia" w:eastAsia="宋体"/>
                <w:color w:val="auto"/>
                <w:highlight w:val="none"/>
                <w:lang w:val="en-US" w:eastAsia="zh-CN"/>
              </w:rPr>
              <w:drawing>
                <wp:inline distT="0" distB="0" distL="114300" distR="114300">
                  <wp:extent cx="2712085" cy="3627120"/>
                  <wp:effectExtent l="0" t="0" r="12065" b="11430"/>
                  <wp:docPr id="121" name="图片 2" descr="10f5ff5043494bc561b4c6952f0ac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 descr="10f5ff5043494bc561b4c6952f0ac7a"/>
                          <pic:cNvPicPr>
                            <a:picLocks noChangeAspect="1"/>
                          </pic:cNvPicPr>
                        </pic:nvPicPr>
                        <pic:blipFill>
                          <a:blip r:embed="rId11"/>
                          <a:stretch>
                            <a:fillRect/>
                          </a:stretch>
                        </pic:blipFill>
                        <pic:spPr>
                          <a:xfrm>
                            <a:off x="0" y="0"/>
                            <a:ext cx="2712085" cy="3627120"/>
                          </a:xfrm>
                          <a:prstGeom prst="rect">
                            <a:avLst/>
                          </a:prstGeom>
                          <a:noFill/>
                          <a:ln>
                            <a:noFill/>
                          </a:ln>
                        </pic:spPr>
                      </pic:pic>
                    </a:graphicData>
                  </a:graphic>
                </wp:inline>
              </w:drawing>
            </w:r>
          </w:p>
        </w:tc>
      </w:tr>
    </w:tbl>
    <w:p w14:paraId="07E7D411">
      <w:pPr>
        <w:pStyle w:val="21"/>
        <w:jc w:val="center"/>
        <w:rPr>
          <w:rFonts w:hint="default" w:ascii="Times New Roman" w:hAnsi="Times New Roman" w:eastAsia="黑体" w:cs="Times New Roman"/>
          <w:snapToGrid w:val="0"/>
          <w:color w:val="auto"/>
          <w:sz w:val="36"/>
          <w:szCs w:val="36"/>
          <w:highlight w:val="none"/>
        </w:rPr>
        <w:sectPr>
          <w:pgSz w:w="11906" w:h="16838"/>
          <w:pgMar w:top="1701" w:right="1531" w:bottom="1701" w:left="1531" w:header="851" w:footer="851" w:gutter="0"/>
          <w:pgNumType w:fmt="decimal"/>
          <w:cols w:space="720" w:num="1"/>
          <w:docGrid w:linePitch="312" w:charSpace="0"/>
        </w:sectPr>
      </w:pPr>
    </w:p>
    <w:p w14:paraId="72391BE4">
      <w:pPr>
        <w:pStyle w:val="21"/>
        <w:jc w:val="center"/>
        <w:outlineLvl w:val="0"/>
        <w:rPr>
          <w:rFonts w:hint="default" w:ascii="Times New Roman" w:hAnsi="Times New Roman" w:eastAsia="黑体" w:cs="Times New Roman"/>
          <w:snapToGrid w:val="0"/>
          <w:color w:val="auto"/>
          <w:sz w:val="30"/>
          <w:szCs w:val="30"/>
          <w:highlight w:val="none"/>
        </w:rPr>
      </w:pPr>
      <w:bookmarkStart w:id="7" w:name="_Toc31726"/>
      <w:r>
        <w:rPr>
          <w:rFonts w:hint="default" w:ascii="Times New Roman" w:hAnsi="Times New Roman" w:eastAsia="黑体" w:cs="Times New Roman"/>
          <w:snapToGrid w:val="0"/>
          <w:color w:val="auto"/>
          <w:sz w:val="30"/>
          <w:szCs w:val="30"/>
          <w:highlight w:val="none"/>
        </w:rPr>
        <w:t>三、区域环境质量现状、环境保护目标及评价标准</w:t>
      </w:r>
      <w:bookmarkEnd w:id="7"/>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4"/>
        <w:gridCol w:w="8526"/>
      </w:tblGrid>
      <w:tr w14:paraId="5E8CB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8" w:hRule="atLeast"/>
          <w:jc w:val="center"/>
        </w:trPr>
        <w:tc>
          <w:tcPr>
            <w:tcW w:w="464" w:type="dxa"/>
            <w:noWrap w:val="0"/>
            <w:vAlign w:val="center"/>
          </w:tcPr>
          <w:p w14:paraId="61593F49">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区域</w:t>
            </w:r>
          </w:p>
          <w:p w14:paraId="6B345C88">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环境</w:t>
            </w:r>
          </w:p>
          <w:p w14:paraId="2A8BFCDB">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质量</w:t>
            </w:r>
          </w:p>
          <w:p w14:paraId="1065083D">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现状</w:t>
            </w:r>
          </w:p>
        </w:tc>
        <w:tc>
          <w:tcPr>
            <w:tcW w:w="8526" w:type="dxa"/>
            <w:noWrap w:val="0"/>
            <w:vAlign w:val="top"/>
          </w:tcPr>
          <w:p w14:paraId="5CCC8170">
            <w:pPr>
              <w:numPr>
                <w:ilvl w:val="0"/>
                <w:numId w:val="4"/>
              </w:numPr>
              <w:adjustRightInd w:val="0"/>
              <w:snapToGrid w:val="0"/>
              <w:spacing w:line="360" w:lineRule="auto"/>
              <w:jc w:val="left"/>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大气环境质量现状</w:t>
            </w:r>
          </w:p>
          <w:p w14:paraId="4B870644">
            <w:pPr>
              <w:pStyle w:val="3"/>
              <w:numPr>
                <w:ilvl w:val="0"/>
                <w:numId w:val="0"/>
              </w:numPr>
              <w:spacing w:line="360" w:lineRule="auto"/>
              <w:rPr>
                <w:rFonts w:hint="default" w:ascii="Times New Roman" w:hAnsi="Times New Roman" w:cs="Times New Roman"/>
                <w:b w:val="0"/>
                <w:bCs w:val="0"/>
                <w:color w:val="auto"/>
                <w:kern w:val="0"/>
                <w:sz w:val="24"/>
                <w:szCs w:val="24"/>
                <w:highlight w:val="none"/>
                <w:lang w:val="en-US" w:eastAsia="zh-CN"/>
              </w:rPr>
            </w:pPr>
            <w:bookmarkStart w:id="8" w:name="_Toc3242"/>
            <w:r>
              <w:rPr>
                <w:rFonts w:hint="default" w:ascii="Times New Roman" w:hAnsi="Times New Roman" w:cs="Times New Roman"/>
                <w:b w:val="0"/>
                <w:bCs w:val="0"/>
                <w:color w:val="auto"/>
                <w:kern w:val="0"/>
                <w:sz w:val="24"/>
                <w:szCs w:val="24"/>
                <w:highlight w:val="none"/>
                <w:lang w:val="en-US" w:eastAsia="zh-CN" w:bidi="ar-SA"/>
              </w:rPr>
              <w:t>（1）</w:t>
            </w:r>
            <w:r>
              <w:rPr>
                <w:rFonts w:hint="default" w:ascii="Times New Roman" w:hAnsi="Times New Roman" w:cs="Times New Roman"/>
                <w:b w:val="0"/>
                <w:bCs w:val="0"/>
                <w:color w:val="auto"/>
                <w:kern w:val="0"/>
                <w:sz w:val="24"/>
                <w:szCs w:val="24"/>
                <w:highlight w:val="none"/>
                <w:lang w:val="en-US" w:eastAsia="zh-CN"/>
              </w:rPr>
              <w:t>基本污染物</w:t>
            </w:r>
            <w:bookmarkEnd w:id="8"/>
          </w:p>
          <w:p w14:paraId="61355653">
            <w:pPr>
              <w:spacing w:line="360" w:lineRule="auto"/>
              <w:ind w:firstLine="422"/>
              <w:contextualSpacing/>
              <w:rPr>
                <w:rFonts w:hint="default" w:ascii="Times New Roman" w:hAnsi="Times New Roman" w:cs="Times New Roman"/>
                <w:color w:val="auto"/>
                <w:kern w:val="0"/>
                <w:sz w:val="24"/>
                <w:szCs w:val="20"/>
                <w:highlight w:val="none"/>
              </w:rPr>
            </w:pPr>
            <w:r>
              <w:rPr>
                <w:rFonts w:hint="default" w:ascii="Times New Roman" w:hAnsi="Times New Roman" w:cs="Times New Roman"/>
                <w:color w:val="auto"/>
                <w:sz w:val="24"/>
                <w:szCs w:val="24"/>
                <w:highlight w:val="none"/>
                <w:lang w:val="en-US" w:eastAsia="zh-CN"/>
              </w:rPr>
              <w:t>本项目位于</w:t>
            </w:r>
            <w:r>
              <w:rPr>
                <w:rFonts w:hint="default" w:ascii="Times New Roman" w:hAnsi="Times New Roman" w:eastAsia="宋体" w:cs="Times New Roman"/>
                <w:b w:val="0"/>
                <w:bCs w:val="0"/>
                <w:color w:val="auto"/>
                <w:sz w:val="24"/>
                <w:szCs w:val="24"/>
                <w:highlight w:val="none"/>
                <w:lang w:val="en-US" w:eastAsia="zh-CN" w:bidi="ar-SA"/>
              </w:rPr>
              <w:t>陕西省西咸新区泾河新城。</w:t>
            </w:r>
            <w:r>
              <w:rPr>
                <w:rFonts w:hint="default" w:ascii="Times New Roman" w:hAnsi="Times New Roman" w:cs="Times New Roman"/>
                <w:color w:val="auto"/>
                <w:kern w:val="0"/>
                <w:sz w:val="24"/>
                <w:szCs w:val="20"/>
                <w:highlight w:val="none"/>
              </w:rPr>
              <w:t>根据大气功能区划，项目所在地为二类功能区，环境空气质量标准执行《环境空气质量标准》（GB3095-2012）二级标准要求。</w:t>
            </w:r>
          </w:p>
          <w:p w14:paraId="0CA5DFA1">
            <w:pPr>
              <w:spacing w:line="360" w:lineRule="auto"/>
              <w:ind w:firstLine="422"/>
              <w:contextualSpacing/>
              <w:rPr>
                <w:rFonts w:hint="default" w:ascii="Times New Roman" w:hAnsi="Times New Roman" w:cs="Times New Roman"/>
                <w:color w:val="auto"/>
                <w:kern w:val="0"/>
                <w:sz w:val="24"/>
                <w:szCs w:val="20"/>
                <w:highlight w:val="none"/>
              </w:rPr>
            </w:pPr>
            <w:r>
              <w:rPr>
                <w:rFonts w:hint="default" w:ascii="Times New Roman" w:hAnsi="Times New Roman" w:cs="Times New Roman"/>
                <w:color w:val="auto"/>
                <w:kern w:val="0"/>
                <w:sz w:val="24"/>
                <w:szCs w:val="20"/>
                <w:highlight w:val="none"/>
              </w:rPr>
              <w:t>本项目空气环境质量现状引用《202</w:t>
            </w:r>
            <w:r>
              <w:rPr>
                <w:rFonts w:hint="default" w:ascii="Times New Roman" w:hAnsi="Times New Roman" w:cs="Times New Roman"/>
                <w:color w:val="auto"/>
                <w:kern w:val="0"/>
                <w:sz w:val="24"/>
                <w:szCs w:val="20"/>
                <w:highlight w:val="none"/>
                <w:lang w:val="en-US" w:eastAsia="zh-CN"/>
              </w:rPr>
              <w:t>4</w:t>
            </w:r>
            <w:r>
              <w:rPr>
                <w:rFonts w:hint="default" w:ascii="Times New Roman" w:hAnsi="Times New Roman" w:cs="Times New Roman"/>
                <w:color w:val="auto"/>
                <w:kern w:val="0"/>
                <w:sz w:val="24"/>
                <w:szCs w:val="20"/>
                <w:highlight w:val="none"/>
              </w:rPr>
              <w:t>年12月及1~12月全省环境空气质量状况环保快报》（陕西省生态环境厅办公室，202</w:t>
            </w:r>
            <w:r>
              <w:rPr>
                <w:rFonts w:hint="default" w:ascii="Times New Roman" w:hAnsi="Times New Roman" w:cs="Times New Roman"/>
                <w:color w:val="auto"/>
                <w:kern w:val="0"/>
                <w:sz w:val="24"/>
                <w:szCs w:val="20"/>
                <w:highlight w:val="none"/>
                <w:lang w:val="en-US" w:eastAsia="zh-CN"/>
              </w:rPr>
              <w:t>5</w:t>
            </w:r>
            <w:r>
              <w:rPr>
                <w:rFonts w:hint="default" w:ascii="Times New Roman" w:hAnsi="Times New Roman" w:cs="Times New Roman"/>
                <w:color w:val="auto"/>
                <w:kern w:val="0"/>
                <w:sz w:val="24"/>
                <w:szCs w:val="20"/>
                <w:highlight w:val="none"/>
              </w:rPr>
              <w:t>年1月1</w:t>
            </w:r>
            <w:r>
              <w:rPr>
                <w:rFonts w:hint="default" w:ascii="Times New Roman" w:hAnsi="Times New Roman" w:cs="Times New Roman"/>
                <w:color w:val="auto"/>
                <w:kern w:val="0"/>
                <w:sz w:val="24"/>
                <w:szCs w:val="20"/>
                <w:highlight w:val="none"/>
                <w:lang w:val="en-US" w:eastAsia="zh-CN"/>
              </w:rPr>
              <w:t>9</w:t>
            </w:r>
            <w:r>
              <w:rPr>
                <w:rFonts w:hint="default" w:ascii="Times New Roman" w:hAnsi="Times New Roman" w:cs="Times New Roman"/>
                <w:color w:val="auto"/>
                <w:kern w:val="0"/>
                <w:sz w:val="24"/>
                <w:szCs w:val="20"/>
                <w:highlight w:val="none"/>
              </w:rPr>
              <w:t>日发布）中空气常规六项污染物监测结果，对区域环境空气质量现状进行分析，统计结果见下表。</w:t>
            </w:r>
          </w:p>
          <w:p w14:paraId="13B96ED6">
            <w:pPr>
              <w:pStyle w:val="3"/>
              <w:jc w:val="center"/>
              <w:rPr>
                <w:rFonts w:hint="default" w:ascii="Times New Roman" w:hAnsi="Times New Roman" w:cs="Times New Roman"/>
                <w:color w:val="auto"/>
                <w:sz w:val="21"/>
                <w:szCs w:val="21"/>
                <w:highlight w:val="none"/>
                <w:lang w:val="en-US" w:eastAsia="zh-CN"/>
              </w:rPr>
            </w:pPr>
            <w:bookmarkStart w:id="9" w:name="_Toc22954"/>
            <w:r>
              <w:rPr>
                <w:rFonts w:hint="default" w:ascii="Times New Roman" w:hAnsi="Times New Roman" w:cs="Times New Roman"/>
                <w:b/>
                <w:bCs/>
                <w:color w:val="auto"/>
                <w:kern w:val="0"/>
                <w:sz w:val="21"/>
                <w:szCs w:val="21"/>
                <w:highlight w:val="none"/>
                <w:lang w:val="en-US" w:eastAsia="zh-CN"/>
              </w:rPr>
              <w:t>表</w:t>
            </w:r>
            <w:r>
              <w:rPr>
                <w:rFonts w:hint="default" w:ascii="Times New Roman" w:hAnsi="Times New Roman" w:eastAsia="宋体" w:cs="Times New Roman"/>
                <w:b/>
                <w:bCs/>
                <w:color w:val="auto"/>
                <w:kern w:val="0"/>
                <w:sz w:val="21"/>
                <w:szCs w:val="21"/>
                <w:highlight w:val="none"/>
                <w:lang w:val="en-US" w:eastAsia="zh-CN" w:bidi="ar-SA"/>
              </w:rPr>
              <w:t>3-1 本项目所在地达标区判定情况一览表（单位：</w:t>
            </w:r>
            <w:r>
              <w:rPr>
                <w:rFonts w:hint="default" w:ascii="Times New Roman" w:hAnsi="Times New Roman" w:cs="Times New Roman"/>
                <w:b/>
                <w:bCs/>
                <w:color w:val="auto"/>
                <w:kern w:val="0"/>
                <w:sz w:val="21"/>
                <w:szCs w:val="21"/>
                <w:highlight w:val="none"/>
              </w:rPr>
              <w:t>μg/m</w:t>
            </w:r>
            <w:r>
              <w:rPr>
                <w:rFonts w:hint="default" w:ascii="Times New Roman" w:hAnsi="Times New Roman" w:cs="Times New Roman"/>
                <w:b/>
                <w:bCs/>
                <w:color w:val="auto"/>
                <w:kern w:val="0"/>
                <w:sz w:val="21"/>
                <w:szCs w:val="21"/>
                <w:highlight w:val="none"/>
                <w:vertAlign w:val="superscript"/>
              </w:rPr>
              <w:t>3</w:t>
            </w:r>
            <w:r>
              <w:rPr>
                <w:rFonts w:hint="default" w:ascii="Times New Roman" w:hAnsi="Times New Roman" w:eastAsia="宋体" w:cs="Times New Roman"/>
                <w:b/>
                <w:bCs/>
                <w:color w:val="auto"/>
                <w:kern w:val="0"/>
                <w:sz w:val="21"/>
                <w:szCs w:val="21"/>
                <w:highlight w:val="none"/>
                <w:lang w:val="en-US" w:eastAsia="zh-CN" w:bidi="ar-SA"/>
              </w:rPr>
              <w:t>）</w:t>
            </w:r>
            <w:bookmarkEnd w:id="9"/>
          </w:p>
          <w:tbl>
            <w:tblPr>
              <w:tblStyle w:val="25"/>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855"/>
              <w:gridCol w:w="2685"/>
              <w:gridCol w:w="885"/>
              <w:gridCol w:w="900"/>
              <w:gridCol w:w="1110"/>
              <w:gridCol w:w="1230"/>
            </w:tblGrid>
            <w:tr w14:paraId="4298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15" w:type="pct"/>
                  <w:noWrap w:val="0"/>
                  <w:vAlign w:val="center"/>
                </w:tcPr>
                <w:p w14:paraId="37B98F85">
                  <w:pPr>
                    <w:widowControl/>
                    <w:jc w:val="center"/>
                    <w:rPr>
                      <w:rFonts w:hint="default" w:ascii="Times New Roman" w:hAnsi="Times New Roman" w:cs="Times New Roman"/>
                      <w:b/>
                      <w:bCs/>
                      <w:color w:val="auto"/>
                      <w:kern w:val="0"/>
                      <w:sz w:val="21"/>
                      <w:szCs w:val="21"/>
                      <w:highlight w:val="none"/>
                      <w:lang w:val="en-US" w:eastAsia="zh-CN"/>
                    </w:rPr>
                  </w:pPr>
                  <w:r>
                    <w:rPr>
                      <w:rFonts w:hint="default" w:ascii="Times New Roman" w:hAnsi="Times New Roman" w:cs="Times New Roman"/>
                      <w:b/>
                      <w:bCs/>
                      <w:color w:val="auto"/>
                      <w:kern w:val="0"/>
                      <w:sz w:val="21"/>
                      <w:szCs w:val="21"/>
                      <w:highlight w:val="none"/>
                      <w:lang w:val="en-US" w:eastAsia="zh-CN"/>
                    </w:rPr>
                    <w:t>县区</w:t>
                  </w:r>
                </w:p>
                <w:p w14:paraId="42726550">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cs="Times New Roman"/>
                      <w:b/>
                      <w:bCs/>
                      <w:color w:val="auto"/>
                      <w:kern w:val="0"/>
                      <w:sz w:val="21"/>
                      <w:szCs w:val="21"/>
                      <w:highlight w:val="none"/>
                      <w:lang w:val="en-US" w:eastAsia="zh-CN"/>
                    </w:rPr>
                    <w:t>名称</w:t>
                  </w:r>
                </w:p>
              </w:tc>
              <w:tc>
                <w:tcPr>
                  <w:tcW w:w="511" w:type="pct"/>
                  <w:noWrap w:val="0"/>
                  <w:vAlign w:val="center"/>
                </w:tcPr>
                <w:p w14:paraId="6DABFC14">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污染物</w:t>
                  </w:r>
                </w:p>
              </w:tc>
              <w:tc>
                <w:tcPr>
                  <w:tcW w:w="1606" w:type="pct"/>
                  <w:noWrap w:val="0"/>
                  <w:vAlign w:val="center"/>
                </w:tcPr>
                <w:p w14:paraId="3B6D0852">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年评价指标</w:t>
                  </w:r>
                </w:p>
              </w:tc>
              <w:tc>
                <w:tcPr>
                  <w:tcW w:w="529" w:type="pct"/>
                  <w:noWrap w:val="0"/>
                  <w:vAlign w:val="center"/>
                </w:tcPr>
                <w:p w14:paraId="1E9BBE49">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评价</w:t>
                  </w:r>
                </w:p>
                <w:p w14:paraId="5D1ABCAF">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标准</w:t>
                  </w:r>
                </w:p>
              </w:tc>
              <w:tc>
                <w:tcPr>
                  <w:tcW w:w="538" w:type="pct"/>
                  <w:noWrap w:val="0"/>
                  <w:vAlign w:val="center"/>
                </w:tcPr>
                <w:p w14:paraId="019F6E10">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现状</w:t>
                  </w:r>
                </w:p>
                <w:p w14:paraId="4555A583">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浓度</w:t>
                  </w:r>
                </w:p>
              </w:tc>
              <w:tc>
                <w:tcPr>
                  <w:tcW w:w="663" w:type="pct"/>
                  <w:noWrap w:val="0"/>
                  <w:vAlign w:val="center"/>
                </w:tcPr>
                <w:p w14:paraId="42509AF9">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最大浓度</w:t>
                  </w:r>
                </w:p>
                <w:p w14:paraId="319D2610">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占标率</w:t>
                  </w:r>
                </w:p>
              </w:tc>
              <w:tc>
                <w:tcPr>
                  <w:tcW w:w="735" w:type="pct"/>
                  <w:noWrap w:val="0"/>
                  <w:vAlign w:val="center"/>
                </w:tcPr>
                <w:p w14:paraId="009DB406">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达标</w:t>
                  </w:r>
                </w:p>
                <w:p w14:paraId="123E0C14">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情况</w:t>
                  </w:r>
                </w:p>
              </w:tc>
            </w:tr>
            <w:tr w14:paraId="4D96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restart"/>
                  <w:noWrap w:val="0"/>
                  <w:vAlign w:val="center"/>
                </w:tcPr>
                <w:p w14:paraId="56F7DBF8">
                  <w:pPr>
                    <w:widowControl/>
                    <w:jc w:val="center"/>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西咸</w:t>
                  </w:r>
                </w:p>
                <w:p w14:paraId="2CD80B68">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新区</w:t>
                  </w:r>
                </w:p>
              </w:tc>
              <w:tc>
                <w:tcPr>
                  <w:tcW w:w="511" w:type="pct"/>
                  <w:noWrap w:val="0"/>
                  <w:vAlign w:val="center"/>
                </w:tcPr>
                <w:p w14:paraId="73F4E502">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PM</w:t>
                  </w:r>
                  <w:r>
                    <w:rPr>
                      <w:rFonts w:hint="default" w:ascii="Times New Roman" w:hAnsi="Times New Roman" w:cs="Times New Roman"/>
                      <w:color w:val="auto"/>
                      <w:kern w:val="0"/>
                      <w:sz w:val="21"/>
                      <w:szCs w:val="21"/>
                      <w:highlight w:val="none"/>
                      <w:vertAlign w:val="subscript"/>
                    </w:rPr>
                    <w:t>2.5</w:t>
                  </w:r>
                </w:p>
              </w:tc>
              <w:tc>
                <w:tcPr>
                  <w:tcW w:w="1606" w:type="pct"/>
                  <w:noWrap w:val="0"/>
                  <w:vAlign w:val="center"/>
                </w:tcPr>
                <w:p w14:paraId="0947D175">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年平均质量浓度</w:t>
                  </w:r>
                </w:p>
              </w:tc>
              <w:tc>
                <w:tcPr>
                  <w:tcW w:w="529" w:type="pct"/>
                  <w:noWrap w:val="0"/>
                  <w:vAlign w:val="center"/>
                </w:tcPr>
                <w:p w14:paraId="5B2C1A24">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35</w:t>
                  </w:r>
                </w:p>
              </w:tc>
              <w:tc>
                <w:tcPr>
                  <w:tcW w:w="538" w:type="pct"/>
                  <w:noWrap w:val="0"/>
                  <w:vAlign w:val="center"/>
                </w:tcPr>
                <w:p w14:paraId="5BE03749">
                  <w:pPr>
                    <w:widowControl/>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cs="Times New Roman"/>
                      <w:color w:val="auto"/>
                      <w:kern w:val="0"/>
                      <w:sz w:val="21"/>
                      <w:szCs w:val="21"/>
                      <w:highlight w:val="none"/>
                    </w:rPr>
                    <w:t>4</w:t>
                  </w:r>
                  <w:r>
                    <w:rPr>
                      <w:rFonts w:hint="default" w:ascii="Times New Roman" w:hAnsi="Times New Roman" w:cs="Times New Roman"/>
                      <w:color w:val="auto"/>
                      <w:kern w:val="0"/>
                      <w:sz w:val="21"/>
                      <w:szCs w:val="21"/>
                      <w:highlight w:val="none"/>
                      <w:lang w:val="en-US" w:eastAsia="zh-CN"/>
                    </w:rPr>
                    <w:t>3</w:t>
                  </w:r>
                </w:p>
              </w:tc>
              <w:tc>
                <w:tcPr>
                  <w:tcW w:w="663" w:type="pct"/>
                  <w:noWrap w:val="0"/>
                  <w:vAlign w:val="center"/>
                </w:tcPr>
                <w:p w14:paraId="0BDE42C8">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123</w:t>
                  </w:r>
                  <w:r>
                    <w:rPr>
                      <w:rFonts w:hint="default" w:ascii="Times New Roman" w:hAnsi="Times New Roman" w:cs="Times New Roman"/>
                      <w:color w:val="auto"/>
                      <w:kern w:val="0"/>
                      <w:sz w:val="21"/>
                      <w:szCs w:val="21"/>
                      <w:highlight w:val="none"/>
                    </w:rPr>
                    <w:t>%</w:t>
                  </w:r>
                </w:p>
              </w:tc>
              <w:tc>
                <w:tcPr>
                  <w:tcW w:w="735" w:type="pct"/>
                  <w:noWrap w:val="0"/>
                  <w:vAlign w:val="center"/>
                </w:tcPr>
                <w:p w14:paraId="3EF00808">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不达标</w:t>
                  </w:r>
                </w:p>
              </w:tc>
            </w:tr>
            <w:tr w14:paraId="44992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44024237">
                  <w:pPr>
                    <w:widowControl/>
                    <w:jc w:val="center"/>
                    <w:rPr>
                      <w:rFonts w:hint="default" w:ascii="Times New Roman" w:hAnsi="Times New Roman" w:cs="Times New Roman"/>
                      <w:color w:val="auto"/>
                      <w:kern w:val="0"/>
                      <w:sz w:val="21"/>
                      <w:szCs w:val="21"/>
                      <w:highlight w:val="none"/>
                    </w:rPr>
                  </w:pPr>
                </w:p>
              </w:tc>
              <w:tc>
                <w:tcPr>
                  <w:tcW w:w="511" w:type="pct"/>
                  <w:noWrap w:val="0"/>
                  <w:vAlign w:val="center"/>
                </w:tcPr>
                <w:p w14:paraId="61721730">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PM</w:t>
                  </w:r>
                  <w:r>
                    <w:rPr>
                      <w:rFonts w:hint="default" w:ascii="Times New Roman" w:hAnsi="Times New Roman" w:cs="Times New Roman"/>
                      <w:color w:val="auto"/>
                      <w:kern w:val="0"/>
                      <w:sz w:val="21"/>
                      <w:szCs w:val="21"/>
                      <w:highlight w:val="none"/>
                      <w:vertAlign w:val="subscript"/>
                    </w:rPr>
                    <w:t>10</w:t>
                  </w:r>
                </w:p>
              </w:tc>
              <w:tc>
                <w:tcPr>
                  <w:tcW w:w="1606" w:type="pct"/>
                  <w:noWrap w:val="0"/>
                  <w:vAlign w:val="center"/>
                </w:tcPr>
                <w:p w14:paraId="64F4E802">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年平均质量浓度</w:t>
                  </w:r>
                </w:p>
              </w:tc>
              <w:tc>
                <w:tcPr>
                  <w:tcW w:w="529" w:type="pct"/>
                  <w:noWrap w:val="0"/>
                  <w:vAlign w:val="center"/>
                </w:tcPr>
                <w:p w14:paraId="3FF5DD63">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70</w:t>
                  </w:r>
                </w:p>
              </w:tc>
              <w:tc>
                <w:tcPr>
                  <w:tcW w:w="538" w:type="pct"/>
                  <w:noWrap w:val="0"/>
                  <w:vAlign w:val="center"/>
                </w:tcPr>
                <w:p w14:paraId="7B099337">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74</w:t>
                  </w:r>
                </w:p>
              </w:tc>
              <w:tc>
                <w:tcPr>
                  <w:tcW w:w="663" w:type="pct"/>
                  <w:noWrap w:val="0"/>
                  <w:vAlign w:val="center"/>
                </w:tcPr>
                <w:p w14:paraId="35132B3F">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106</w:t>
                  </w:r>
                  <w:r>
                    <w:rPr>
                      <w:rFonts w:hint="default" w:ascii="Times New Roman" w:hAnsi="Times New Roman" w:cs="Times New Roman"/>
                      <w:color w:val="auto"/>
                      <w:kern w:val="0"/>
                      <w:sz w:val="21"/>
                      <w:szCs w:val="21"/>
                      <w:highlight w:val="none"/>
                    </w:rPr>
                    <w:t>%</w:t>
                  </w:r>
                </w:p>
              </w:tc>
              <w:tc>
                <w:tcPr>
                  <w:tcW w:w="735" w:type="pct"/>
                  <w:noWrap w:val="0"/>
                  <w:vAlign w:val="center"/>
                </w:tcPr>
                <w:p w14:paraId="203D85DC">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不达标</w:t>
                  </w:r>
                </w:p>
              </w:tc>
            </w:tr>
            <w:tr w14:paraId="3F0F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2FDF18FB">
                  <w:pPr>
                    <w:widowControl/>
                    <w:jc w:val="center"/>
                    <w:rPr>
                      <w:rFonts w:hint="default" w:ascii="Times New Roman" w:hAnsi="Times New Roman" w:cs="Times New Roman"/>
                      <w:color w:val="auto"/>
                      <w:kern w:val="0"/>
                      <w:sz w:val="21"/>
                      <w:szCs w:val="21"/>
                      <w:highlight w:val="none"/>
                    </w:rPr>
                  </w:pPr>
                </w:p>
              </w:tc>
              <w:tc>
                <w:tcPr>
                  <w:tcW w:w="511" w:type="pct"/>
                  <w:noWrap w:val="0"/>
                  <w:vAlign w:val="center"/>
                </w:tcPr>
                <w:p w14:paraId="3C074FFC">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SO</w:t>
                  </w:r>
                  <w:r>
                    <w:rPr>
                      <w:rFonts w:hint="default" w:ascii="Times New Roman" w:hAnsi="Times New Roman" w:cs="Times New Roman"/>
                      <w:color w:val="auto"/>
                      <w:kern w:val="0"/>
                      <w:sz w:val="21"/>
                      <w:szCs w:val="21"/>
                      <w:highlight w:val="none"/>
                      <w:vertAlign w:val="subscript"/>
                    </w:rPr>
                    <w:t>2</w:t>
                  </w:r>
                </w:p>
              </w:tc>
              <w:tc>
                <w:tcPr>
                  <w:tcW w:w="1606" w:type="pct"/>
                  <w:noWrap w:val="0"/>
                  <w:vAlign w:val="center"/>
                </w:tcPr>
                <w:p w14:paraId="21978D74">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年平均质量浓度</w:t>
                  </w:r>
                </w:p>
              </w:tc>
              <w:tc>
                <w:tcPr>
                  <w:tcW w:w="529" w:type="pct"/>
                  <w:noWrap w:val="0"/>
                  <w:vAlign w:val="center"/>
                </w:tcPr>
                <w:p w14:paraId="0F0E997E">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60</w:t>
                  </w:r>
                </w:p>
              </w:tc>
              <w:tc>
                <w:tcPr>
                  <w:tcW w:w="538" w:type="pct"/>
                  <w:noWrap w:val="0"/>
                  <w:vAlign w:val="center"/>
                </w:tcPr>
                <w:p w14:paraId="79FCD85C">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5</w:t>
                  </w:r>
                  <w:r>
                    <w:rPr>
                      <w:rFonts w:hint="default" w:ascii="Times New Roman" w:hAnsi="Times New Roman" w:cs="Times New Roman"/>
                      <w:color w:val="auto"/>
                      <w:kern w:val="0"/>
                      <w:sz w:val="21"/>
                      <w:szCs w:val="21"/>
                      <w:highlight w:val="none"/>
                    </w:rPr>
                    <w:t>.0</w:t>
                  </w:r>
                </w:p>
              </w:tc>
              <w:tc>
                <w:tcPr>
                  <w:tcW w:w="663" w:type="pct"/>
                  <w:noWrap w:val="0"/>
                  <w:vAlign w:val="center"/>
                </w:tcPr>
                <w:p w14:paraId="3932DAE5">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8</w:t>
                  </w:r>
                  <w:r>
                    <w:rPr>
                      <w:rFonts w:hint="default" w:ascii="Times New Roman" w:hAnsi="Times New Roman" w:cs="Times New Roman"/>
                      <w:color w:val="auto"/>
                      <w:kern w:val="0"/>
                      <w:sz w:val="21"/>
                      <w:szCs w:val="21"/>
                      <w:highlight w:val="none"/>
                    </w:rPr>
                    <w:t>.3%</w:t>
                  </w:r>
                </w:p>
              </w:tc>
              <w:tc>
                <w:tcPr>
                  <w:tcW w:w="735" w:type="pct"/>
                  <w:noWrap w:val="0"/>
                  <w:vAlign w:val="center"/>
                </w:tcPr>
                <w:p w14:paraId="21FDA186">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达标</w:t>
                  </w:r>
                </w:p>
              </w:tc>
            </w:tr>
            <w:tr w14:paraId="08F1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1094CDAE">
                  <w:pPr>
                    <w:widowControl/>
                    <w:jc w:val="center"/>
                    <w:rPr>
                      <w:rFonts w:hint="default" w:ascii="Times New Roman" w:hAnsi="Times New Roman" w:cs="Times New Roman"/>
                      <w:color w:val="auto"/>
                      <w:kern w:val="0"/>
                      <w:sz w:val="21"/>
                      <w:szCs w:val="21"/>
                      <w:highlight w:val="none"/>
                    </w:rPr>
                  </w:pPr>
                </w:p>
              </w:tc>
              <w:tc>
                <w:tcPr>
                  <w:tcW w:w="511" w:type="pct"/>
                  <w:noWrap w:val="0"/>
                  <w:vAlign w:val="center"/>
                </w:tcPr>
                <w:p w14:paraId="7987BDC6">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NO</w:t>
                  </w:r>
                  <w:r>
                    <w:rPr>
                      <w:rFonts w:hint="default" w:ascii="Times New Roman" w:hAnsi="Times New Roman" w:cs="Times New Roman"/>
                      <w:color w:val="auto"/>
                      <w:kern w:val="0"/>
                      <w:sz w:val="21"/>
                      <w:szCs w:val="21"/>
                      <w:highlight w:val="none"/>
                      <w:vertAlign w:val="subscript"/>
                    </w:rPr>
                    <w:t>2</w:t>
                  </w:r>
                </w:p>
              </w:tc>
              <w:tc>
                <w:tcPr>
                  <w:tcW w:w="1606" w:type="pct"/>
                  <w:noWrap w:val="0"/>
                  <w:vAlign w:val="center"/>
                </w:tcPr>
                <w:p w14:paraId="6E7155E9">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年平均质量浓度</w:t>
                  </w:r>
                </w:p>
              </w:tc>
              <w:tc>
                <w:tcPr>
                  <w:tcW w:w="529" w:type="pct"/>
                  <w:noWrap w:val="0"/>
                  <w:vAlign w:val="center"/>
                </w:tcPr>
                <w:p w14:paraId="3BF33CFD">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40</w:t>
                  </w:r>
                </w:p>
              </w:tc>
              <w:tc>
                <w:tcPr>
                  <w:tcW w:w="538" w:type="pct"/>
                  <w:noWrap w:val="0"/>
                  <w:vAlign w:val="center"/>
                </w:tcPr>
                <w:p w14:paraId="6D6F51D8">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31</w:t>
                  </w:r>
                </w:p>
              </w:tc>
              <w:tc>
                <w:tcPr>
                  <w:tcW w:w="663" w:type="pct"/>
                  <w:noWrap w:val="0"/>
                  <w:vAlign w:val="center"/>
                </w:tcPr>
                <w:p w14:paraId="1E72602F">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77.5</w:t>
                  </w:r>
                  <w:r>
                    <w:rPr>
                      <w:rFonts w:hint="default" w:ascii="Times New Roman" w:hAnsi="Times New Roman" w:cs="Times New Roman"/>
                      <w:color w:val="auto"/>
                      <w:kern w:val="0"/>
                      <w:sz w:val="21"/>
                      <w:szCs w:val="21"/>
                      <w:highlight w:val="none"/>
                    </w:rPr>
                    <w:t>%</w:t>
                  </w:r>
                </w:p>
              </w:tc>
              <w:tc>
                <w:tcPr>
                  <w:tcW w:w="735" w:type="pct"/>
                  <w:noWrap w:val="0"/>
                  <w:vAlign w:val="center"/>
                </w:tcPr>
                <w:p w14:paraId="2C1E2388">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达标</w:t>
                  </w:r>
                </w:p>
              </w:tc>
            </w:tr>
            <w:tr w14:paraId="25387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09DB9B4B">
                  <w:pPr>
                    <w:widowControl/>
                    <w:jc w:val="center"/>
                    <w:rPr>
                      <w:rFonts w:hint="default" w:ascii="Times New Roman" w:hAnsi="Times New Roman" w:cs="Times New Roman"/>
                      <w:color w:val="auto"/>
                      <w:kern w:val="0"/>
                      <w:sz w:val="21"/>
                      <w:szCs w:val="21"/>
                      <w:highlight w:val="none"/>
                    </w:rPr>
                  </w:pPr>
                </w:p>
              </w:tc>
              <w:tc>
                <w:tcPr>
                  <w:tcW w:w="511" w:type="pct"/>
                  <w:noWrap w:val="0"/>
                  <w:vAlign w:val="center"/>
                </w:tcPr>
                <w:p w14:paraId="435AD73D">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CO</w:t>
                  </w:r>
                </w:p>
              </w:tc>
              <w:tc>
                <w:tcPr>
                  <w:tcW w:w="2685" w:type="dxa"/>
                  <w:noWrap w:val="0"/>
                  <w:vAlign w:val="center"/>
                </w:tcPr>
                <w:p w14:paraId="13ED9851">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24小时平均浓度</w:t>
                  </w:r>
                </w:p>
                <w:p w14:paraId="338F9C7F">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ascii="Times New Roman" w:hAnsi="Times New Roman" w:cs="Times New Roman"/>
                      <w:b w:val="0"/>
                      <w:bCs w:val="0"/>
                      <w:color w:val="auto"/>
                      <w:sz w:val="21"/>
                      <w:szCs w:val="21"/>
                      <w:highlight w:val="none"/>
                      <w:vertAlign w:val="baseline"/>
                      <w:lang w:val="en-US" w:eastAsia="zh-CN"/>
                    </w:rPr>
                    <w:t>第</w:t>
                  </w:r>
                  <w:r>
                    <w:rPr>
                      <w:rFonts w:hint="default" w:ascii="Times New Roman" w:hAnsi="Times New Roman" w:cs="Times New Roman"/>
                      <w:b w:val="0"/>
                      <w:bCs w:val="0"/>
                      <w:color w:val="auto"/>
                      <w:sz w:val="21"/>
                      <w:szCs w:val="21"/>
                      <w:highlight w:val="none"/>
                      <w:vertAlign w:val="baseline"/>
                      <w:lang w:val="en-US" w:eastAsia="zh-CN"/>
                    </w:rPr>
                    <w:t>95位百分浓度）</w:t>
                  </w:r>
                </w:p>
              </w:tc>
              <w:tc>
                <w:tcPr>
                  <w:tcW w:w="529" w:type="pct"/>
                  <w:noWrap w:val="0"/>
                  <w:vAlign w:val="center"/>
                </w:tcPr>
                <w:p w14:paraId="3178A654">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4000</w:t>
                  </w:r>
                </w:p>
              </w:tc>
              <w:tc>
                <w:tcPr>
                  <w:tcW w:w="538" w:type="pct"/>
                  <w:noWrap w:val="0"/>
                  <w:vAlign w:val="center"/>
                </w:tcPr>
                <w:p w14:paraId="69F18C01">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w:t>
                  </w:r>
                  <w:r>
                    <w:rPr>
                      <w:rFonts w:hint="default" w:ascii="Times New Roman" w:hAnsi="Times New Roman" w:cs="Times New Roman"/>
                      <w:color w:val="auto"/>
                      <w:kern w:val="0"/>
                      <w:sz w:val="21"/>
                      <w:szCs w:val="21"/>
                      <w:highlight w:val="none"/>
                      <w:lang w:val="en-US" w:eastAsia="zh-CN"/>
                    </w:rPr>
                    <w:t>1</w:t>
                  </w:r>
                  <w:r>
                    <w:rPr>
                      <w:rFonts w:hint="default" w:ascii="Times New Roman" w:hAnsi="Times New Roman" w:cs="Times New Roman"/>
                      <w:color w:val="auto"/>
                      <w:kern w:val="0"/>
                      <w:sz w:val="21"/>
                      <w:szCs w:val="21"/>
                      <w:highlight w:val="none"/>
                    </w:rPr>
                    <w:t>00</w:t>
                  </w:r>
                </w:p>
              </w:tc>
              <w:tc>
                <w:tcPr>
                  <w:tcW w:w="663" w:type="pct"/>
                  <w:noWrap w:val="0"/>
                  <w:vAlign w:val="center"/>
                </w:tcPr>
                <w:p w14:paraId="06699F03">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27.5</w:t>
                  </w:r>
                  <w:r>
                    <w:rPr>
                      <w:rFonts w:hint="default" w:ascii="Times New Roman" w:hAnsi="Times New Roman" w:cs="Times New Roman"/>
                      <w:color w:val="auto"/>
                      <w:kern w:val="0"/>
                      <w:sz w:val="21"/>
                      <w:szCs w:val="21"/>
                      <w:highlight w:val="none"/>
                    </w:rPr>
                    <w:t>%</w:t>
                  </w:r>
                </w:p>
              </w:tc>
              <w:tc>
                <w:tcPr>
                  <w:tcW w:w="735" w:type="pct"/>
                  <w:noWrap w:val="0"/>
                  <w:vAlign w:val="center"/>
                </w:tcPr>
                <w:p w14:paraId="221428CD">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达标</w:t>
                  </w:r>
                </w:p>
              </w:tc>
            </w:tr>
            <w:tr w14:paraId="6C23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15" w:type="pct"/>
                  <w:vMerge w:val="continue"/>
                  <w:noWrap w:val="0"/>
                  <w:vAlign w:val="center"/>
                </w:tcPr>
                <w:p w14:paraId="5389EFAB">
                  <w:pPr>
                    <w:widowControl/>
                    <w:jc w:val="center"/>
                    <w:rPr>
                      <w:rFonts w:hint="default" w:ascii="Times New Roman" w:hAnsi="Times New Roman" w:cs="Times New Roman"/>
                      <w:color w:val="auto"/>
                      <w:kern w:val="0"/>
                      <w:sz w:val="21"/>
                      <w:szCs w:val="21"/>
                      <w:highlight w:val="none"/>
                    </w:rPr>
                  </w:pPr>
                </w:p>
              </w:tc>
              <w:tc>
                <w:tcPr>
                  <w:tcW w:w="511" w:type="pct"/>
                  <w:noWrap w:val="0"/>
                  <w:vAlign w:val="center"/>
                </w:tcPr>
                <w:p w14:paraId="5565BF2C">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O</w:t>
                  </w:r>
                  <w:r>
                    <w:rPr>
                      <w:rFonts w:hint="default" w:ascii="Times New Roman" w:hAnsi="Times New Roman" w:cs="Times New Roman"/>
                      <w:color w:val="auto"/>
                      <w:kern w:val="0"/>
                      <w:sz w:val="21"/>
                      <w:szCs w:val="21"/>
                      <w:highlight w:val="none"/>
                      <w:vertAlign w:val="subscript"/>
                    </w:rPr>
                    <w:t>3</w:t>
                  </w:r>
                </w:p>
              </w:tc>
              <w:tc>
                <w:tcPr>
                  <w:tcW w:w="2685" w:type="dxa"/>
                  <w:noWrap w:val="0"/>
                  <w:vAlign w:val="center"/>
                </w:tcPr>
                <w:p w14:paraId="67545D27">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8小时平均浓度</w:t>
                  </w:r>
                </w:p>
                <w:p w14:paraId="000A00F1">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ascii="Times New Roman" w:hAnsi="Times New Roman" w:cs="Times New Roman"/>
                      <w:b w:val="0"/>
                      <w:bCs w:val="0"/>
                      <w:color w:val="auto"/>
                      <w:sz w:val="21"/>
                      <w:szCs w:val="21"/>
                      <w:highlight w:val="none"/>
                      <w:vertAlign w:val="baseline"/>
                      <w:lang w:val="en-US" w:eastAsia="zh-CN"/>
                    </w:rPr>
                    <w:t>第90</w:t>
                  </w:r>
                  <w:r>
                    <w:rPr>
                      <w:rFonts w:hint="default" w:ascii="Times New Roman" w:hAnsi="Times New Roman" w:cs="Times New Roman"/>
                      <w:b w:val="0"/>
                      <w:bCs w:val="0"/>
                      <w:color w:val="auto"/>
                      <w:sz w:val="21"/>
                      <w:szCs w:val="21"/>
                      <w:highlight w:val="none"/>
                      <w:vertAlign w:val="baseline"/>
                      <w:lang w:val="en-US" w:eastAsia="zh-CN"/>
                    </w:rPr>
                    <w:t>位百分浓度）</w:t>
                  </w:r>
                </w:p>
              </w:tc>
              <w:tc>
                <w:tcPr>
                  <w:tcW w:w="529" w:type="pct"/>
                  <w:noWrap w:val="0"/>
                  <w:vAlign w:val="center"/>
                </w:tcPr>
                <w:p w14:paraId="664F4EB6">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160</w:t>
                  </w:r>
                </w:p>
              </w:tc>
              <w:tc>
                <w:tcPr>
                  <w:tcW w:w="538" w:type="pct"/>
                  <w:noWrap w:val="0"/>
                  <w:vAlign w:val="center"/>
                </w:tcPr>
                <w:p w14:paraId="34D6B9D8">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rPr>
                    <w:t>1</w:t>
                  </w:r>
                  <w:r>
                    <w:rPr>
                      <w:rFonts w:hint="default" w:ascii="Times New Roman" w:hAnsi="Times New Roman" w:cs="Times New Roman"/>
                      <w:color w:val="auto"/>
                      <w:kern w:val="0"/>
                      <w:sz w:val="21"/>
                      <w:szCs w:val="21"/>
                      <w:highlight w:val="none"/>
                      <w:lang w:val="en-US" w:eastAsia="zh-CN"/>
                    </w:rPr>
                    <w:t>68</w:t>
                  </w:r>
                </w:p>
              </w:tc>
              <w:tc>
                <w:tcPr>
                  <w:tcW w:w="663" w:type="pct"/>
                  <w:noWrap w:val="0"/>
                  <w:vAlign w:val="center"/>
                </w:tcPr>
                <w:p w14:paraId="3FEF9200">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105</w:t>
                  </w:r>
                  <w:r>
                    <w:rPr>
                      <w:rFonts w:hint="default" w:ascii="Times New Roman" w:hAnsi="Times New Roman" w:cs="Times New Roman"/>
                      <w:color w:val="auto"/>
                      <w:kern w:val="0"/>
                      <w:sz w:val="21"/>
                      <w:szCs w:val="21"/>
                      <w:highlight w:val="none"/>
                    </w:rPr>
                    <w:t>%</w:t>
                  </w:r>
                </w:p>
              </w:tc>
              <w:tc>
                <w:tcPr>
                  <w:tcW w:w="735" w:type="pct"/>
                  <w:noWrap w:val="0"/>
                  <w:vAlign w:val="center"/>
                </w:tcPr>
                <w:p w14:paraId="4C9B589A">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不达标</w:t>
                  </w:r>
                </w:p>
              </w:tc>
            </w:tr>
          </w:tbl>
          <w:p w14:paraId="397DBCB8">
            <w:pPr>
              <w:spacing w:line="360" w:lineRule="auto"/>
              <w:ind w:firstLine="480" w:firstLineChars="200"/>
              <w:contextualSpacing/>
              <w:rPr>
                <w:rFonts w:hint="default" w:ascii="Times New Roman" w:hAnsi="Times New Roman" w:cs="Times New Roman"/>
                <w:color w:val="auto"/>
                <w:kern w:val="0"/>
                <w:sz w:val="24"/>
                <w:szCs w:val="20"/>
                <w:highlight w:val="none"/>
              </w:rPr>
            </w:pPr>
            <w:r>
              <w:rPr>
                <w:rFonts w:hint="default" w:ascii="Times New Roman" w:hAnsi="Times New Roman" w:cs="Times New Roman"/>
                <w:color w:val="auto"/>
                <w:kern w:val="0"/>
                <w:sz w:val="24"/>
                <w:szCs w:val="20"/>
                <w:highlight w:val="none"/>
                <w:lang w:val="en-US" w:eastAsia="zh-CN"/>
              </w:rPr>
              <w:t>由上表可知，</w:t>
            </w:r>
            <w:r>
              <w:rPr>
                <w:rFonts w:hint="default" w:ascii="Times New Roman" w:hAnsi="Times New Roman" w:cs="Times New Roman"/>
                <w:color w:val="auto"/>
                <w:kern w:val="0"/>
                <w:sz w:val="24"/>
                <w:szCs w:val="20"/>
                <w:highlight w:val="none"/>
              </w:rPr>
              <w:t>环境空气</w:t>
            </w:r>
            <w:r>
              <w:rPr>
                <w:rFonts w:hint="default" w:ascii="Times New Roman" w:hAnsi="Times New Roman" w:cs="Times New Roman"/>
                <w:color w:val="auto"/>
                <w:kern w:val="0"/>
                <w:sz w:val="24"/>
                <w:szCs w:val="24"/>
                <w:highlight w:val="none"/>
              </w:rPr>
              <w:t>常规六项指标中，SO</w:t>
            </w:r>
            <w:r>
              <w:rPr>
                <w:rFonts w:hint="default" w:ascii="Times New Roman" w:hAnsi="Times New Roman" w:cs="Times New Roman"/>
                <w:color w:val="auto"/>
                <w:kern w:val="0"/>
                <w:sz w:val="24"/>
                <w:szCs w:val="24"/>
                <w:highlight w:val="none"/>
                <w:vertAlign w:val="subscript"/>
              </w:rPr>
              <w:t>2</w:t>
            </w:r>
            <w:r>
              <w:rPr>
                <w:rFonts w:hint="default" w:ascii="Times New Roman" w:hAnsi="Times New Roman" w:cs="Times New Roman"/>
                <w:color w:val="auto"/>
                <w:kern w:val="0"/>
                <w:sz w:val="24"/>
                <w:szCs w:val="24"/>
                <w:highlight w:val="none"/>
              </w:rPr>
              <w:t>年平均质量浓度、CO</w:t>
            </w:r>
            <w:r>
              <w:rPr>
                <w:rFonts w:hint="eastAsia" w:ascii="Times New Roman" w:hAnsi="Times New Roman" w:cs="Times New Roman"/>
                <w:b w:val="0"/>
                <w:bCs w:val="0"/>
                <w:color w:val="auto"/>
                <w:sz w:val="24"/>
                <w:szCs w:val="24"/>
                <w:highlight w:val="none"/>
                <w:vertAlign w:val="baseline"/>
                <w:lang w:val="en-US" w:eastAsia="zh-CN"/>
              </w:rPr>
              <w:t>第95</w:t>
            </w:r>
            <w:r>
              <w:rPr>
                <w:rFonts w:hint="default" w:ascii="Times New Roman" w:hAnsi="Times New Roman" w:cs="Times New Roman"/>
                <w:b w:val="0"/>
                <w:bCs w:val="0"/>
                <w:color w:val="auto"/>
                <w:sz w:val="24"/>
                <w:szCs w:val="24"/>
                <w:highlight w:val="none"/>
                <w:vertAlign w:val="baseline"/>
                <w:lang w:val="en-US" w:eastAsia="zh-CN"/>
              </w:rPr>
              <w:t>位百分浓度</w:t>
            </w:r>
            <w:r>
              <w:rPr>
                <w:rFonts w:hint="default" w:ascii="Times New Roman" w:hAnsi="Times New Roman" w:cs="Times New Roman"/>
                <w:color w:val="auto"/>
                <w:kern w:val="0"/>
                <w:sz w:val="24"/>
                <w:szCs w:val="24"/>
                <w:highlight w:val="none"/>
              </w:rPr>
              <w:t>24小时平均浓度、NO</w:t>
            </w:r>
            <w:r>
              <w:rPr>
                <w:rFonts w:hint="default" w:ascii="Times New Roman" w:hAnsi="Times New Roman" w:cs="Times New Roman"/>
                <w:color w:val="auto"/>
                <w:kern w:val="0"/>
                <w:sz w:val="24"/>
                <w:szCs w:val="24"/>
                <w:highlight w:val="none"/>
                <w:vertAlign w:val="subscript"/>
              </w:rPr>
              <w:t>2</w:t>
            </w:r>
            <w:r>
              <w:rPr>
                <w:rFonts w:hint="default" w:ascii="Times New Roman" w:hAnsi="Times New Roman" w:cs="Times New Roman"/>
                <w:color w:val="auto"/>
                <w:kern w:val="0"/>
                <w:sz w:val="24"/>
                <w:szCs w:val="24"/>
                <w:highlight w:val="none"/>
              </w:rPr>
              <w:t>年平均质量浓度达到《环境空气质量标准》（GB3095-2012）二级标准要求，PM</w:t>
            </w:r>
            <w:r>
              <w:rPr>
                <w:rFonts w:hint="default" w:ascii="Times New Roman" w:hAnsi="Times New Roman" w:cs="Times New Roman"/>
                <w:color w:val="auto"/>
                <w:kern w:val="0"/>
                <w:sz w:val="24"/>
                <w:szCs w:val="24"/>
                <w:highlight w:val="none"/>
                <w:vertAlign w:val="subscript"/>
              </w:rPr>
              <w:t>2.5</w:t>
            </w:r>
            <w:r>
              <w:rPr>
                <w:rFonts w:hint="default" w:ascii="Times New Roman" w:hAnsi="Times New Roman" w:cs="Times New Roman"/>
                <w:color w:val="auto"/>
                <w:kern w:val="0"/>
                <w:sz w:val="24"/>
                <w:szCs w:val="24"/>
                <w:highlight w:val="none"/>
              </w:rPr>
              <w:t>年平均质量浓度、PM</w:t>
            </w:r>
            <w:r>
              <w:rPr>
                <w:rFonts w:hint="default" w:ascii="Times New Roman" w:hAnsi="Times New Roman" w:cs="Times New Roman"/>
                <w:color w:val="auto"/>
                <w:kern w:val="0"/>
                <w:sz w:val="24"/>
                <w:szCs w:val="24"/>
                <w:highlight w:val="none"/>
                <w:vertAlign w:val="subscript"/>
              </w:rPr>
              <w:t>10</w:t>
            </w:r>
            <w:r>
              <w:rPr>
                <w:rFonts w:hint="default" w:ascii="Times New Roman" w:hAnsi="Times New Roman" w:cs="Times New Roman"/>
                <w:color w:val="auto"/>
                <w:kern w:val="0"/>
                <w:sz w:val="24"/>
                <w:szCs w:val="24"/>
                <w:highlight w:val="none"/>
              </w:rPr>
              <w:t>年平均质量浓度、O</w:t>
            </w:r>
            <w:r>
              <w:rPr>
                <w:rFonts w:hint="default" w:ascii="Times New Roman" w:hAnsi="Times New Roman" w:cs="Times New Roman"/>
                <w:color w:val="auto"/>
                <w:kern w:val="0"/>
                <w:sz w:val="24"/>
                <w:szCs w:val="24"/>
                <w:highlight w:val="none"/>
                <w:vertAlign w:val="subscript"/>
              </w:rPr>
              <w:t>3</w:t>
            </w:r>
            <w:r>
              <w:rPr>
                <w:rFonts w:hint="eastAsia" w:ascii="Times New Roman" w:hAnsi="Times New Roman" w:cs="Times New Roman"/>
                <w:b w:val="0"/>
                <w:bCs w:val="0"/>
                <w:color w:val="auto"/>
                <w:sz w:val="24"/>
                <w:szCs w:val="24"/>
                <w:highlight w:val="none"/>
                <w:vertAlign w:val="baseline"/>
                <w:lang w:val="en-US" w:eastAsia="zh-CN"/>
              </w:rPr>
              <w:t>第90</w:t>
            </w:r>
            <w:r>
              <w:rPr>
                <w:rFonts w:hint="default" w:ascii="Times New Roman" w:hAnsi="Times New Roman" w:cs="Times New Roman"/>
                <w:b w:val="0"/>
                <w:bCs w:val="0"/>
                <w:color w:val="auto"/>
                <w:sz w:val="24"/>
                <w:szCs w:val="24"/>
                <w:highlight w:val="none"/>
                <w:vertAlign w:val="baseline"/>
                <w:lang w:val="en-US" w:eastAsia="zh-CN"/>
              </w:rPr>
              <w:t>位百分浓度</w:t>
            </w:r>
            <w:r>
              <w:rPr>
                <w:rFonts w:hint="default" w:ascii="Times New Roman" w:hAnsi="Times New Roman" w:cs="Times New Roman"/>
                <w:color w:val="auto"/>
                <w:kern w:val="0"/>
                <w:sz w:val="24"/>
                <w:szCs w:val="24"/>
                <w:highlight w:val="none"/>
              </w:rPr>
              <w:t>8小时平均浓度超过《环</w:t>
            </w:r>
            <w:r>
              <w:rPr>
                <w:rFonts w:hint="default" w:ascii="Times New Roman" w:hAnsi="Times New Roman" w:cs="Times New Roman"/>
                <w:color w:val="auto"/>
                <w:kern w:val="0"/>
                <w:sz w:val="24"/>
                <w:szCs w:val="20"/>
                <w:highlight w:val="none"/>
              </w:rPr>
              <w:t>境空气质量标准》（GB3095-2012）二级标准要求。</w:t>
            </w:r>
          </w:p>
          <w:p w14:paraId="17EA15F0">
            <w:pPr>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kern w:val="0"/>
                <w:sz w:val="24"/>
                <w:szCs w:val="20"/>
                <w:highlight w:val="none"/>
              </w:rPr>
              <w:t>根据《环境影响评价技术导则-大气环境》（HJ2.2</w:t>
            </w:r>
            <w:r>
              <w:rPr>
                <w:rFonts w:hint="eastAsia" w:ascii="Times New Roman" w:hAnsi="Times New Roman" w:cs="Times New Roman"/>
                <w:color w:val="auto"/>
                <w:kern w:val="0"/>
                <w:sz w:val="24"/>
                <w:szCs w:val="20"/>
                <w:highlight w:val="none"/>
                <w:lang w:val="en-US" w:eastAsia="zh-CN"/>
              </w:rPr>
              <w:t>-</w:t>
            </w:r>
            <w:r>
              <w:rPr>
                <w:rFonts w:hint="default" w:ascii="Times New Roman" w:hAnsi="Times New Roman" w:cs="Times New Roman"/>
                <w:color w:val="auto"/>
                <w:kern w:val="0"/>
                <w:sz w:val="24"/>
                <w:szCs w:val="20"/>
                <w:highlight w:val="none"/>
              </w:rPr>
              <w:t>2018），城市环境空气质量达标情况评价指标为SO</w:t>
            </w:r>
            <w:r>
              <w:rPr>
                <w:rFonts w:hint="default" w:ascii="Times New Roman" w:hAnsi="Times New Roman" w:cs="Times New Roman"/>
                <w:color w:val="auto"/>
                <w:kern w:val="0"/>
                <w:sz w:val="24"/>
                <w:szCs w:val="20"/>
                <w:highlight w:val="none"/>
                <w:vertAlign w:val="subscript"/>
              </w:rPr>
              <w:t>2</w:t>
            </w:r>
            <w:r>
              <w:rPr>
                <w:rFonts w:hint="default" w:ascii="Times New Roman" w:hAnsi="Times New Roman" w:cs="Times New Roman"/>
                <w:color w:val="auto"/>
                <w:kern w:val="0"/>
                <w:sz w:val="24"/>
                <w:szCs w:val="20"/>
                <w:highlight w:val="none"/>
              </w:rPr>
              <w:t>、NO</w:t>
            </w:r>
            <w:r>
              <w:rPr>
                <w:rFonts w:hint="default" w:ascii="Times New Roman" w:hAnsi="Times New Roman" w:cs="Times New Roman"/>
                <w:color w:val="auto"/>
                <w:kern w:val="0"/>
                <w:sz w:val="24"/>
                <w:szCs w:val="20"/>
                <w:highlight w:val="none"/>
                <w:vertAlign w:val="subscript"/>
              </w:rPr>
              <w:t>2</w:t>
            </w:r>
            <w:r>
              <w:rPr>
                <w:rFonts w:hint="default" w:ascii="Times New Roman" w:hAnsi="Times New Roman" w:cs="Times New Roman"/>
                <w:color w:val="auto"/>
                <w:kern w:val="0"/>
                <w:sz w:val="24"/>
                <w:szCs w:val="20"/>
                <w:highlight w:val="none"/>
              </w:rPr>
              <w:t>、PM</w:t>
            </w:r>
            <w:r>
              <w:rPr>
                <w:rFonts w:hint="default" w:ascii="Times New Roman" w:hAnsi="Times New Roman" w:cs="Times New Roman"/>
                <w:color w:val="auto"/>
                <w:kern w:val="0"/>
                <w:sz w:val="24"/>
                <w:szCs w:val="20"/>
                <w:highlight w:val="none"/>
                <w:vertAlign w:val="subscript"/>
              </w:rPr>
              <w:t>10</w:t>
            </w:r>
            <w:r>
              <w:rPr>
                <w:rFonts w:hint="default" w:ascii="Times New Roman" w:hAnsi="Times New Roman" w:cs="Times New Roman"/>
                <w:color w:val="auto"/>
                <w:kern w:val="0"/>
                <w:sz w:val="24"/>
                <w:szCs w:val="20"/>
                <w:highlight w:val="none"/>
              </w:rPr>
              <w:t>、PM</w:t>
            </w:r>
            <w:r>
              <w:rPr>
                <w:rFonts w:hint="default" w:ascii="Times New Roman" w:hAnsi="Times New Roman" w:cs="Times New Roman"/>
                <w:color w:val="auto"/>
                <w:kern w:val="0"/>
                <w:sz w:val="24"/>
                <w:szCs w:val="20"/>
                <w:highlight w:val="none"/>
                <w:vertAlign w:val="subscript"/>
              </w:rPr>
              <w:t>2.5</w:t>
            </w:r>
            <w:r>
              <w:rPr>
                <w:rFonts w:hint="default" w:ascii="Times New Roman" w:hAnsi="Times New Roman" w:cs="Times New Roman"/>
                <w:color w:val="auto"/>
                <w:kern w:val="0"/>
                <w:sz w:val="24"/>
                <w:szCs w:val="20"/>
                <w:highlight w:val="none"/>
              </w:rPr>
              <w:t>、CO、O</w:t>
            </w:r>
            <w:r>
              <w:rPr>
                <w:rFonts w:hint="default" w:ascii="Times New Roman" w:hAnsi="Times New Roman" w:cs="Times New Roman"/>
                <w:color w:val="auto"/>
                <w:kern w:val="0"/>
                <w:sz w:val="24"/>
                <w:szCs w:val="20"/>
                <w:highlight w:val="none"/>
                <w:vertAlign w:val="subscript"/>
              </w:rPr>
              <w:t>3</w:t>
            </w:r>
            <w:r>
              <w:rPr>
                <w:rFonts w:hint="default" w:ascii="Times New Roman" w:hAnsi="Times New Roman" w:cs="Times New Roman"/>
                <w:color w:val="auto"/>
                <w:kern w:val="0"/>
                <w:sz w:val="24"/>
                <w:szCs w:val="20"/>
                <w:highlight w:val="none"/>
              </w:rPr>
              <w:t>，六项污染物年评价指标全部达标即为</w:t>
            </w:r>
            <w:r>
              <w:rPr>
                <w:rFonts w:hint="default" w:ascii="Times New Roman" w:hAnsi="Times New Roman" w:cs="Times New Roman"/>
                <w:color w:val="auto"/>
                <w:sz w:val="24"/>
                <w:highlight w:val="none"/>
              </w:rPr>
              <w:t>城市环境空气质量达标。因此，本项目所在区域属于不达标区域。</w:t>
            </w:r>
          </w:p>
          <w:p w14:paraId="10E81AC5">
            <w:pPr>
              <w:numPr>
                <w:ilvl w:val="0"/>
                <w:numId w:val="0"/>
              </w:numPr>
              <w:spacing w:line="360" w:lineRule="auto"/>
              <w:ind w:left="0" w:leftChars="0" w:firstLine="0" w:firstLineChars="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kern w:val="2"/>
                <w:sz w:val="24"/>
                <w:szCs w:val="24"/>
                <w:highlight w:val="none"/>
                <w:lang w:val="en-US" w:eastAsia="zh-CN" w:bidi="ar-SA"/>
              </w:rPr>
              <w:t>（2）</w:t>
            </w:r>
            <w:r>
              <w:rPr>
                <w:rFonts w:hint="default" w:ascii="Times New Roman" w:hAnsi="Times New Roman" w:cs="Times New Roman"/>
                <w:color w:val="auto"/>
                <w:sz w:val="24"/>
                <w:szCs w:val="24"/>
                <w:highlight w:val="none"/>
                <w:lang w:val="en-US" w:eastAsia="zh-CN"/>
              </w:rPr>
              <w:t>特征污染物</w:t>
            </w:r>
          </w:p>
          <w:p w14:paraId="6DF99DB3">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i w:val="0"/>
                <w:iCs w:val="0"/>
                <w:caps w:val="0"/>
                <w:color w:val="auto"/>
                <w:spacing w:val="0"/>
                <w:sz w:val="24"/>
                <w:szCs w:val="24"/>
                <w:highlight w:val="none"/>
                <w:shd w:val="clear" w:color="auto" w:fill="FFFFFF"/>
                <w:lang w:val="en-US" w:eastAsia="zh-CN"/>
              </w:rPr>
              <w:t>本项目排放大气特征污染物TSP，引用</w:t>
            </w:r>
            <w:r>
              <w:rPr>
                <w:rFonts w:hint="default" w:ascii="Times New Roman" w:hAnsi="Times New Roman" w:eastAsia="宋体" w:cs="Times New Roman"/>
                <w:color w:val="auto"/>
                <w:sz w:val="24"/>
                <w:szCs w:val="24"/>
                <w:highlight w:val="none"/>
                <w:lang w:val="en-US" w:eastAsia="zh-CN"/>
              </w:rPr>
              <w:t>202</w:t>
            </w: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6</w:t>
            </w:r>
            <w:r>
              <w:rPr>
                <w:rFonts w:hint="default" w:ascii="Times New Roman" w:hAnsi="Times New Roman" w:cs="Times New Roman"/>
                <w:color w:val="auto"/>
                <w:sz w:val="24"/>
                <w:szCs w:val="24"/>
                <w:highlight w:val="none"/>
                <w:lang w:val="en-US" w:eastAsia="zh-CN"/>
              </w:rPr>
              <w:t>月</w:t>
            </w:r>
            <w:r>
              <w:rPr>
                <w:rFonts w:hint="eastAsia" w:ascii="Times New Roman" w:hAnsi="Times New Roman" w:cs="Times New Roman"/>
                <w:color w:val="auto"/>
                <w:sz w:val="24"/>
                <w:szCs w:val="24"/>
                <w:highlight w:val="none"/>
                <w:lang w:val="en-US" w:eastAsia="zh-CN"/>
              </w:rPr>
              <w:t>陕西泽希检测服务有限公司</w:t>
            </w:r>
            <w:r>
              <w:rPr>
                <w:rFonts w:hint="default" w:ascii="Times New Roman" w:hAnsi="Times New Roman" w:eastAsia="宋体" w:cs="Times New Roman"/>
                <w:color w:val="auto"/>
                <w:sz w:val="24"/>
                <w:szCs w:val="24"/>
                <w:highlight w:val="none"/>
                <w:lang w:val="en-US" w:eastAsia="zh-CN"/>
              </w:rPr>
              <w:t>出具的《</w:t>
            </w:r>
            <w:r>
              <w:rPr>
                <w:rFonts w:hint="default" w:ascii="Times New Roman" w:hAnsi="Times New Roman" w:eastAsia="宋体" w:cs="Times New Roman"/>
                <w:b w:val="0"/>
                <w:bCs w:val="0"/>
                <w:color w:val="auto"/>
                <w:sz w:val="24"/>
                <w:szCs w:val="24"/>
                <w:highlight w:val="none"/>
                <w:lang w:val="en-US" w:eastAsia="zh-CN" w:bidi="ar-SA"/>
              </w:rPr>
              <w:t>锂电池新型硅碳负极材料研发应用</w:t>
            </w:r>
            <w:r>
              <w:rPr>
                <w:rFonts w:hint="default" w:ascii="Times New Roman" w:hAnsi="Times New Roman" w:eastAsia="宋体" w:cs="Times New Roman"/>
                <w:color w:val="auto"/>
                <w:sz w:val="24"/>
                <w:szCs w:val="24"/>
                <w:highlight w:val="none"/>
                <w:lang w:val="en-US" w:eastAsia="zh-CN"/>
              </w:rPr>
              <w:t>环境现状监测》</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引用</w:t>
            </w:r>
            <w:r>
              <w:rPr>
                <w:rFonts w:hint="default" w:ascii="Times New Roman" w:hAnsi="Times New Roman" w:eastAsia="宋体" w:cs="Times New Roman"/>
                <w:color w:val="auto"/>
                <w:sz w:val="24"/>
                <w:szCs w:val="24"/>
                <w:highlight w:val="none"/>
                <w:lang w:val="en-US" w:eastAsia="zh-CN"/>
              </w:rPr>
              <w:t>监测报告详见附件</w:t>
            </w:r>
            <w:r>
              <w:rPr>
                <w:rFonts w:hint="eastAsia" w:ascii="Times New Roman" w:hAnsi="Times New Roman"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。本次环境空气监测引用点</w:t>
            </w:r>
            <w:r>
              <w:rPr>
                <w:rFonts w:hint="eastAsia" w:ascii="Times New Roman" w:hAnsi="Times New Roman" w:eastAsia="宋体" w:cs="Times New Roman"/>
                <w:color w:val="auto"/>
                <w:sz w:val="24"/>
                <w:szCs w:val="24"/>
                <w:highlight w:val="none"/>
                <w:lang w:val="en-US" w:eastAsia="zh-CN"/>
              </w:rPr>
              <w:t>为陕西江帆圭智新材料有限公司</w:t>
            </w:r>
            <w:r>
              <w:rPr>
                <w:rFonts w:hint="default" w:ascii="Times New Roman" w:hAnsi="Times New Roman" w:eastAsia="宋体" w:cs="Times New Roman"/>
                <w:color w:val="auto"/>
                <w:sz w:val="24"/>
                <w:szCs w:val="24"/>
                <w:highlight w:val="none"/>
                <w:lang w:val="en-US" w:eastAsia="zh-CN"/>
              </w:rPr>
              <w:t>，位于本项目</w:t>
            </w:r>
            <w:r>
              <w:rPr>
                <w:rFonts w:hint="eastAsia" w:ascii="Times New Roman" w:hAnsi="Times New Roman" w:cs="Times New Roman"/>
                <w:color w:val="auto"/>
                <w:sz w:val="24"/>
                <w:szCs w:val="24"/>
                <w:highlight w:val="none"/>
                <w:lang w:val="en-US" w:eastAsia="zh-CN"/>
              </w:rPr>
              <w:t>东南</w:t>
            </w:r>
            <w:r>
              <w:rPr>
                <w:rFonts w:hint="default" w:ascii="Times New Roman" w:hAnsi="Times New Roman" w:eastAsia="宋体" w:cs="Times New Roman"/>
                <w:color w:val="auto"/>
                <w:sz w:val="24"/>
                <w:szCs w:val="24"/>
                <w:highlight w:val="none"/>
                <w:lang w:val="en-US" w:eastAsia="zh-CN"/>
              </w:rPr>
              <w:t>侧</w:t>
            </w:r>
            <w:r>
              <w:rPr>
                <w:rFonts w:hint="eastAsia" w:ascii="Times New Roman" w:hAnsi="Times New Roman" w:eastAsia="宋体" w:cs="Times New Roman"/>
                <w:color w:val="auto"/>
                <w:sz w:val="24"/>
                <w:szCs w:val="24"/>
                <w:highlight w:val="none"/>
                <w:lang w:val="en-US" w:eastAsia="zh-CN"/>
              </w:rPr>
              <w:t>580</w:t>
            </w:r>
            <w:r>
              <w:rPr>
                <w:rFonts w:hint="default" w:ascii="Times New Roman" w:hAnsi="Times New Roman" w:eastAsia="宋体" w:cs="Times New Roman"/>
                <w:color w:val="auto"/>
                <w:sz w:val="24"/>
                <w:szCs w:val="24"/>
                <w:highlight w:val="none"/>
                <w:lang w:val="en-US" w:eastAsia="zh-CN"/>
              </w:rPr>
              <w:t>m，监测时间202</w:t>
            </w: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lang w:val="en-US" w:eastAsia="zh-CN"/>
              </w:rPr>
              <w:t>日</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月</w:t>
            </w:r>
            <w:r>
              <w:rPr>
                <w:rFonts w:hint="eastAsia" w:ascii="Times New Roman" w:hAnsi="Times New Roman"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lang w:val="en-US" w:eastAsia="zh-CN"/>
              </w:rPr>
              <w:t>日</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符合《建设项目环境影响报告表编制技术指南（污染影响类）（试行）》中</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周边5千米范围内近3年</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的要求。</w:t>
            </w:r>
            <w:r>
              <w:rPr>
                <w:rFonts w:hint="default" w:ascii="Times New Roman" w:hAnsi="Times New Roman" w:cs="Times New Roman"/>
                <w:color w:val="auto"/>
                <w:sz w:val="24"/>
                <w:szCs w:val="24"/>
                <w:highlight w:val="none"/>
                <w:lang w:val="en-US" w:eastAsia="zh-CN"/>
              </w:rPr>
              <w:t>引用</w:t>
            </w:r>
            <w:r>
              <w:rPr>
                <w:rFonts w:hint="default" w:ascii="Times New Roman" w:hAnsi="Times New Roman" w:eastAsia="宋体" w:cs="Times New Roman"/>
                <w:color w:val="auto"/>
                <w:sz w:val="24"/>
                <w:szCs w:val="24"/>
                <w:highlight w:val="none"/>
                <w:lang w:val="en-US" w:eastAsia="zh-CN"/>
              </w:rPr>
              <w:t>监测点位图见附图4。监测结果见下</w:t>
            </w:r>
            <w:r>
              <w:rPr>
                <w:rFonts w:hint="default" w:ascii="Times New Roman" w:hAnsi="Times New Roman" w:eastAsia="宋体" w:cs="Times New Roman"/>
                <w:color w:val="auto"/>
                <w:sz w:val="24"/>
                <w:szCs w:val="24"/>
                <w:highlight w:val="none"/>
              </w:rPr>
              <w:t>表</w:t>
            </w:r>
            <w:r>
              <w:rPr>
                <w:rFonts w:hint="default" w:ascii="Times New Roman" w:hAnsi="Times New Roman" w:eastAsia="宋体" w:cs="Times New Roman"/>
                <w:color w:val="auto"/>
                <w:sz w:val="24"/>
                <w:szCs w:val="24"/>
                <w:highlight w:val="none"/>
                <w:lang w:val="en-US" w:eastAsia="zh-CN"/>
              </w:rPr>
              <w:t>。</w:t>
            </w:r>
          </w:p>
          <w:p w14:paraId="18DA04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表3-2</w:t>
            </w:r>
            <w:r>
              <w:rPr>
                <w:rFonts w:hint="eastAsia"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其他污染物监测点位基本信息</w:t>
            </w:r>
          </w:p>
          <w:tbl>
            <w:tblPr>
              <w:tblStyle w:val="25"/>
              <w:tblW w:w="8338"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972"/>
              <w:gridCol w:w="2621"/>
              <w:gridCol w:w="1740"/>
              <w:gridCol w:w="1715"/>
            </w:tblGrid>
            <w:tr w14:paraId="5F3DAF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73" w:type="pct"/>
                  <w:tcBorders>
                    <w:left w:val="single" w:color="auto" w:sz="0" w:space="0"/>
                    <w:tl2br w:val="nil"/>
                    <w:tr2bl w:val="nil"/>
                  </w:tcBorders>
                  <w:noWrap w:val="0"/>
                  <w:vAlign w:val="center"/>
                </w:tcPr>
                <w:p w14:paraId="79EB2620">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w:t>
                  </w:r>
                </w:p>
                <w:p w14:paraId="78792437">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582" w:type="pct"/>
                  <w:tcBorders>
                    <w:tl2br w:val="nil"/>
                    <w:tr2bl w:val="nil"/>
                  </w:tcBorders>
                  <w:noWrap w:val="0"/>
                  <w:vAlign w:val="center"/>
                </w:tcPr>
                <w:p w14:paraId="12174633">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w:t>
                  </w:r>
                </w:p>
                <w:p w14:paraId="0275EFC6">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因子</w:t>
                  </w:r>
                </w:p>
              </w:tc>
              <w:tc>
                <w:tcPr>
                  <w:tcW w:w="1571" w:type="pct"/>
                  <w:tcBorders>
                    <w:tl2br w:val="nil"/>
                    <w:tr2bl w:val="nil"/>
                  </w:tcBorders>
                  <w:noWrap w:val="0"/>
                  <w:vAlign w:val="center"/>
                </w:tcPr>
                <w:p w14:paraId="567E5B72">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监测时段</w:t>
                  </w:r>
                </w:p>
              </w:tc>
              <w:tc>
                <w:tcPr>
                  <w:tcW w:w="1043" w:type="pct"/>
                  <w:tcBorders>
                    <w:tl2br w:val="nil"/>
                    <w:tr2bl w:val="nil"/>
                  </w:tcBorders>
                  <w:noWrap w:val="0"/>
                  <w:vAlign w:val="center"/>
                </w:tcPr>
                <w:p w14:paraId="2AEE8A80">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相对本项目方位</w:t>
                  </w:r>
                </w:p>
              </w:tc>
              <w:tc>
                <w:tcPr>
                  <w:tcW w:w="1028" w:type="pct"/>
                  <w:tcBorders>
                    <w:right w:val="single" w:color="auto" w:sz="4" w:space="0"/>
                    <w:tl2br w:val="nil"/>
                    <w:tr2bl w:val="nil"/>
                  </w:tcBorders>
                  <w:noWrap w:val="0"/>
                  <w:vAlign w:val="center"/>
                </w:tcPr>
                <w:p w14:paraId="52E4C4E9">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相对本项目距离</w:t>
                  </w:r>
                </w:p>
              </w:tc>
            </w:tr>
            <w:tr w14:paraId="200927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73" w:type="pct"/>
                  <w:tcBorders>
                    <w:left w:val="single" w:color="auto" w:sz="4" w:space="0"/>
                    <w:tl2br w:val="nil"/>
                    <w:tr2bl w:val="nil"/>
                  </w:tcBorders>
                  <w:noWrap w:val="0"/>
                  <w:vAlign w:val="center"/>
                </w:tcPr>
                <w:p w14:paraId="6D60AC91">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陕西江帆</w:t>
                  </w:r>
                </w:p>
                <w:p w14:paraId="53237946">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圭智新材料有限公司</w:t>
                  </w:r>
                </w:p>
              </w:tc>
              <w:tc>
                <w:tcPr>
                  <w:tcW w:w="582" w:type="pct"/>
                  <w:tcBorders>
                    <w:tl2br w:val="nil"/>
                    <w:tr2bl w:val="nil"/>
                  </w:tcBorders>
                  <w:noWrap w:val="0"/>
                  <w:vAlign w:val="center"/>
                </w:tcPr>
                <w:p w14:paraId="15CCF793">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TSP</w:t>
                  </w:r>
                </w:p>
              </w:tc>
              <w:tc>
                <w:tcPr>
                  <w:tcW w:w="1571" w:type="pct"/>
                  <w:tcBorders>
                    <w:tl2br w:val="nil"/>
                    <w:tr2bl w:val="nil"/>
                  </w:tcBorders>
                  <w:noWrap w:val="0"/>
                  <w:vAlign w:val="center"/>
                </w:tcPr>
                <w:p w14:paraId="5232D377">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w:t>
                  </w:r>
                  <w:r>
                    <w:rPr>
                      <w:rFonts w:hint="eastAsia" w:ascii="Times New Roman" w:hAns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月</w:t>
                  </w:r>
                  <w:r>
                    <w:rPr>
                      <w:rFonts w:hint="eastAsia" w:ascii="Times New Roman" w:hAnsi="Times New Roman" w:eastAsia="宋体"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日</w:t>
                  </w:r>
                  <w:r>
                    <w:rPr>
                      <w:rFonts w:hint="eastAsia" w:ascii="Times New Roman" w:hAnsi="Times New Roman" w:eastAsia="宋体"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月</w:t>
                  </w:r>
                  <w:r>
                    <w:rPr>
                      <w:rFonts w:hint="eastAsia" w:ascii="Times New Roman" w:hAnsi="Times New Roman"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lang w:val="en-US" w:eastAsia="zh-CN"/>
                    </w:rPr>
                    <w:t>日</w:t>
                  </w:r>
                </w:p>
              </w:tc>
              <w:tc>
                <w:tcPr>
                  <w:tcW w:w="1043" w:type="pct"/>
                  <w:tcBorders>
                    <w:tl2br w:val="nil"/>
                    <w:tr2bl w:val="nil"/>
                  </w:tcBorders>
                  <w:noWrap w:val="0"/>
                  <w:vAlign w:val="center"/>
                </w:tcPr>
                <w:p w14:paraId="7ADE8D71">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东南侧</w:t>
                  </w:r>
                </w:p>
              </w:tc>
              <w:tc>
                <w:tcPr>
                  <w:tcW w:w="1028" w:type="pct"/>
                  <w:tcBorders>
                    <w:right w:val="single" w:color="auto" w:sz="4" w:space="0"/>
                    <w:tl2br w:val="nil"/>
                    <w:tr2bl w:val="nil"/>
                  </w:tcBorders>
                  <w:noWrap w:val="0"/>
                  <w:vAlign w:val="center"/>
                </w:tcPr>
                <w:p w14:paraId="0F53DC40">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580m</w:t>
                  </w:r>
                </w:p>
              </w:tc>
            </w:tr>
          </w:tbl>
          <w:p w14:paraId="4D1F6F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表3-3</w:t>
            </w:r>
            <w:r>
              <w:rPr>
                <w:rFonts w:hint="eastAsia"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监测结果统计表</w:t>
            </w:r>
          </w:p>
          <w:tbl>
            <w:tblPr>
              <w:tblStyle w:val="25"/>
              <w:tblW w:w="8317"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784"/>
              <w:gridCol w:w="682"/>
              <w:gridCol w:w="1199"/>
              <w:gridCol w:w="1543"/>
              <w:gridCol w:w="1166"/>
              <w:gridCol w:w="818"/>
              <w:gridCol w:w="818"/>
            </w:tblGrid>
            <w:tr w14:paraId="0FFA47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307" w:type="dxa"/>
                  <w:tcBorders>
                    <w:left w:val="single" w:color="auto" w:sz="0" w:space="0"/>
                    <w:tl2br w:val="nil"/>
                    <w:tr2bl w:val="nil"/>
                  </w:tcBorders>
                  <w:noWrap w:val="0"/>
                  <w:vAlign w:val="center"/>
                </w:tcPr>
                <w:p w14:paraId="648628F1">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监测点名称</w:t>
                  </w:r>
                </w:p>
              </w:tc>
              <w:tc>
                <w:tcPr>
                  <w:tcW w:w="784" w:type="dxa"/>
                  <w:tcBorders>
                    <w:tl2br w:val="nil"/>
                    <w:tr2bl w:val="nil"/>
                  </w:tcBorders>
                  <w:noWrap w:val="0"/>
                  <w:vAlign w:val="center"/>
                </w:tcPr>
                <w:p w14:paraId="00F6D412">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682" w:type="dxa"/>
                  <w:tcBorders>
                    <w:tl2br w:val="nil"/>
                    <w:tr2bl w:val="nil"/>
                  </w:tcBorders>
                  <w:noWrap w:val="0"/>
                  <w:vAlign w:val="center"/>
                </w:tcPr>
                <w:p w14:paraId="0F214A07">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平均时间</w:t>
                  </w:r>
                </w:p>
              </w:tc>
              <w:tc>
                <w:tcPr>
                  <w:tcW w:w="1199" w:type="dxa"/>
                  <w:tcBorders>
                    <w:tl2br w:val="nil"/>
                    <w:tr2bl w:val="nil"/>
                  </w:tcBorders>
                  <w:noWrap w:val="0"/>
                  <w:vAlign w:val="center"/>
                </w:tcPr>
                <w:p w14:paraId="3F0C395A">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评价标准</w:t>
                  </w:r>
                  <w:r>
                    <w:rPr>
                      <w:rFonts w:hint="eastAsia" w:ascii="Times New Roman" w:hAnsi="Times New Roman" w:eastAsia="宋体" w:cs="Times New Roman"/>
                      <w:b w:val="0"/>
                      <w:bCs w:val="0"/>
                      <w:color w:val="auto"/>
                      <w:kern w:val="0"/>
                      <w:sz w:val="21"/>
                      <w:szCs w:val="21"/>
                      <w:highlight w:val="none"/>
                      <w:lang w:val="en-US" w:eastAsia="zh-CN" w:bidi="ar"/>
                    </w:rPr>
                    <w:t>m</w:t>
                  </w:r>
                  <w:r>
                    <w:rPr>
                      <w:rFonts w:hint="default" w:ascii="Times New Roman" w:hAnsi="Times New Roman" w:eastAsia="宋体" w:cs="Times New Roman"/>
                      <w:b/>
                      <w:bCs/>
                      <w:color w:val="auto"/>
                      <w:sz w:val="21"/>
                      <w:szCs w:val="21"/>
                      <w:highlight w:val="none"/>
                    </w:rPr>
                    <w:t>g/m</w:t>
                  </w:r>
                  <w:r>
                    <w:rPr>
                      <w:rFonts w:hint="default" w:ascii="Times New Roman" w:hAnsi="Times New Roman" w:eastAsia="宋体" w:cs="Times New Roman"/>
                      <w:b/>
                      <w:bCs/>
                      <w:color w:val="auto"/>
                      <w:sz w:val="21"/>
                      <w:szCs w:val="21"/>
                      <w:highlight w:val="none"/>
                      <w:vertAlign w:val="superscript"/>
                    </w:rPr>
                    <w:t>3</w:t>
                  </w:r>
                </w:p>
              </w:tc>
              <w:tc>
                <w:tcPr>
                  <w:tcW w:w="1543" w:type="dxa"/>
                  <w:tcBorders>
                    <w:tl2br w:val="nil"/>
                    <w:tr2bl w:val="nil"/>
                  </w:tcBorders>
                  <w:noWrap w:val="0"/>
                  <w:vAlign w:val="center"/>
                </w:tcPr>
                <w:p w14:paraId="7B455CB9">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监测浓度范围</w:t>
                  </w:r>
                  <w:r>
                    <w:rPr>
                      <w:rFonts w:hint="eastAsia" w:ascii="Times New Roman" w:hAnsi="Times New Roman" w:eastAsia="宋体" w:cs="Times New Roman"/>
                      <w:b w:val="0"/>
                      <w:bCs w:val="0"/>
                      <w:color w:val="auto"/>
                      <w:kern w:val="0"/>
                      <w:sz w:val="21"/>
                      <w:szCs w:val="21"/>
                      <w:highlight w:val="none"/>
                      <w:lang w:val="en-US" w:eastAsia="zh-CN" w:bidi="ar"/>
                    </w:rPr>
                    <w:t>m</w:t>
                  </w:r>
                  <w:r>
                    <w:rPr>
                      <w:rFonts w:hint="default" w:ascii="Times New Roman" w:hAnsi="Times New Roman" w:eastAsia="宋体" w:cs="Times New Roman"/>
                      <w:b/>
                      <w:bCs/>
                      <w:color w:val="auto"/>
                      <w:sz w:val="21"/>
                      <w:szCs w:val="21"/>
                      <w:highlight w:val="none"/>
                    </w:rPr>
                    <w:t>g/m</w:t>
                  </w:r>
                  <w:r>
                    <w:rPr>
                      <w:rFonts w:hint="default" w:ascii="Times New Roman" w:hAnsi="Times New Roman" w:eastAsia="宋体" w:cs="Times New Roman"/>
                      <w:b/>
                      <w:bCs/>
                      <w:color w:val="auto"/>
                      <w:sz w:val="21"/>
                      <w:szCs w:val="21"/>
                      <w:highlight w:val="none"/>
                      <w:vertAlign w:val="superscript"/>
                    </w:rPr>
                    <w:t>3</w:t>
                  </w:r>
                </w:p>
              </w:tc>
              <w:tc>
                <w:tcPr>
                  <w:tcW w:w="1166" w:type="dxa"/>
                  <w:tcBorders>
                    <w:tl2br w:val="nil"/>
                    <w:tr2bl w:val="nil"/>
                  </w:tcBorders>
                  <w:noWrap w:val="0"/>
                  <w:vAlign w:val="center"/>
                </w:tcPr>
                <w:p w14:paraId="1015ADB0">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最大浓度占标率</w:t>
                  </w:r>
                  <w:r>
                    <w:rPr>
                      <w:rFonts w:hint="default" w:ascii="Times New Roman" w:hAnsi="Times New Roman" w:eastAsia="宋体" w:cs="Times New Roman"/>
                      <w:color w:val="auto"/>
                      <w:sz w:val="21"/>
                      <w:szCs w:val="21"/>
                      <w:highlight w:val="none"/>
                      <w:lang w:val="en-US" w:eastAsia="zh-CN"/>
                    </w:rPr>
                    <w:t>%</w:t>
                  </w:r>
                </w:p>
              </w:tc>
              <w:tc>
                <w:tcPr>
                  <w:tcW w:w="818" w:type="dxa"/>
                  <w:tcBorders>
                    <w:tl2br w:val="nil"/>
                    <w:tr2bl w:val="nil"/>
                  </w:tcBorders>
                  <w:noWrap w:val="0"/>
                  <w:vAlign w:val="center"/>
                </w:tcPr>
                <w:p w14:paraId="104B9B9D">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超标倍数</w:t>
                  </w:r>
                </w:p>
              </w:tc>
              <w:tc>
                <w:tcPr>
                  <w:tcW w:w="818" w:type="dxa"/>
                  <w:tcBorders>
                    <w:right w:val="single" w:color="auto" w:sz="4" w:space="0"/>
                    <w:tl2br w:val="nil"/>
                    <w:tr2bl w:val="nil"/>
                  </w:tcBorders>
                  <w:noWrap w:val="0"/>
                  <w:vAlign w:val="center"/>
                </w:tcPr>
                <w:p w14:paraId="1E49F32C">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达标情况</w:t>
                  </w:r>
                </w:p>
              </w:tc>
            </w:tr>
            <w:tr w14:paraId="6217B1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07" w:type="dxa"/>
                  <w:tcBorders>
                    <w:left w:val="single" w:color="auto" w:sz="4" w:space="0"/>
                    <w:tl2br w:val="nil"/>
                    <w:tr2bl w:val="nil"/>
                  </w:tcBorders>
                  <w:noWrap w:val="0"/>
                  <w:vAlign w:val="center"/>
                </w:tcPr>
                <w:p w14:paraId="083145C8">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陕西江帆</w:t>
                  </w:r>
                </w:p>
                <w:p w14:paraId="7DDB210A">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圭智新材料</w:t>
                  </w:r>
                </w:p>
                <w:p w14:paraId="4095395B">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有限公司</w:t>
                  </w:r>
                </w:p>
              </w:tc>
              <w:tc>
                <w:tcPr>
                  <w:tcW w:w="784" w:type="dxa"/>
                  <w:tcBorders>
                    <w:tl2br w:val="nil"/>
                    <w:tr2bl w:val="nil"/>
                  </w:tcBorders>
                  <w:noWrap w:val="0"/>
                  <w:vAlign w:val="center"/>
                </w:tcPr>
                <w:p w14:paraId="04FDC0DA">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TSP</w:t>
                  </w:r>
                </w:p>
              </w:tc>
              <w:tc>
                <w:tcPr>
                  <w:tcW w:w="682" w:type="dxa"/>
                  <w:tcBorders>
                    <w:tl2br w:val="nil"/>
                    <w:tr2bl w:val="nil"/>
                  </w:tcBorders>
                  <w:noWrap w:val="0"/>
                  <w:vAlign w:val="center"/>
                </w:tcPr>
                <w:p w14:paraId="792B0E2D">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24h</w:t>
                  </w:r>
                </w:p>
              </w:tc>
              <w:tc>
                <w:tcPr>
                  <w:tcW w:w="1199" w:type="dxa"/>
                  <w:tcBorders>
                    <w:tl2br w:val="nil"/>
                    <w:tr2bl w:val="nil"/>
                  </w:tcBorders>
                  <w:noWrap w:val="0"/>
                  <w:vAlign w:val="center"/>
                </w:tcPr>
                <w:p w14:paraId="4BDB0633">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0.3</w:t>
                  </w:r>
                </w:p>
              </w:tc>
              <w:tc>
                <w:tcPr>
                  <w:tcW w:w="1543" w:type="dxa"/>
                  <w:tcBorders>
                    <w:tl2br w:val="nil"/>
                    <w:tr2bl w:val="nil"/>
                  </w:tcBorders>
                  <w:noWrap w:val="0"/>
                  <w:vAlign w:val="center"/>
                </w:tcPr>
                <w:p w14:paraId="129AC558">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0.172-0.181</w:t>
                  </w:r>
                </w:p>
              </w:tc>
              <w:tc>
                <w:tcPr>
                  <w:tcW w:w="1166" w:type="dxa"/>
                  <w:tcBorders>
                    <w:tl2br w:val="nil"/>
                    <w:tr2bl w:val="nil"/>
                  </w:tcBorders>
                  <w:noWrap w:val="0"/>
                  <w:vAlign w:val="center"/>
                </w:tcPr>
                <w:p w14:paraId="5A5F1715">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60.3</w:t>
                  </w:r>
                </w:p>
              </w:tc>
              <w:tc>
                <w:tcPr>
                  <w:tcW w:w="818" w:type="dxa"/>
                  <w:tcBorders>
                    <w:tl2br w:val="nil"/>
                    <w:tr2bl w:val="nil"/>
                  </w:tcBorders>
                  <w:noWrap w:val="0"/>
                  <w:vAlign w:val="center"/>
                </w:tcPr>
                <w:p w14:paraId="28B77B45">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p>
              </w:tc>
              <w:tc>
                <w:tcPr>
                  <w:tcW w:w="818" w:type="dxa"/>
                  <w:tcBorders>
                    <w:right w:val="single" w:color="auto" w:sz="4" w:space="0"/>
                    <w:tl2br w:val="nil"/>
                    <w:tr2bl w:val="nil"/>
                  </w:tcBorders>
                  <w:noWrap w:val="0"/>
                  <w:vAlign w:val="center"/>
                </w:tcPr>
                <w:p w14:paraId="69EBD355">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bl>
          <w:p w14:paraId="614A5AA1">
            <w:pPr>
              <w:keepNext w:val="0"/>
              <w:keepLines w:val="0"/>
              <w:pageBreakBefore w:val="0"/>
              <w:widowControl w:val="0"/>
              <w:tabs>
                <w:tab w:val="left" w:pos="4675"/>
              </w:tabs>
              <w:kinsoku/>
              <w:wordWrap w:val="0"/>
              <w:overflowPunct w:val="0"/>
              <w:topLinePunct w:val="0"/>
              <w:autoSpaceDE/>
              <w:autoSpaceDN/>
              <w:bidi w:val="0"/>
              <w:adjustRightInd w:val="0"/>
              <w:snapToGrid w:val="0"/>
              <w:spacing w:after="0" w:line="360" w:lineRule="auto"/>
              <w:ind w:leftChars="0" w:firstLine="480" w:firstLineChars="200"/>
              <w:jc w:val="both"/>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4"/>
                <w:szCs w:val="24"/>
                <w:highlight w:val="none"/>
                <w:lang w:val="en-US" w:eastAsia="zh-CN"/>
              </w:rPr>
              <w:t>由上表可知</w:t>
            </w:r>
            <w:r>
              <w:rPr>
                <w:rFonts w:hint="default" w:ascii="Times New Roman" w:hAnsi="Times New Roman" w:eastAsia="宋体" w:cs="Times New Roman"/>
                <w:color w:val="auto"/>
                <w:sz w:val="24"/>
                <w:szCs w:val="24"/>
                <w:highlight w:val="none"/>
                <w:lang w:val="en-US" w:eastAsia="zh-CN"/>
              </w:rPr>
              <w:t>，评价区域TSP</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24h</w:t>
            </w:r>
            <w:r>
              <w:rPr>
                <w:rFonts w:hint="eastAsia" w:ascii="Times New Roman" w:hAnsi="Times New Roman" w:eastAsia="宋体" w:cs="Times New Roman"/>
                <w:color w:val="auto"/>
                <w:sz w:val="24"/>
                <w:szCs w:val="24"/>
                <w:highlight w:val="none"/>
                <w:lang w:val="en-US" w:eastAsia="zh-CN"/>
              </w:rPr>
              <w:t>浓度</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《环境空气质量标准》（GB3095-2012）及其修改单</w:t>
            </w:r>
            <w:r>
              <w:rPr>
                <w:rFonts w:hint="default" w:ascii="Times New Roman" w:hAnsi="Times New Roman" w:eastAsia="宋体" w:cs="Times New Roman"/>
                <w:color w:val="auto"/>
                <w:sz w:val="24"/>
                <w:szCs w:val="24"/>
                <w:highlight w:val="none"/>
                <w:lang w:val="en-US" w:eastAsia="zh-CN"/>
              </w:rPr>
              <w:t>中标准限值</w:t>
            </w:r>
            <w:r>
              <w:rPr>
                <w:rFonts w:hint="default" w:ascii="Times New Roman" w:hAnsi="Times New Roman" w:eastAsia="宋体" w:cs="Times New Roman"/>
                <w:color w:val="auto"/>
                <w:sz w:val="24"/>
                <w:szCs w:val="24"/>
                <w:highlight w:val="none"/>
              </w:rPr>
              <w:t>。</w:t>
            </w:r>
          </w:p>
          <w:p w14:paraId="1E9DF968">
            <w:pPr>
              <w:pStyle w:val="3"/>
              <w:numPr>
                <w:ilvl w:val="0"/>
                <w:numId w:val="4"/>
              </w:numPr>
              <w:spacing w:line="360" w:lineRule="auto"/>
              <w:rPr>
                <w:rFonts w:hint="default" w:ascii="Times New Roman" w:hAnsi="Times New Roman" w:cs="Times New Roman"/>
                <w:b/>
                <w:bCs/>
                <w:color w:val="auto"/>
                <w:sz w:val="24"/>
                <w:szCs w:val="24"/>
                <w:highlight w:val="none"/>
                <w:lang w:val="en-US" w:eastAsia="zh-CN"/>
              </w:rPr>
            </w:pPr>
            <w:bookmarkStart w:id="10" w:name="_Toc18978"/>
            <w:r>
              <w:rPr>
                <w:rFonts w:hint="default" w:ascii="Times New Roman" w:hAnsi="Times New Roman" w:cs="Times New Roman"/>
                <w:b/>
                <w:bCs/>
                <w:color w:val="auto"/>
                <w:sz w:val="24"/>
                <w:szCs w:val="24"/>
                <w:highlight w:val="none"/>
                <w:lang w:val="en-US" w:eastAsia="zh-CN"/>
              </w:rPr>
              <w:t>声环境质量现状</w:t>
            </w:r>
            <w:bookmarkEnd w:id="10"/>
          </w:p>
          <w:p w14:paraId="0BFF5ABE">
            <w:pPr>
              <w:spacing w:line="360" w:lineRule="auto"/>
              <w:ind w:firstLine="480" w:firstLineChars="200"/>
              <w:rPr>
                <w:rFonts w:hint="default" w:ascii="Times New Roman" w:hAnsi="Times New Roman" w:eastAsia="宋体" w:cs="Times New Roman"/>
                <w:color w:val="auto"/>
                <w:sz w:val="24"/>
                <w:szCs w:val="24"/>
                <w:highlight w:val="none"/>
                <w:lang w:val="en-US"/>
              </w:rPr>
            </w:pPr>
            <w:r>
              <w:rPr>
                <w:rFonts w:hint="default" w:ascii="Times New Roman" w:hAnsi="Times New Roman" w:cs="Times New Roman"/>
                <w:color w:val="auto"/>
                <w:sz w:val="24"/>
                <w:szCs w:val="24"/>
                <w:highlight w:val="none"/>
                <w:lang w:val="en-US" w:eastAsia="zh-CN"/>
              </w:rPr>
              <w:t>根据《建设项目环境影响报告表编制技术指南（污染影响类）（试行）》中</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厂界外周边50米范围内存在声环境保护目标的建设项目，应监测保护目标声环境质量现状并评价达标情况</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w:t>
            </w:r>
          </w:p>
          <w:p w14:paraId="644B40BC">
            <w:pPr>
              <w:spacing w:line="360" w:lineRule="auto"/>
              <w:ind w:firstLine="480" w:firstLineChars="200"/>
              <w:rPr>
                <w:rFonts w:hint="default" w:ascii="Times New Roman" w:hAnsi="Times New Roman" w:cs="Times New Roman"/>
                <w:b/>
                <w:bCs/>
                <w:color w:val="auto"/>
                <w:highlight w:val="none"/>
                <w:lang w:val="en-US" w:eastAsia="zh-CN"/>
              </w:rPr>
            </w:pPr>
            <w:r>
              <w:rPr>
                <w:rFonts w:hint="default" w:ascii="Times New Roman" w:hAnsi="Times New Roman" w:eastAsia="宋体" w:cs="Times New Roman"/>
                <w:color w:val="auto"/>
                <w:sz w:val="24"/>
                <w:szCs w:val="24"/>
                <w:highlight w:val="none"/>
              </w:rPr>
              <w:t>本项目位于</w:t>
            </w:r>
            <w:r>
              <w:rPr>
                <w:rFonts w:hint="eastAsia" w:ascii="Times New Roman" w:hAnsi="Times New Roman" w:eastAsia="宋体" w:cs="Times New Roman"/>
                <w:color w:val="auto"/>
                <w:sz w:val="24"/>
                <w:szCs w:val="24"/>
                <w:highlight w:val="none"/>
                <w:lang w:val="en-US" w:eastAsia="zh-CN"/>
              </w:rPr>
              <w:t>陕西省西咸新区泾河新城永乐工业园区南北大道陕西国坤时代科技有限公司2号厂房</w:t>
            </w:r>
            <w:r>
              <w:rPr>
                <w:rFonts w:hint="default" w:ascii="Times New Roman" w:hAnsi="Times New Roman" w:cs="Times New Roman"/>
                <w:color w:val="auto"/>
                <w:kern w:val="0"/>
                <w:sz w:val="24"/>
                <w:szCs w:val="22"/>
                <w:highlight w:val="none"/>
                <w:lang w:val="zh-CN" w:bidi="zh-CN"/>
              </w:rPr>
              <w:t>，</w:t>
            </w:r>
            <w:r>
              <w:rPr>
                <w:rFonts w:hint="default" w:ascii="Times New Roman" w:hAnsi="Times New Roman" w:cs="Times New Roman"/>
                <w:color w:val="auto"/>
                <w:kern w:val="0"/>
                <w:sz w:val="24"/>
                <w:szCs w:val="22"/>
                <w:highlight w:val="none"/>
                <w:lang w:val="en-US" w:bidi="zh-CN"/>
              </w:rPr>
              <w:t>根据现场踏勘，项目</w:t>
            </w:r>
            <w:r>
              <w:rPr>
                <w:rFonts w:hint="default" w:ascii="Times New Roman" w:hAnsi="Times New Roman" w:eastAsia="宋体" w:cs="Times New Roman"/>
                <w:color w:val="auto"/>
                <w:sz w:val="24"/>
                <w:szCs w:val="24"/>
                <w:highlight w:val="none"/>
              </w:rPr>
              <w:t>周围为</w:t>
            </w:r>
            <w:r>
              <w:rPr>
                <w:rFonts w:hint="default" w:ascii="Times New Roman" w:hAnsi="Times New Roman" w:eastAsia="宋体" w:cs="Times New Roman"/>
                <w:color w:val="auto"/>
                <w:sz w:val="24"/>
                <w:szCs w:val="24"/>
                <w:highlight w:val="none"/>
                <w:lang w:val="en-US" w:eastAsia="zh-CN"/>
              </w:rPr>
              <w:t>工业企业</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厂界外50m范围内无声环境保护目标</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因此未</w:t>
            </w:r>
            <w:r>
              <w:rPr>
                <w:rFonts w:hint="default" w:ascii="Times New Roman" w:hAnsi="Times New Roman" w:eastAsia="宋体" w:cs="Times New Roman"/>
                <w:color w:val="auto"/>
                <w:sz w:val="24"/>
                <w:szCs w:val="24"/>
                <w:highlight w:val="none"/>
                <w:lang w:val="en-US" w:eastAsia="zh-CN"/>
              </w:rPr>
              <w:t>进行声环境质量现状</w:t>
            </w:r>
            <w:r>
              <w:rPr>
                <w:rFonts w:hint="default" w:ascii="Times New Roman" w:hAnsi="Times New Roman" w:eastAsia="宋体" w:cs="Times New Roman"/>
                <w:color w:val="auto"/>
                <w:sz w:val="24"/>
                <w:szCs w:val="24"/>
                <w:highlight w:val="none"/>
              </w:rPr>
              <w:t>监测。</w:t>
            </w:r>
          </w:p>
          <w:p w14:paraId="576F697C">
            <w:pPr>
              <w:pStyle w:val="3"/>
              <w:numPr>
                <w:ilvl w:val="0"/>
                <w:numId w:val="4"/>
              </w:numPr>
              <w:spacing w:line="360" w:lineRule="auto"/>
              <w:ind w:left="0" w:leftChars="0" w:firstLine="0" w:firstLineChars="0"/>
              <w:rPr>
                <w:rFonts w:hint="default" w:ascii="Times New Roman" w:hAnsi="Times New Roman" w:cs="Times New Roman"/>
                <w:b/>
                <w:bCs/>
                <w:color w:val="auto"/>
                <w:sz w:val="24"/>
                <w:szCs w:val="24"/>
                <w:highlight w:val="none"/>
                <w:lang w:val="en-US" w:eastAsia="zh-CN"/>
              </w:rPr>
            </w:pPr>
            <w:bookmarkStart w:id="11" w:name="_Toc27847"/>
            <w:r>
              <w:rPr>
                <w:rFonts w:hint="default" w:ascii="Times New Roman" w:hAnsi="Times New Roman" w:cs="Times New Roman"/>
                <w:b/>
                <w:bCs/>
                <w:color w:val="auto"/>
                <w:sz w:val="24"/>
                <w:szCs w:val="24"/>
                <w:highlight w:val="none"/>
                <w:lang w:val="en-US" w:eastAsia="zh-CN"/>
              </w:rPr>
              <w:t>生态环境质量现状</w:t>
            </w:r>
            <w:bookmarkEnd w:id="11"/>
          </w:p>
          <w:p w14:paraId="5897EEE5">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val="en-US" w:eastAsia="zh-CN"/>
              </w:rPr>
              <w:t>租赁陕西省西咸新区泾河新城永乐工业园区南北大道陕西国坤时代科技有限公司2号厂房现有厂房</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根据现场踏勘，</w:t>
            </w:r>
            <w:r>
              <w:rPr>
                <w:rFonts w:hint="eastAsia" w:ascii="Times New Roman" w:hAnsi="Times New Roman" w:cs="Times New Roman"/>
                <w:color w:val="auto"/>
                <w:sz w:val="24"/>
                <w:szCs w:val="24"/>
                <w:highlight w:val="none"/>
                <w:lang w:val="en-US" w:eastAsia="zh-CN"/>
              </w:rPr>
              <w:t>本项目在现有厂房内建设</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本项目</w:t>
            </w:r>
            <w:r>
              <w:rPr>
                <w:rFonts w:hint="default" w:ascii="Times New Roman" w:hAnsi="Times New Roman" w:eastAsia="宋体" w:cs="Times New Roman"/>
                <w:color w:val="auto"/>
                <w:sz w:val="24"/>
                <w:highlight w:val="none"/>
                <w:lang w:val="en-US" w:eastAsia="zh-CN"/>
              </w:rPr>
              <w:t>不新增用地，</w:t>
            </w:r>
            <w:r>
              <w:rPr>
                <w:rFonts w:hint="default" w:ascii="Times New Roman" w:hAnsi="Times New Roman" w:eastAsia="宋体" w:cs="Times New Roman"/>
                <w:color w:val="auto"/>
                <w:sz w:val="24"/>
                <w:szCs w:val="24"/>
                <w:highlight w:val="none"/>
              </w:rPr>
              <w:t>用地范围内不涉及生态环境保护目标，</w:t>
            </w:r>
            <w:r>
              <w:rPr>
                <w:rFonts w:hint="default" w:ascii="Times New Roman" w:hAnsi="Times New Roman" w:eastAsia="宋体" w:cs="Times New Roman"/>
                <w:color w:val="auto"/>
                <w:sz w:val="24"/>
                <w:szCs w:val="24"/>
                <w:highlight w:val="none"/>
                <w:lang w:val="en-US" w:eastAsia="zh-CN"/>
              </w:rPr>
              <w:t>因此</w:t>
            </w:r>
            <w:r>
              <w:rPr>
                <w:rFonts w:hint="default" w:ascii="Times New Roman" w:hAnsi="Times New Roman" w:eastAsia="宋体" w:cs="Times New Roman"/>
                <w:color w:val="auto"/>
                <w:sz w:val="24"/>
                <w:szCs w:val="24"/>
                <w:highlight w:val="none"/>
              </w:rPr>
              <w:t>无需进行生态</w:t>
            </w:r>
            <w:r>
              <w:rPr>
                <w:rFonts w:hint="default" w:ascii="Times New Roman" w:hAnsi="Times New Roman" w:eastAsia="宋体" w:cs="Times New Roman"/>
                <w:color w:val="auto"/>
                <w:sz w:val="24"/>
                <w:szCs w:val="24"/>
                <w:highlight w:val="none"/>
                <w:lang w:val="en-US" w:eastAsia="zh-CN"/>
              </w:rPr>
              <w:t>环境</w:t>
            </w:r>
            <w:r>
              <w:rPr>
                <w:rFonts w:hint="default" w:ascii="Times New Roman" w:hAnsi="Times New Roman" w:eastAsia="宋体" w:cs="Times New Roman"/>
                <w:color w:val="auto"/>
                <w:sz w:val="24"/>
                <w:szCs w:val="24"/>
                <w:highlight w:val="none"/>
              </w:rPr>
              <w:t>现状调查。</w:t>
            </w:r>
          </w:p>
          <w:p w14:paraId="2C36F3DA">
            <w:pPr>
              <w:pStyle w:val="3"/>
              <w:numPr>
                <w:ilvl w:val="0"/>
                <w:numId w:val="4"/>
              </w:numPr>
              <w:spacing w:line="360" w:lineRule="auto"/>
              <w:ind w:left="0" w:leftChars="0" w:firstLine="0" w:firstLineChars="0"/>
              <w:rPr>
                <w:rFonts w:hint="default" w:ascii="Times New Roman" w:hAnsi="Times New Roman" w:cs="Times New Roman"/>
                <w:color w:val="auto"/>
                <w:highlight w:val="none"/>
                <w:lang w:val="en-US" w:eastAsia="zh-CN"/>
              </w:rPr>
            </w:pPr>
            <w:bookmarkStart w:id="12" w:name="_Toc9683"/>
            <w:r>
              <w:rPr>
                <w:rFonts w:hint="default" w:ascii="Times New Roman" w:hAnsi="Times New Roman" w:cs="Times New Roman"/>
                <w:b/>
                <w:bCs/>
                <w:color w:val="auto"/>
                <w:sz w:val="24"/>
                <w:szCs w:val="24"/>
                <w:highlight w:val="none"/>
                <w:lang w:val="en-US" w:eastAsia="zh-CN"/>
              </w:rPr>
              <w:t>地下水、土壤环境质量现状</w:t>
            </w:r>
            <w:bookmarkEnd w:id="12"/>
          </w:p>
          <w:p w14:paraId="61DF6501">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根据《建设项目环境影响报告表编制技术指南（污染影响类）（试行）》，地下水、土壤环境原则上不开展环境质量现状调查。</w:t>
            </w:r>
          </w:p>
          <w:p w14:paraId="566F71ED">
            <w:pPr>
              <w:pStyle w:val="3"/>
              <w:spacing w:line="360" w:lineRule="auto"/>
              <w:ind w:firstLine="480" w:firstLineChars="200"/>
              <w:rPr>
                <w:rFonts w:hint="default" w:ascii="Times New Roman" w:hAnsi="Times New Roman" w:cs="Times New Roman"/>
                <w:color w:val="auto"/>
                <w:highlight w:val="none"/>
                <w:lang w:val="en-US" w:eastAsia="zh-CN"/>
              </w:rPr>
            </w:pPr>
            <w:bookmarkStart w:id="13" w:name="_Toc15606"/>
            <w:r>
              <w:rPr>
                <w:rFonts w:hint="default" w:ascii="Times New Roman" w:hAnsi="Times New Roman" w:eastAsia="宋体" w:cs="Times New Roman"/>
                <w:color w:val="auto"/>
                <w:kern w:val="2"/>
                <w:sz w:val="24"/>
                <w:szCs w:val="24"/>
                <w:highlight w:val="none"/>
                <w:lang w:val="en-US" w:eastAsia="zh-CN" w:bidi="ar-SA"/>
              </w:rPr>
              <w:t>本项目</w:t>
            </w:r>
            <w:r>
              <w:rPr>
                <w:rFonts w:hint="eastAsia" w:ascii="Times New Roman" w:hAnsi="Times New Roman" w:eastAsia="宋体" w:cs="Times New Roman"/>
                <w:color w:val="auto"/>
                <w:kern w:val="2"/>
                <w:sz w:val="24"/>
                <w:szCs w:val="24"/>
                <w:highlight w:val="none"/>
                <w:lang w:val="en-US" w:eastAsia="zh-CN" w:bidi="ar-SA"/>
              </w:rPr>
              <w:t>租赁陕西省西咸新区泾河新城永乐工业园区南北大道陕西国坤时代科技有限公司2号厂房现有厂房。</w:t>
            </w:r>
            <w:r>
              <w:rPr>
                <w:rFonts w:hint="default" w:ascii="Times New Roman" w:hAnsi="Times New Roman" w:eastAsia="宋体" w:cs="Times New Roman"/>
                <w:color w:val="auto"/>
                <w:kern w:val="2"/>
                <w:sz w:val="24"/>
                <w:szCs w:val="24"/>
                <w:highlight w:val="none"/>
                <w:lang w:val="en-US" w:eastAsia="zh-CN" w:bidi="ar-SA"/>
              </w:rPr>
              <w:t>根据现场踏勘，现有厂房已进行硬化，无裸露土壤；危废贮存库等均</w:t>
            </w:r>
            <w:r>
              <w:rPr>
                <w:rFonts w:hint="eastAsia" w:ascii="Times New Roman" w:hAnsi="Times New Roman" w:eastAsia="宋体" w:cs="Times New Roman"/>
                <w:color w:val="auto"/>
                <w:kern w:val="2"/>
                <w:sz w:val="24"/>
                <w:szCs w:val="24"/>
                <w:highlight w:val="none"/>
                <w:lang w:val="en-US" w:eastAsia="zh-CN" w:bidi="ar-SA"/>
              </w:rPr>
              <w:t>按照要求进行</w:t>
            </w:r>
            <w:r>
              <w:rPr>
                <w:rFonts w:hint="default" w:ascii="Times New Roman" w:hAnsi="Times New Roman" w:eastAsia="宋体" w:cs="Times New Roman"/>
                <w:color w:val="auto"/>
                <w:kern w:val="2"/>
                <w:sz w:val="24"/>
                <w:szCs w:val="24"/>
                <w:highlight w:val="none"/>
                <w:lang w:val="en-US" w:eastAsia="zh-CN" w:bidi="ar-SA"/>
              </w:rPr>
              <w:t>防渗处理，不存在地下水、土壤环境影响途径。无需开展地下水、土壤环境质量现状调查。</w:t>
            </w:r>
            <w:bookmarkEnd w:id="13"/>
          </w:p>
        </w:tc>
      </w:tr>
      <w:tr w14:paraId="06707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464" w:type="dxa"/>
            <w:noWrap w:val="0"/>
            <w:vAlign w:val="center"/>
          </w:tcPr>
          <w:p w14:paraId="7AA65B85">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环境</w:t>
            </w:r>
          </w:p>
          <w:p w14:paraId="75FCE4BB">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保护</w:t>
            </w:r>
          </w:p>
          <w:p w14:paraId="77A1054F">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目标</w:t>
            </w:r>
          </w:p>
        </w:tc>
        <w:tc>
          <w:tcPr>
            <w:tcW w:w="8526" w:type="dxa"/>
            <w:noWrap w:val="0"/>
            <w:vAlign w:val="top"/>
          </w:tcPr>
          <w:p w14:paraId="63B5B883">
            <w:pPr>
              <w:numPr>
                <w:ilvl w:val="0"/>
                <w:numId w:val="5"/>
              </w:numPr>
              <w:adjustRightInd w:val="0"/>
              <w:snapToGrid w:val="0"/>
              <w:spacing w:line="360" w:lineRule="auto"/>
              <w:jc w:val="both"/>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大气环境</w:t>
            </w:r>
          </w:p>
          <w:p w14:paraId="611923FF">
            <w:pPr>
              <w:pStyle w:val="3"/>
              <w:spacing w:line="360" w:lineRule="auto"/>
              <w:ind w:firstLine="480" w:firstLineChars="200"/>
              <w:rPr>
                <w:rFonts w:hint="default" w:ascii="Times New Roman" w:hAnsi="Times New Roman" w:eastAsia="宋体" w:cs="Times New Roman"/>
                <w:color w:val="auto"/>
                <w:sz w:val="24"/>
                <w:szCs w:val="24"/>
                <w:highlight w:val="none"/>
                <w:lang w:val="en-US" w:eastAsia="zh-CN"/>
              </w:rPr>
            </w:pPr>
            <w:bookmarkStart w:id="14" w:name="_Toc19306"/>
            <w:r>
              <w:rPr>
                <w:rFonts w:hint="default" w:ascii="Times New Roman" w:hAnsi="Times New Roman" w:cs="Times New Roman"/>
                <w:color w:val="auto"/>
                <w:sz w:val="24"/>
                <w:szCs w:val="24"/>
                <w:highlight w:val="none"/>
                <w:lang w:val="en-US" w:eastAsia="zh-CN"/>
              </w:rPr>
              <w:t>本项目厂界外500米范围内无自然保护区、风景名胜区</w:t>
            </w:r>
            <w:r>
              <w:rPr>
                <w:rFonts w:hint="eastAsia" w:ascii="Times New Roman" w:hAnsi="Times New Roman" w:cs="Times New Roman"/>
                <w:color w:val="auto"/>
                <w:sz w:val="24"/>
                <w:szCs w:val="24"/>
                <w:highlight w:val="none"/>
                <w:lang w:val="en-US" w:eastAsia="zh-CN"/>
              </w:rPr>
              <w:t>和</w:t>
            </w:r>
            <w:r>
              <w:rPr>
                <w:rFonts w:hint="default" w:ascii="Times New Roman" w:hAnsi="Times New Roman" w:cs="Times New Roman"/>
                <w:color w:val="auto"/>
                <w:sz w:val="24"/>
                <w:szCs w:val="24"/>
                <w:highlight w:val="none"/>
                <w:lang w:val="en-US" w:eastAsia="zh-CN"/>
              </w:rPr>
              <w:t>文化区等保</w:t>
            </w:r>
            <w:r>
              <w:rPr>
                <w:rFonts w:hint="default" w:ascii="Times New Roman" w:hAnsi="Times New Roman" w:eastAsia="宋体" w:cs="Times New Roman"/>
                <w:color w:val="auto"/>
                <w:sz w:val="24"/>
                <w:szCs w:val="24"/>
                <w:highlight w:val="none"/>
                <w:lang w:val="en-US" w:eastAsia="zh-CN"/>
              </w:rPr>
              <w:t>护目标</w:t>
            </w:r>
            <w:r>
              <w:rPr>
                <w:rFonts w:hint="eastAsia" w:ascii="Times New Roman" w:hAnsi="Times New Roman" w:eastAsia="宋体" w:cs="Times New Roman"/>
                <w:color w:val="auto"/>
                <w:sz w:val="24"/>
                <w:szCs w:val="24"/>
                <w:highlight w:val="none"/>
                <w:lang w:val="en-US" w:eastAsia="zh-CN"/>
              </w:rPr>
              <w:t>，</w:t>
            </w:r>
            <w:r>
              <w:rPr>
                <w:rFonts w:hint="eastAsia"/>
                <w:color w:val="auto"/>
                <w:kern w:val="0"/>
                <w:sz w:val="24"/>
                <w:szCs w:val="20"/>
                <w:highlight w:val="none"/>
              </w:rPr>
              <w:t>项目厂界外500m范围内大气环境保护目标</w:t>
            </w:r>
            <w:r>
              <w:rPr>
                <w:rFonts w:hint="eastAsia"/>
                <w:color w:val="auto"/>
                <w:kern w:val="0"/>
                <w:sz w:val="24"/>
                <w:szCs w:val="20"/>
                <w:highlight w:val="none"/>
                <w:lang w:val="en-US" w:eastAsia="zh-CN"/>
              </w:rPr>
              <w:t>见下表</w:t>
            </w:r>
            <w:r>
              <w:rPr>
                <w:rFonts w:hint="default" w:ascii="Times New Roman" w:hAnsi="Times New Roman" w:eastAsia="宋体" w:cs="Times New Roman"/>
                <w:color w:val="auto"/>
                <w:sz w:val="24"/>
                <w:szCs w:val="24"/>
                <w:highlight w:val="none"/>
                <w:lang w:val="en-US" w:eastAsia="zh-CN"/>
              </w:rPr>
              <w:t>。</w:t>
            </w:r>
            <w:bookmarkEnd w:id="14"/>
          </w:p>
          <w:p w14:paraId="1C2C3E8C">
            <w:pPr>
              <w:snapToGrid w:val="0"/>
              <w:jc w:val="center"/>
              <w:rPr>
                <w:b/>
                <w:bCs/>
                <w:color w:val="auto"/>
                <w:kern w:val="0"/>
                <w:szCs w:val="21"/>
                <w:highlight w:val="none"/>
              </w:rPr>
            </w:pPr>
            <w:r>
              <w:rPr>
                <w:b/>
                <w:bCs/>
                <w:color w:val="auto"/>
                <w:kern w:val="0"/>
                <w:szCs w:val="21"/>
                <w:highlight w:val="none"/>
              </w:rPr>
              <w:t>表</w:t>
            </w:r>
            <w:r>
              <w:rPr>
                <w:rFonts w:hint="eastAsia"/>
                <w:b/>
                <w:bCs/>
                <w:color w:val="auto"/>
                <w:kern w:val="0"/>
                <w:szCs w:val="21"/>
                <w:highlight w:val="none"/>
              </w:rPr>
              <w:t>3-</w:t>
            </w:r>
            <w:r>
              <w:rPr>
                <w:rFonts w:hint="eastAsia"/>
                <w:b/>
                <w:bCs/>
                <w:color w:val="auto"/>
                <w:kern w:val="0"/>
                <w:szCs w:val="21"/>
                <w:highlight w:val="none"/>
                <w:lang w:val="en-US" w:eastAsia="zh-CN"/>
              </w:rPr>
              <w:t xml:space="preserve">4 </w:t>
            </w:r>
            <w:r>
              <w:rPr>
                <w:b/>
                <w:bCs/>
                <w:color w:val="auto"/>
                <w:kern w:val="0"/>
                <w:szCs w:val="21"/>
                <w:highlight w:val="none"/>
              </w:rPr>
              <w:t>主要环境保护目标一览表</w:t>
            </w:r>
          </w:p>
          <w:tbl>
            <w:tblPr>
              <w:tblStyle w:val="25"/>
              <w:tblW w:w="49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56"/>
              <w:gridCol w:w="543"/>
              <w:gridCol w:w="859"/>
              <w:gridCol w:w="811"/>
              <w:gridCol w:w="551"/>
              <w:gridCol w:w="704"/>
              <w:gridCol w:w="2010"/>
              <w:gridCol w:w="680"/>
              <w:gridCol w:w="680"/>
              <w:gridCol w:w="826"/>
            </w:tblGrid>
            <w:tr w14:paraId="142C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tblHeader/>
                <w:jc w:val="center"/>
              </w:trPr>
              <w:tc>
                <w:tcPr>
                  <w:tcW w:w="338" w:type="pct"/>
                  <w:vMerge w:val="restart"/>
                  <w:noWrap w:val="0"/>
                  <w:vAlign w:val="center"/>
                </w:tcPr>
                <w:p w14:paraId="04035B11">
                  <w:pPr>
                    <w:adjustRightInd w:val="0"/>
                    <w:snapToGrid w:val="0"/>
                    <w:jc w:val="center"/>
                    <w:rPr>
                      <w:color w:val="auto"/>
                      <w:kern w:val="0"/>
                      <w:szCs w:val="21"/>
                      <w:highlight w:val="none"/>
                    </w:rPr>
                  </w:pPr>
                  <w:r>
                    <w:rPr>
                      <w:color w:val="auto"/>
                      <w:kern w:val="0"/>
                      <w:szCs w:val="21"/>
                      <w:highlight w:val="none"/>
                    </w:rPr>
                    <w:t>环境</w:t>
                  </w:r>
                </w:p>
                <w:p w14:paraId="3092A961">
                  <w:pPr>
                    <w:adjustRightInd w:val="0"/>
                    <w:snapToGrid w:val="0"/>
                    <w:jc w:val="center"/>
                    <w:rPr>
                      <w:b/>
                      <w:color w:val="auto"/>
                      <w:szCs w:val="21"/>
                      <w:highlight w:val="none"/>
                    </w:rPr>
                  </w:pPr>
                  <w:r>
                    <w:rPr>
                      <w:color w:val="auto"/>
                      <w:kern w:val="0"/>
                      <w:szCs w:val="21"/>
                      <w:highlight w:val="none"/>
                    </w:rPr>
                    <w:t>要素</w:t>
                  </w:r>
                </w:p>
              </w:tc>
              <w:tc>
                <w:tcPr>
                  <w:tcW w:w="330" w:type="pct"/>
                  <w:vMerge w:val="restart"/>
                  <w:noWrap w:val="0"/>
                  <w:vAlign w:val="center"/>
                </w:tcPr>
                <w:p w14:paraId="38954286">
                  <w:pPr>
                    <w:adjustRightInd w:val="0"/>
                    <w:snapToGrid w:val="0"/>
                    <w:jc w:val="center"/>
                    <w:rPr>
                      <w:b/>
                      <w:color w:val="auto"/>
                      <w:szCs w:val="21"/>
                      <w:highlight w:val="none"/>
                    </w:rPr>
                  </w:pPr>
                  <w:r>
                    <w:rPr>
                      <w:bCs/>
                      <w:color w:val="auto"/>
                      <w:szCs w:val="21"/>
                      <w:highlight w:val="none"/>
                    </w:rPr>
                    <w:t>名称</w:t>
                  </w:r>
                </w:p>
              </w:tc>
              <w:tc>
                <w:tcPr>
                  <w:tcW w:w="1015" w:type="pct"/>
                  <w:gridSpan w:val="2"/>
                  <w:noWrap w:val="0"/>
                  <w:vAlign w:val="center"/>
                </w:tcPr>
                <w:p w14:paraId="4A211A04">
                  <w:pPr>
                    <w:adjustRightInd w:val="0"/>
                    <w:snapToGrid w:val="0"/>
                    <w:jc w:val="center"/>
                    <w:rPr>
                      <w:color w:val="auto"/>
                      <w:kern w:val="0"/>
                      <w:szCs w:val="21"/>
                      <w:highlight w:val="none"/>
                    </w:rPr>
                  </w:pPr>
                  <w:r>
                    <w:rPr>
                      <w:color w:val="auto"/>
                      <w:kern w:val="0"/>
                      <w:szCs w:val="21"/>
                      <w:highlight w:val="none"/>
                    </w:rPr>
                    <w:t>坐标/m</w:t>
                  </w:r>
                </w:p>
              </w:tc>
              <w:tc>
                <w:tcPr>
                  <w:tcW w:w="335" w:type="pct"/>
                  <w:vMerge w:val="restart"/>
                  <w:noWrap w:val="0"/>
                  <w:vAlign w:val="center"/>
                </w:tcPr>
                <w:p w14:paraId="0219F768">
                  <w:pPr>
                    <w:adjustRightInd w:val="0"/>
                    <w:snapToGrid w:val="0"/>
                    <w:jc w:val="center"/>
                    <w:rPr>
                      <w:color w:val="auto"/>
                      <w:kern w:val="0"/>
                      <w:szCs w:val="21"/>
                      <w:highlight w:val="none"/>
                    </w:rPr>
                  </w:pPr>
                  <w:r>
                    <w:rPr>
                      <w:color w:val="auto"/>
                      <w:kern w:val="0"/>
                      <w:szCs w:val="21"/>
                      <w:highlight w:val="none"/>
                    </w:rPr>
                    <w:t>保护</w:t>
                  </w:r>
                </w:p>
                <w:p w14:paraId="2308860C">
                  <w:pPr>
                    <w:adjustRightInd w:val="0"/>
                    <w:snapToGrid w:val="0"/>
                    <w:jc w:val="center"/>
                    <w:rPr>
                      <w:color w:val="auto"/>
                      <w:kern w:val="0"/>
                      <w:szCs w:val="21"/>
                      <w:highlight w:val="none"/>
                    </w:rPr>
                  </w:pPr>
                  <w:r>
                    <w:rPr>
                      <w:color w:val="auto"/>
                      <w:kern w:val="0"/>
                      <w:szCs w:val="21"/>
                      <w:highlight w:val="none"/>
                    </w:rPr>
                    <w:t>对象</w:t>
                  </w:r>
                </w:p>
              </w:tc>
              <w:tc>
                <w:tcPr>
                  <w:tcW w:w="428" w:type="pct"/>
                  <w:vMerge w:val="restart"/>
                  <w:noWrap w:val="0"/>
                  <w:vAlign w:val="center"/>
                </w:tcPr>
                <w:p w14:paraId="6A2EFA21">
                  <w:pPr>
                    <w:adjustRightInd w:val="0"/>
                    <w:snapToGrid w:val="0"/>
                    <w:jc w:val="center"/>
                    <w:rPr>
                      <w:rFonts w:hint="eastAsia"/>
                      <w:color w:val="auto"/>
                      <w:kern w:val="0"/>
                      <w:szCs w:val="21"/>
                      <w:highlight w:val="none"/>
                    </w:rPr>
                  </w:pPr>
                  <w:r>
                    <w:rPr>
                      <w:rFonts w:hint="eastAsia"/>
                      <w:color w:val="auto"/>
                      <w:kern w:val="0"/>
                      <w:szCs w:val="21"/>
                      <w:highlight w:val="none"/>
                    </w:rPr>
                    <w:t>人数</w:t>
                  </w:r>
                </w:p>
                <w:p w14:paraId="55DEC6FB">
                  <w:pPr>
                    <w:adjustRightInd w:val="0"/>
                    <w:snapToGrid w:val="0"/>
                    <w:jc w:val="center"/>
                    <w:rPr>
                      <w:color w:val="auto"/>
                      <w:kern w:val="0"/>
                      <w:szCs w:val="21"/>
                      <w:highlight w:val="none"/>
                    </w:rPr>
                  </w:pPr>
                  <w:r>
                    <w:rPr>
                      <w:rFonts w:hint="eastAsia"/>
                      <w:color w:val="auto"/>
                      <w:kern w:val="0"/>
                      <w:szCs w:val="21"/>
                      <w:highlight w:val="none"/>
                      <w:lang w:val="en-US" w:eastAsia="zh-CN"/>
                    </w:rPr>
                    <w:t>/</w:t>
                  </w:r>
                  <w:r>
                    <w:rPr>
                      <w:rFonts w:hint="eastAsia"/>
                      <w:color w:val="auto"/>
                      <w:kern w:val="0"/>
                      <w:szCs w:val="21"/>
                      <w:highlight w:val="none"/>
                    </w:rPr>
                    <w:t>人</w:t>
                  </w:r>
                </w:p>
              </w:tc>
              <w:tc>
                <w:tcPr>
                  <w:tcW w:w="1222" w:type="pct"/>
                  <w:vMerge w:val="restart"/>
                  <w:noWrap w:val="0"/>
                  <w:vAlign w:val="center"/>
                </w:tcPr>
                <w:p w14:paraId="7954673C">
                  <w:pPr>
                    <w:adjustRightInd w:val="0"/>
                    <w:snapToGrid w:val="0"/>
                    <w:jc w:val="center"/>
                    <w:rPr>
                      <w:color w:val="auto"/>
                      <w:kern w:val="0"/>
                      <w:szCs w:val="21"/>
                      <w:highlight w:val="none"/>
                    </w:rPr>
                  </w:pPr>
                  <w:r>
                    <w:rPr>
                      <w:rFonts w:hint="eastAsia"/>
                      <w:color w:val="auto"/>
                      <w:kern w:val="0"/>
                      <w:szCs w:val="21"/>
                      <w:highlight w:val="none"/>
                    </w:rPr>
                    <w:t>质量标准</w:t>
                  </w:r>
                </w:p>
              </w:tc>
              <w:tc>
                <w:tcPr>
                  <w:tcW w:w="413" w:type="pct"/>
                  <w:vMerge w:val="restart"/>
                  <w:noWrap w:val="0"/>
                  <w:vAlign w:val="center"/>
                </w:tcPr>
                <w:p w14:paraId="6D144029">
                  <w:pPr>
                    <w:adjustRightInd w:val="0"/>
                    <w:snapToGrid w:val="0"/>
                    <w:jc w:val="center"/>
                    <w:rPr>
                      <w:color w:val="auto"/>
                      <w:kern w:val="0"/>
                      <w:szCs w:val="21"/>
                      <w:highlight w:val="none"/>
                    </w:rPr>
                  </w:pPr>
                  <w:r>
                    <w:rPr>
                      <w:color w:val="auto"/>
                      <w:kern w:val="0"/>
                      <w:szCs w:val="21"/>
                      <w:highlight w:val="none"/>
                    </w:rPr>
                    <w:t>环境功能区</w:t>
                  </w:r>
                </w:p>
              </w:tc>
              <w:tc>
                <w:tcPr>
                  <w:tcW w:w="413" w:type="pct"/>
                  <w:vMerge w:val="restart"/>
                  <w:noWrap w:val="0"/>
                  <w:vAlign w:val="center"/>
                </w:tcPr>
                <w:p w14:paraId="4F8A34D2">
                  <w:pPr>
                    <w:adjustRightInd w:val="0"/>
                    <w:snapToGrid w:val="0"/>
                    <w:jc w:val="center"/>
                    <w:rPr>
                      <w:color w:val="auto"/>
                      <w:kern w:val="0"/>
                      <w:szCs w:val="21"/>
                      <w:highlight w:val="none"/>
                    </w:rPr>
                  </w:pPr>
                  <w:r>
                    <w:rPr>
                      <w:color w:val="auto"/>
                      <w:kern w:val="0"/>
                      <w:szCs w:val="21"/>
                      <w:highlight w:val="none"/>
                    </w:rPr>
                    <w:t>相对厂址方位</w:t>
                  </w:r>
                </w:p>
              </w:tc>
              <w:tc>
                <w:tcPr>
                  <w:tcW w:w="502" w:type="pct"/>
                  <w:vMerge w:val="restart"/>
                  <w:noWrap w:val="0"/>
                  <w:vAlign w:val="center"/>
                </w:tcPr>
                <w:p w14:paraId="12A06996">
                  <w:pPr>
                    <w:adjustRightInd w:val="0"/>
                    <w:snapToGrid w:val="0"/>
                    <w:jc w:val="center"/>
                    <w:rPr>
                      <w:color w:val="auto"/>
                      <w:kern w:val="0"/>
                      <w:szCs w:val="21"/>
                      <w:highlight w:val="none"/>
                    </w:rPr>
                  </w:pPr>
                  <w:r>
                    <w:rPr>
                      <w:color w:val="auto"/>
                      <w:kern w:val="0"/>
                      <w:szCs w:val="21"/>
                      <w:highlight w:val="none"/>
                    </w:rPr>
                    <w:t>相对厂界距离/m</w:t>
                  </w:r>
                </w:p>
              </w:tc>
            </w:tr>
            <w:tr w14:paraId="1555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 w:hRule="atLeast"/>
                <w:tblHeader/>
                <w:jc w:val="center"/>
              </w:trPr>
              <w:tc>
                <w:tcPr>
                  <w:tcW w:w="338" w:type="pct"/>
                  <w:vMerge w:val="continue"/>
                  <w:noWrap w:val="0"/>
                  <w:vAlign w:val="center"/>
                </w:tcPr>
                <w:p w14:paraId="144AF122">
                  <w:pPr>
                    <w:adjustRightInd w:val="0"/>
                    <w:snapToGrid w:val="0"/>
                    <w:jc w:val="center"/>
                    <w:rPr>
                      <w:b/>
                      <w:color w:val="auto"/>
                      <w:szCs w:val="21"/>
                      <w:highlight w:val="none"/>
                    </w:rPr>
                  </w:pPr>
                </w:p>
              </w:tc>
              <w:tc>
                <w:tcPr>
                  <w:tcW w:w="330" w:type="pct"/>
                  <w:vMerge w:val="continue"/>
                  <w:noWrap w:val="0"/>
                  <w:vAlign w:val="center"/>
                </w:tcPr>
                <w:p w14:paraId="72858A6E">
                  <w:pPr>
                    <w:adjustRightInd w:val="0"/>
                    <w:snapToGrid w:val="0"/>
                    <w:jc w:val="center"/>
                    <w:rPr>
                      <w:b/>
                      <w:color w:val="auto"/>
                      <w:szCs w:val="21"/>
                      <w:highlight w:val="none"/>
                    </w:rPr>
                  </w:pPr>
                </w:p>
              </w:tc>
              <w:tc>
                <w:tcPr>
                  <w:tcW w:w="522" w:type="pct"/>
                  <w:noWrap w:val="0"/>
                  <w:vAlign w:val="center"/>
                </w:tcPr>
                <w:p w14:paraId="139B7835">
                  <w:pPr>
                    <w:adjustRightInd w:val="0"/>
                    <w:snapToGrid w:val="0"/>
                    <w:jc w:val="center"/>
                    <w:rPr>
                      <w:color w:val="auto"/>
                      <w:kern w:val="0"/>
                      <w:szCs w:val="21"/>
                      <w:highlight w:val="none"/>
                    </w:rPr>
                  </w:pPr>
                  <w:r>
                    <w:rPr>
                      <w:color w:val="auto"/>
                      <w:kern w:val="0"/>
                      <w:szCs w:val="21"/>
                      <w:highlight w:val="none"/>
                    </w:rPr>
                    <w:t>E</w:t>
                  </w:r>
                </w:p>
              </w:tc>
              <w:tc>
                <w:tcPr>
                  <w:tcW w:w="493" w:type="pct"/>
                  <w:noWrap w:val="0"/>
                  <w:vAlign w:val="center"/>
                </w:tcPr>
                <w:p w14:paraId="09127293">
                  <w:pPr>
                    <w:adjustRightInd w:val="0"/>
                    <w:snapToGrid w:val="0"/>
                    <w:jc w:val="center"/>
                    <w:rPr>
                      <w:color w:val="auto"/>
                      <w:kern w:val="0"/>
                      <w:szCs w:val="21"/>
                      <w:highlight w:val="none"/>
                    </w:rPr>
                  </w:pPr>
                  <w:r>
                    <w:rPr>
                      <w:color w:val="auto"/>
                      <w:kern w:val="0"/>
                      <w:szCs w:val="21"/>
                      <w:highlight w:val="none"/>
                    </w:rPr>
                    <w:t>N</w:t>
                  </w:r>
                </w:p>
              </w:tc>
              <w:tc>
                <w:tcPr>
                  <w:tcW w:w="335" w:type="pct"/>
                  <w:vMerge w:val="continue"/>
                  <w:noWrap w:val="0"/>
                  <w:vAlign w:val="center"/>
                </w:tcPr>
                <w:p w14:paraId="2298DBB7">
                  <w:pPr>
                    <w:adjustRightInd w:val="0"/>
                    <w:snapToGrid w:val="0"/>
                    <w:jc w:val="center"/>
                    <w:rPr>
                      <w:color w:val="auto"/>
                      <w:kern w:val="0"/>
                      <w:szCs w:val="21"/>
                      <w:highlight w:val="none"/>
                    </w:rPr>
                  </w:pPr>
                </w:p>
              </w:tc>
              <w:tc>
                <w:tcPr>
                  <w:tcW w:w="428" w:type="pct"/>
                  <w:vMerge w:val="continue"/>
                  <w:noWrap w:val="0"/>
                  <w:vAlign w:val="center"/>
                </w:tcPr>
                <w:p w14:paraId="7FF02B2B">
                  <w:pPr>
                    <w:adjustRightInd w:val="0"/>
                    <w:snapToGrid w:val="0"/>
                    <w:jc w:val="center"/>
                    <w:rPr>
                      <w:color w:val="auto"/>
                      <w:kern w:val="0"/>
                      <w:szCs w:val="21"/>
                      <w:highlight w:val="none"/>
                    </w:rPr>
                  </w:pPr>
                </w:p>
              </w:tc>
              <w:tc>
                <w:tcPr>
                  <w:tcW w:w="1222" w:type="pct"/>
                  <w:vMerge w:val="continue"/>
                  <w:noWrap w:val="0"/>
                  <w:vAlign w:val="center"/>
                </w:tcPr>
                <w:p w14:paraId="4EC82841">
                  <w:pPr>
                    <w:adjustRightInd w:val="0"/>
                    <w:snapToGrid w:val="0"/>
                    <w:jc w:val="center"/>
                    <w:rPr>
                      <w:color w:val="auto"/>
                      <w:kern w:val="0"/>
                      <w:szCs w:val="21"/>
                      <w:highlight w:val="none"/>
                    </w:rPr>
                  </w:pPr>
                </w:p>
              </w:tc>
              <w:tc>
                <w:tcPr>
                  <w:tcW w:w="413" w:type="pct"/>
                  <w:vMerge w:val="continue"/>
                  <w:noWrap w:val="0"/>
                  <w:vAlign w:val="center"/>
                </w:tcPr>
                <w:p w14:paraId="60FAC9C6">
                  <w:pPr>
                    <w:adjustRightInd w:val="0"/>
                    <w:snapToGrid w:val="0"/>
                    <w:jc w:val="center"/>
                    <w:rPr>
                      <w:color w:val="auto"/>
                      <w:kern w:val="0"/>
                      <w:szCs w:val="21"/>
                      <w:highlight w:val="none"/>
                    </w:rPr>
                  </w:pPr>
                </w:p>
              </w:tc>
              <w:tc>
                <w:tcPr>
                  <w:tcW w:w="413" w:type="pct"/>
                  <w:vMerge w:val="continue"/>
                  <w:noWrap w:val="0"/>
                  <w:vAlign w:val="center"/>
                </w:tcPr>
                <w:p w14:paraId="44538996">
                  <w:pPr>
                    <w:adjustRightInd w:val="0"/>
                    <w:snapToGrid w:val="0"/>
                    <w:jc w:val="center"/>
                    <w:rPr>
                      <w:color w:val="auto"/>
                      <w:kern w:val="0"/>
                      <w:szCs w:val="21"/>
                      <w:highlight w:val="none"/>
                    </w:rPr>
                  </w:pPr>
                </w:p>
              </w:tc>
              <w:tc>
                <w:tcPr>
                  <w:tcW w:w="502" w:type="pct"/>
                  <w:vMerge w:val="continue"/>
                  <w:noWrap w:val="0"/>
                  <w:vAlign w:val="center"/>
                </w:tcPr>
                <w:p w14:paraId="294BE24B">
                  <w:pPr>
                    <w:adjustRightInd w:val="0"/>
                    <w:snapToGrid w:val="0"/>
                    <w:jc w:val="center"/>
                    <w:rPr>
                      <w:color w:val="auto"/>
                      <w:kern w:val="0"/>
                      <w:szCs w:val="21"/>
                      <w:highlight w:val="none"/>
                    </w:rPr>
                  </w:pPr>
                </w:p>
              </w:tc>
            </w:tr>
            <w:tr w14:paraId="4D485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338" w:type="pct"/>
                  <w:noWrap w:val="0"/>
                  <w:vAlign w:val="center"/>
                </w:tcPr>
                <w:p w14:paraId="326D8135">
                  <w:pPr>
                    <w:adjustRightInd w:val="0"/>
                    <w:snapToGrid w:val="0"/>
                    <w:jc w:val="center"/>
                    <w:rPr>
                      <w:color w:val="auto"/>
                      <w:kern w:val="0"/>
                      <w:szCs w:val="21"/>
                      <w:highlight w:val="none"/>
                    </w:rPr>
                  </w:pPr>
                  <w:r>
                    <w:rPr>
                      <w:color w:val="auto"/>
                      <w:kern w:val="0"/>
                      <w:szCs w:val="21"/>
                      <w:highlight w:val="none"/>
                    </w:rPr>
                    <w:t>环境</w:t>
                  </w:r>
                </w:p>
                <w:p w14:paraId="2DF078FA">
                  <w:pPr>
                    <w:adjustRightInd w:val="0"/>
                    <w:snapToGrid w:val="0"/>
                    <w:jc w:val="center"/>
                    <w:rPr>
                      <w:color w:val="auto"/>
                      <w:kern w:val="0"/>
                      <w:szCs w:val="21"/>
                      <w:highlight w:val="none"/>
                    </w:rPr>
                  </w:pPr>
                  <w:r>
                    <w:rPr>
                      <w:color w:val="auto"/>
                      <w:kern w:val="0"/>
                      <w:szCs w:val="21"/>
                      <w:highlight w:val="none"/>
                    </w:rPr>
                    <w:t>空气</w:t>
                  </w:r>
                </w:p>
              </w:tc>
              <w:tc>
                <w:tcPr>
                  <w:tcW w:w="330" w:type="pct"/>
                  <w:noWrap w:val="0"/>
                  <w:vAlign w:val="center"/>
                </w:tcPr>
                <w:p w14:paraId="653D8CB3">
                  <w:pPr>
                    <w:adjustRightInd w:val="0"/>
                    <w:snapToGrid w:val="0"/>
                    <w:jc w:val="center"/>
                    <w:rPr>
                      <w:rFonts w:hint="eastAsia"/>
                      <w:color w:val="auto"/>
                      <w:kern w:val="0"/>
                      <w:szCs w:val="21"/>
                      <w:highlight w:val="none"/>
                      <w:lang w:val="en-US" w:eastAsia="zh-CN"/>
                    </w:rPr>
                  </w:pPr>
                  <w:r>
                    <w:rPr>
                      <w:rFonts w:hint="eastAsia"/>
                      <w:color w:val="auto"/>
                      <w:kern w:val="0"/>
                      <w:szCs w:val="21"/>
                      <w:highlight w:val="none"/>
                      <w:lang w:val="en-US" w:eastAsia="zh-CN"/>
                    </w:rPr>
                    <w:t>新村</w:t>
                  </w:r>
                </w:p>
              </w:tc>
              <w:tc>
                <w:tcPr>
                  <w:tcW w:w="522" w:type="pct"/>
                  <w:noWrap w:val="0"/>
                  <w:vAlign w:val="center"/>
                </w:tcPr>
                <w:p w14:paraId="16268ECF">
                  <w:pPr>
                    <w:adjustRightInd w:val="0"/>
                    <w:snapToGrid w:val="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108°56′52.833″</w:t>
                  </w:r>
                </w:p>
              </w:tc>
              <w:tc>
                <w:tcPr>
                  <w:tcW w:w="493" w:type="pct"/>
                  <w:noWrap w:val="0"/>
                  <w:vAlign w:val="center"/>
                </w:tcPr>
                <w:p w14:paraId="208C3AE3">
                  <w:pPr>
                    <w:adjustRightInd w:val="0"/>
                    <w:snapToGrid w:val="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34°32′</w:t>
                  </w:r>
                </w:p>
                <w:p w14:paraId="5A9C9510">
                  <w:pPr>
                    <w:adjustRightInd w:val="0"/>
                    <w:snapToGrid w:val="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42.324″</w:t>
                  </w:r>
                </w:p>
              </w:tc>
              <w:tc>
                <w:tcPr>
                  <w:tcW w:w="335" w:type="pct"/>
                  <w:noWrap w:val="0"/>
                  <w:vAlign w:val="center"/>
                </w:tcPr>
                <w:p w14:paraId="0AD64994">
                  <w:pPr>
                    <w:adjustRightInd w:val="0"/>
                    <w:snapToGrid w:val="0"/>
                    <w:jc w:val="center"/>
                    <w:rPr>
                      <w:color w:val="auto"/>
                      <w:kern w:val="0"/>
                      <w:szCs w:val="21"/>
                      <w:highlight w:val="none"/>
                    </w:rPr>
                  </w:pPr>
                  <w:r>
                    <w:rPr>
                      <w:color w:val="auto"/>
                      <w:kern w:val="0"/>
                      <w:szCs w:val="21"/>
                      <w:highlight w:val="none"/>
                    </w:rPr>
                    <w:t>居民</w:t>
                  </w:r>
                </w:p>
              </w:tc>
              <w:tc>
                <w:tcPr>
                  <w:tcW w:w="428" w:type="pct"/>
                  <w:noWrap w:val="0"/>
                  <w:vAlign w:val="center"/>
                </w:tcPr>
                <w:p w14:paraId="3834C665">
                  <w:pPr>
                    <w:adjustRightInd w:val="0"/>
                    <w:snapToGrid w:val="0"/>
                    <w:jc w:val="center"/>
                    <w:rPr>
                      <w:rFonts w:hint="eastAsia"/>
                      <w:color w:val="auto"/>
                      <w:szCs w:val="21"/>
                      <w:highlight w:val="none"/>
                      <w:lang w:val="en-US" w:eastAsia="zh-CN"/>
                    </w:rPr>
                  </w:pPr>
                  <w:r>
                    <w:rPr>
                      <w:rFonts w:hint="eastAsia"/>
                      <w:color w:val="auto"/>
                      <w:szCs w:val="21"/>
                      <w:highlight w:val="none"/>
                      <w:lang w:val="en-US" w:eastAsia="zh-CN"/>
                    </w:rPr>
                    <w:t>162</w:t>
                  </w:r>
                </w:p>
              </w:tc>
              <w:tc>
                <w:tcPr>
                  <w:tcW w:w="1222" w:type="pct"/>
                  <w:noWrap w:val="0"/>
                  <w:vAlign w:val="center"/>
                </w:tcPr>
                <w:p w14:paraId="2B27B47F">
                  <w:pPr>
                    <w:adjustRightInd w:val="0"/>
                    <w:snapToGrid w:val="0"/>
                    <w:jc w:val="center"/>
                    <w:rPr>
                      <w:color w:val="auto"/>
                      <w:szCs w:val="21"/>
                      <w:highlight w:val="none"/>
                    </w:rPr>
                  </w:pPr>
                  <w:r>
                    <w:rPr>
                      <w:color w:val="auto"/>
                      <w:szCs w:val="21"/>
                      <w:highlight w:val="none"/>
                    </w:rPr>
                    <w:t>《环境空气质量标准》（GB3095-2012）</w:t>
                  </w:r>
                </w:p>
              </w:tc>
              <w:tc>
                <w:tcPr>
                  <w:tcW w:w="413" w:type="pct"/>
                  <w:noWrap w:val="0"/>
                  <w:vAlign w:val="center"/>
                </w:tcPr>
                <w:p w14:paraId="6314EDDE">
                  <w:pPr>
                    <w:adjustRightInd w:val="0"/>
                    <w:snapToGrid w:val="0"/>
                    <w:jc w:val="center"/>
                    <w:rPr>
                      <w:color w:val="auto"/>
                      <w:kern w:val="0"/>
                      <w:szCs w:val="21"/>
                      <w:highlight w:val="none"/>
                    </w:rPr>
                  </w:pPr>
                  <w:r>
                    <w:rPr>
                      <w:color w:val="auto"/>
                      <w:kern w:val="0"/>
                      <w:szCs w:val="21"/>
                      <w:highlight w:val="none"/>
                    </w:rPr>
                    <w:t>二类</w:t>
                  </w:r>
                </w:p>
              </w:tc>
              <w:tc>
                <w:tcPr>
                  <w:tcW w:w="413" w:type="pct"/>
                  <w:noWrap w:val="0"/>
                  <w:vAlign w:val="center"/>
                </w:tcPr>
                <w:p w14:paraId="2313F166">
                  <w:pPr>
                    <w:adjustRightInd w:val="0"/>
                    <w:snapToGrid w:val="0"/>
                    <w:jc w:val="center"/>
                    <w:rPr>
                      <w:rFonts w:hint="eastAsia"/>
                      <w:color w:val="auto"/>
                      <w:kern w:val="0"/>
                      <w:szCs w:val="21"/>
                      <w:highlight w:val="none"/>
                      <w:lang w:val="en-US" w:eastAsia="zh-CN"/>
                    </w:rPr>
                  </w:pPr>
                  <w:r>
                    <w:rPr>
                      <w:rFonts w:hint="eastAsia"/>
                      <w:color w:val="auto"/>
                      <w:kern w:val="0"/>
                      <w:szCs w:val="21"/>
                      <w:highlight w:val="none"/>
                      <w:lang w:val="en-US" w:eastAsia="zh-CN"/>
                    </w:rPr>
                    <w:t>北</w:t>
                  </w:r>
                </w:p>
              </w:tc>
              <w:tc>
                <w:tcPr>
                  <w:tcW w:w="502" w:type="pct"/>
                  <w:noWrap w:val="0"/>
                  <w:vAlign w:val="center"/>
                </w:tcPr>
                <w:p w14:paraId="484F2229">
                  <w:pPr>
                    <w:adjustRightInd w:val="0"/>
                    <w:snapToGrid w:val="0"/>
                    <w:jc w:val="center"/>
                    <w:rPr>
                      <w:rFonts w:hint="default"/>
                      <w:color w:val="auto"/>
                      <w:kern w:val="0"/>
                      <w:szCs w:val="21"/>
                      <w:highlight w:val="none"/>
                      <w:lang w:val="en-US" w:eastAsia="zh-CN"/>
                    </w:rPr>
                  </w:pPr>
                  <w:r>
                    <w:rPr>
                      <w:rFonts w:hint="eastAsia"/>
                      <w:color w:val="auto"/>
                      <w:kern w:val="0"/>
                      <w:szCs w:val="21"/>
                      <w:highlight w:val="none"/>
                      <w:lang w:val="en-US" w:eastAsia="zh-CN"/>
                    </w:rPr>
                    <w:t>420</w:t>
                  </w:r>
                </w:p>
              </w:tc>
            </w:tr>
          </w:tbl>
          <w:p w14:paraId="6B47A871">
            <w:pPr>
              <w:pStyle w:val="3"/>
              <w:numPr>
                <w:ilvl w:val="0"/>
                <w:numId w:val="5"/>
              </w:numPr>
              <w:spacing w:line="360" w:lineRule="auto"/>
              <w:rPr>
                <w:rFonts w:hint="default" w:ascii="Times New Roman" w:hAnsi="Times New Roman" w:cs="Times New Roman"/>
                <w:b/>
                <w:bCs/>
                <w:color w:val="auto"/>
                <w:sz w:val="24"/>
                <w:szCs w:val="24"/>
                <w:highlight w:val="none"/>
                <w:lang w:val="en-US" w:eastAsia="zh-CN"/>
              </w:rPr>
            </w:pPr>
            <w:bookmarkStart w:id="15" w:name="_Toc5228"/>
            <w:r>
              <w:rPr>
                <w:rFonts w:hint="default" w:ascii="Times New Roman" w:hAnsi="Times New Roman" w:cs="Times New Roman"/>
                <w:b/>
                <w:bCs/>
                <w:color w:val="auto"/>
                <w:sz w:val="24"/>
                <w:szCs w:val="24"/>
                <w:highlight w:val="none"/>
                <w:lang w:val="en-US" w:eastAsia="zh-CN"/>
              </w:rPr>
              <w:t>声环境</w:t>
            </w:r>
            <w:bookmarkEnd w:id="15"/>
          </w:p>
          <w:p w14:paraId="6B6EEB62">
            <w:pPr>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本项目厂界外50米范围内无声环境保护目标。</w:t>
            </w:r>
          </w:p>
          <w:p w14:paraId="2627265D">
            <w:pPr>
              <w:numPr>
                <w:ilvl w:val="0"/>
                <w:numId w:val="5"/>
              </w:numPr>
              <w:spacing w:line="360" w:lineRule="auto"/>
              <w:ind w:left="0" w:leftChars="0" w:firstLine="0" w:firstLineChars="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地下水环境</w:t>
            </w:r>
          </w:p>
          <w:p w14:paraId="43FFD3B2">
            <w:pPr>
              <w:pStyle w:val="3"/>
              <w:spacing w:line="360" w:lineRule="auto"/>
              <w:ind w:firstLine="480" w:firstLineChars="200"/>
              <w:rPr>
                <w:rFonts w:hint="default" w:ascii="Times New Roman" w:hAnsi="Times New Roman" w:cs="Times New Roman"/>
                <w:color w:val="auto"/>
                <w:sz w:val="24"/>
                <w:szCs w:val="24"/>
                <w:highlight w:val="none"/>
                <w:lang w:val="en-US" w:eastAsia="zh-CN"/>
              </w:rPr>
            </w:pPr>
            <w:bookmarkStart w:id="16" w:name="_Toc19578"/>
            <w:r>
              <w:rPr>
                <w:rFonts w:hint="default" w:ascii="Times New Roman" w:hAnsi="Times New Roman" w:cs="Times New Roman"/>
                <w:color w:val="auto"/>
                <w:sz w:val="24"/>
                <w:szCs w:val="24"/>
                <w:highlight w:val="none"/>
                <w:lang w:val="en-US" w:eastAsia="zh-CN"/>
              </w:rPr>
              <w:t>本项目厂界外500米范围内无地下水集中式饮用水水源和热水、矿泉水、温泉等特殊地下水资源。</w:t>
            </w:r>
            <w:bookmarkEnd w:id="16"/>
          </w:p>
          <w:p w14:paraId="1C30BC37">
            <w:pPr>
              <w:pStyle w:val="3"/>
              <w:numPr>
                <w:ilvl w:val="0"/>
                <w:numId w:val="5"/>
              </w:numPr>
              <w:spacing w:line="360" w:lineRule="auto"/>
              <w:ind w:left="0" w:leftChars="0" w:firstLine="0" w:firstLineChars="0"/>
              <w:rPr>
                <w:rFonts w:hint="default" w:ascii="Times New Roman" w:hAnsi="Times New Roman" w:cs="Times New Roman"/>
                <w:color w:val="auto"/>
                <w:sz w:val="24"/>
                <w:szCs w:val="24"/>
                <w:highlight w:val="none"/>
                <w:lang w:val="en-US" w:eastAsia="zh-CN"/>
              </w:rPr>
            </w:pPr>
            <w:bookmarkStart w:id="17" w:name="_Toc23167"/>
            <w:r>
              <w:rPr>
                <w:rFonts w:hint="default" w:ascii="Times New Roman" w:hAnsi="Times New Roman" w:cs="Times New Roman"/>
                <w:b/>
                <w:bCs/>
                <w:color w:val="auto"/>
                <w:sz w:val="24"/>
                <w:szCs w:val="24"/>
                <w:highlight w:val="none"/>
                <w:lang w:val="en-US" w:eastAsia="zh-CN"/>
              </w:rPr>
              <w:t>生态环境</w:t>
            </w:r>
            <w:bookmarkEnd w:id="17"/>
          </w:p>
          <w:p w14:paraId="620B3ACA">
            <w:pPr>
              <w:spacing w:line="360" w:lineRule="auto"/>
              <w:ind w:firstLine="480" w:firstLineChars="200"/>
              <w:rPr>
                <w:rFonts w:hint="default"/>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本项目位于</w:t>
            </w:r>
            <w:r>
              <w:rPr>
                <w:rFonts w:hint="eastAsia" w:ascii="Times New Roman" w:hAnsi="Times New Roman" w:eastAsia="宋体" w:cs="Times New Roman"/>
                <w:color w:val="auto"/>
                <w:kern w:val="2"/>
                <w:sz w:val="24"/>
                <w:szCs w:val="24"/>
                <w:highlight w:val="none"/>
                <w:lang w:val="en-US" w:eastAsia="zh-CN" w:bidi="ar-SA"/>
              </w:rPr>
              <w:t>陕西省西咸新区泾河新城永乐工业园区南北大道陕西国坤时代科技有限公司2号厂房</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sz w:val="24"/>
                <w:szCs w:val="24"/>
                <w:highlight w:val="none"/>
                <w:lang w:val="en-US" w:eastAsia="zh-CN"/>
              </w:rPr>
              <w:t>根据现场踏勘，项目租用</w:t>
            </w:r>
            <w:r>
              <w:rPr>
                <w:rFonts w:hint="default" w:ascii="Times New Roman" w:hAnsi="Times New Roman" w:cs="Times New Roman"/>
                <w:color w:val="auto"/>
                <w:sz w:val="24"/>
                <w:szCs w:val="24"/>
                <w:highlight w:val="none"/>
                <w:lang w:val="en-US" w:eastAsia="zh-CN"/>
              </w:rPr>
              <w:t>现有</w:t>
            </w:r>
            <w:r>
              <w:rPr>
                <w:rFonts w:hint="default" w:ascii="Times New Roman" w:hAnsi="Times New Roman" w:eastAsia="宋体" w:cs="Times New Roman"/>
                <w:color w:val="auto"/>
                <w:sz w:val="24"/>
                <w:highlight w:val="none"/>
              </w:rPr>
              <w:t>厂房</w:t>
            </w:r>
            <w:r>
              <w:rPr>
                <w:rFonts w:hint="default" w:ascii="Times New Roman" w:hAnsi="Times New Roman" w:eastAsia="宋体" w:cs="Times New Roman"/>
                <w:color w:val="auto"/>
                <w:sz w:val="24"/>
                <w:highlight w:val="none"/>
                <w:lang w:val="en-US" w:eastAsia="zh-CN"/>
              </w:rPr>
              <w:t>已进行硬化</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不新增用地</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用地范围内无生态环境保护目标。</w:t>
            </w:r>
          </w:p>
        </w:tc>
      </w:tr>
      <w:tr w14:paraId="055228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4" w:type="dxa"/>
            <w:noWrap w:val="0"/>
            <w:tcMar>
              <w:left w:w="28" w:type="dxa"/>
              <w:right w:w="28" w:type="dxa"/>
            </w:tcMar>
            <w:vAlign w:val="center"/>
          </w:tcPr>
          <w:p w14:paraId="0111C7F0">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污染</w:t>
            </w:r>
          </w:p>
          <w:p w14:paraId="40EE34C7">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物排</w:t>
            </w:r>
          </w:p>
          <w:p w14:paraId="01B96DA3">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放控</w:t>
            </w:r>
          </w:p>
          <w:p w14:paraId="788A9C4C">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制标</w:t>
            </w:r>
          </w:p>
          <w:p w14:paraId="2CC49A9F">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准</w:t>
            </w:r>
          </w:p>
        </w:tc>
        <w:tc>
          <w:tcPr>
            <w:tcW w:w="8526" w:type="dxa"/>
            <w:noWrap w:val="0"/>
            <w:vAlign w:val="top"/>
          </w:tcPr>
          <w:p w14:paraId="53C0EF5C">
            <w:pPr>
              <w:numPr>
                <w:ilvl w:val="0"/>
                <w:numId w:val="6"/>
              </w:numPr>
              <w:adjustRightInd w:val="0"/>
              <w:snapToGrid w:val="0"/>
              <w:spacing w:line="360" w:lineRule="auto"/>
              <w:jc w:val="both"/>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废气</w:t>
            </w:r>
          </w:p>
          <w:p w14:paraId="15D09426">
            <w:pPr>
              <w:pStyle w:val="61"/>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szCs w:val="24"/>
                <w:highlight w:val="none"/>
                <w:lang w:bidi="ar"/>
              </w:rPr>
            </w:pPr>
            <w:bookmarkStart w:id="18" w:name="_Toc32655"/>
            <w:r>
              <w:rPr>
                <w:rFonts w:hint="default" w:ascii="Times New Roman" w:hAnsi="Times New Roman" w:eastAsia="宋体" w:cs="Times New Roman"/>
                <w:color w:val="auto"/>
                <w:kern w:val="2"/>
                <w:sz w:val="24"/>
                <w:szCs w:val="24"/>
                <w:highlight w:val="none"/>
                <w:lang w:val="en-US" w:eastAsia="zh-CN" w:bidi="ar-SA"/>
              </w:rPr>
              <w:t>项目运营期有组织</w:t>
            </w:r>
            <w:r>
              <w:rPr>
                <w:rFonts w:hint="eastAsia" w:ascii="Times New Roman" w:hAnsi="Times New Roman" w:eastAsia="宋体" w:cs="Times New Roman"/>
                <w:color w:val="auto"/>
                <w:kern w:val="2"/>
                <w:sz w:val="24"/>
                <w:szCs w:val="24"/>
                <w:highlight w:val="none"/>
                <w:lang w:val="en-US" w:eastAsia="zh-CN" w:bidi="ar-SA"/>
              </w:rPr>
              <w:t>颗粒物</w:t>
            </w:r>
            <w:r>
              <w:rPr>
                <w:rFonts w:hint="default" w:ascii="Times New Roman" w:hAnsi="Times New Roman" w:eastAsia="宋体" w:cs="Times New Roman"/>
                <w:color w:val="auto"/>
                <w:kern w:val="2"/>
                <w:sz w:val="24"/>
                <w:szCs w:val="24"/>
                <w:highlight w:val="none"/>
                <w:lang w:val="en-US" w:eastAsia="zh-CN" w:bidi="ar-SA"/>
              </w:rPr>
              <w:t>执行</w:t>
            </w:r>
            <w:r>
              <w:rPr>
                <w:rFonts w:hint="eastAsia" w:ascii="Times New Roman" w:hAnsi="Times New Roman" w:eastAsia="宋体" w:cs="Times New Roman"/>
                <w:color w:val="auto"/>
                <w:kern w:val="2"/>
                <w:sz w:val="24"/>
                <w:szCs w:val="24"/>
                <w:highlight w:val="none"/>
                <w:lang w:val="en-US" w:eastAsia="zh-CN" w:bidi="ar-SA"/>
              </w:rPr>
              <w:t>《大气污染物综合排放标准》（GB16297-1996）表2中二级排放限值，无组织颗粒物</w:t>
            </w:r>
            <w:r>
              <w:rPr>
                <w:rFonts w:hint="default" w:ascii="Times New Roman" w:hAnsi="Times New Roman" w:eastAsia="宋体" w:cs="Times New Roman"/>
                <w:color w:val="auto"/>
                <w:kern w:val="2"/>
                <w:sz w:val="24"/>
                <w:szCs w:val="24"/>
                <w:highlight w:val="none"/>
                <w:lang w:val="en-US" w:eastAsia="zh-CN" w:bidi="ar-SA"/>
              </w:rPr>
              <w:t>执行</w:t>
            </w:r>
            <w:r>
              <w:rPr>
                <w:rFonts w:hint="eastAsia" w:ascii="Times New Roman" w:hAnsi="Times New Roman" w:eastAsia="宋体" w:cs="Times New Roman"/>
                <w:color w:val="auto"/>
                <w:kern w:val="2"/>
                <w:sz w:val="24"/>
                <w:szCs w:val="24"/>
                <w:highlight w:val="none"/>
                <w:lang w:val="en-US" w:eastAsia="zh-CN" w:bidi="ar-SA"/>
              </w:rPr>
              <w:t>《大气污染物综合排放标准》（GB16297-1996）表2中无组织排放限值</w:t>
            </w:r>
            <w:r>
              <w:rPr>
                <w:rFonts w:hint="default" w:ascii="Times New Roman" w:hAnsi="Times New Roman" w:cs="Times New Roman"/>
                <w:color w:val="auto"/>
                <w:sz w:val="24"/>
                <w:szCs w:val="24"/>
                <w:highlight w:val="none"/>
                <w:lang w:bidi="ar"/>
              </w:rPr>
              <w:t>。</w:t>
            </w:r>
            <w:bookmarkEnd w:id="18"/>
          </w:p>
          <w:p w14:paraId="15C72063">
            <w:pPr>
              <w:jc w:val="center"/>
              <w:rPr>
                <w:rFonts w:hint="default" w:ascii="Times New Roman" w:hAnsi="Times New Roman" w:cs="Times New Roman"/>
                <w:b/>
                <w:bCs/>
                <w:color w:val="auto"/>
                <w:sz w:val="21"/>
                <w:szCs w:val="21"/>
                <w:highlight w:val="none"/>
                <w:lang w:val="en-US" w:eastAsia="zh-CN" w:bidi="ar"/>
              </w:rPr>
            </w:pPr>
            <w:r>
              <w:rPr>
                <w:rFonts w:hint="default" w:ascii="Times New Roman" w:hAnsi="Times New Roman" w:cs="Times New Roman"/>
                <w:b/>
                <w:bCs/>
                <w:color w:val="auto"/>
                <w:sz w:val="21"/>
                <w:szCs w:val="21"/>
                <w:highlight w:val="none"/>
                <w:lang w:val="en-US" w:eastAsia="zh-CN" w:bidi="ar"/>
              </w:rPr>
              <w:t>表3-</w:t>
            </w:r>
            <w:r>
              <w:rPr>
                <w:rFonts w:hint="eastAsia" w:ascii="Times New Roman" w:hAnsi="Times New Roman" w:cs="Times New Roman"/>
                <w:b/>
                <w:bCs/>
                <w:color w:val="auto"/>
                <w:sz w:val="21"/>
                <w:szCs w:val="21"/>
                <w:highlight w:val="none"/>
                <w:lang w:val="en-US" w:eastAsia="zh-CN" w:bidi="ar"/>
              </w:rPr>
              <w:t>5</w:t>
            </w:r>
            <w:r>
              <w:rPr>
                <w:rFonts w:hint="default" w:ascii="Times New Roman" w:hAnsi="Times New Roman" w:cs="Times New Roman"/>
                <w:b/>
                <w:bCs/>
                <w:color w:val="auto"/>
                <w:sz w:val="21"/>
                <w:szCs w:val="21"/>
                <w:highlight w:val="none"/>
                <w:lang w:val="en-US" w:eastAsia="zh-CN" w:bidi="ar"/>
              </w:rPr>
              <w:t xml:space="preserve"> 废气污染物排放执行标准</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872"/>
              <w:gridCol w:w="1500"/>
              <w:gridCol w:w="1286"/>
              <w:gridCol w:w="1175"/>
              <w:gridCol w:w="2279"/>
            </w:tblGrid>
            <w:tr w14:paraId="313E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0F8C72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u w:val="none"/>
                    </w:rPr>
                    <w:t>污染源</w:t>
                  </w:r>
                </w:p>
              </w:tc>
              <w:tc>
                <w:tcPr>
                  <w:tcW w:w="525" w:type="pct"/>
                  <w:noWrap w:val="0"/>
                  <w:vAlign w:val="center"/>
                </w:tcPr>
                <w:p w14:paraId="6E6621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u w:val="none"/>
                    </w:rPr>
                    <w:t>污染物</w:t>
                  </w:r>
                </w:p>
              </w:tc>
              <w:tc>
                <w:tcPr>
                  <w:tcW w:w="903" w:type="pct"/>
                  <w:noWrap w:val="0"/>
                  <w:vAlign w:val="top"/>
                </w:tcPr>
                <w:p w14:paraId="17529A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u w:val="none"/>
                    </w:rPr>
                  </w:pPr>
                  <w:r>
                    <w:rPr>
                      <w:rFonts w:hint="default" w:ascii="Times New Roman" w:hAnsi="Times New Roman" w:eastAsia="宋体" w:cs="Times New Roman"/>
                      <w:b/>
                      <w:bCs/>
                      <w:color w:val="auto"/>
                      <w:sz w:val="21"/>
                      <w:szCs w:val="21"/>
                      <w:highlight w:val="none"/>
                      <w:u w:val="none"/>
                    </w:rPr>
                    <w:t>排放浓度限值</w:t>
                  </w:r>
                </w:p>
                <w:p w14:paraId="04FFEF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u w:val="none"/>
                      <w:lang w:val="en-US" w:eastAsia="zh-CN"/>
                    </w:rPr>
                  </w:pPr>
                  <w:r>
                    <w:rPr>
                      <w:rFonts w:hint="default" w:ascii="Times New Roman" w:hAnsi="Times New Roman" w:eastAsia="宋体" w:cs="Times New Roman"/>
                      <w:b/>
                      <w:bCs/>
                      <w:color w:val="auto"/>
                      <w:sz w:val="21"/>
                      <w:szCs w:val="21"/>
                      <w:highlight w:val="none"/>
                      <w:u w:val="none"/>
                    </w:rPr>
                    <w:t>（mg/m</w:t>
                  </w:r>
                  <w:r>
                    <w:rPr>
                      <w:rFonts w:hint="default" w:ascii="Times New Roman" w:hAnsi="Times New Roman" w:eastAsia="宋体" w:cs="Times New Roman"/>
                      <w:b/>
                      <w:bCs/>
                      <w:color w:val="auto"/>
                      <w:sz w:val="21"/>
                      <w:szCs w:val="21"/>
                      <w:highlight w:val="none"/>
                      <w:u w:val="none"/>
                      <w:vertAlign w:val="superscript"/>
                    </w:rPr>
                    <w:t>3</w:t>
                  </w:r>
                  <w:r>
                    <w:rPr>
                      <w:rFonts w:hint="default" w:ascii="Times New Roman" w:hAnsi="Times New Roman" w:eastAsia="宋体" w:cs="Times New Roman"/>
                      <w:b/>
                      <w:bCs/>
                      <w:color w:val="auto"/>
                      <w:sz w:val="21"/>
                      <w:szCs w:val="21"/>
                      <w:highlight w:val="none"/>
                      <w:u w:val="none"/>
                    </w:rPr>
                    <w:t>）</w:t>
                  </w:r>
                </w:p>
              </w:tc>
              <w:tc>
                <w:tcPr>
                  <w:tcW w:w="774" w:type="pct"/>
                  <w:noWrap w:val="0"/>
                  <w:vAlign w:val="top"/>
                </w:tcPr>
                <w:p w14:paraId="054166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u w:val="none"/>
                      <w:lang w:val="en-US" w:eastAsia="zh-CN"/>
                    </w:rPr>
                  </w:pPr>
                  <w:r>
                    <w:rPr>
                      <w:rFonts w:hint="default" w:ascii="Times New Roman" w:hAnsi="Times New Roman" w:eastAsia="宋体" w:cs="Times New Roman"/>
                      <w:b/>
                      <w:bCs/>
                      <w:color w:val="auto"/>
                      <w:sz w:val="21"/>
                      <w:szCs w:val="21"/>
                      <w:highlight w:val="none"/>
                      <w:u w:val="none"/>
                    </w:rPr>
                    <w:t>排气筒高度（m）</w:t>
                  </w:r>
                </w:p>
              </w:tc>
              <w:tc>
                <w:tcPr>
                  <w:tcW w:w="708" w:type="pct"/>
                  <w:noWrap w:val="0"/>
                  <w:vAlign w:val="top"/>
                </w:tcPr>
                <w:p w14:paraId="6CACE3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u w:val="none"/>
                    </w:rPr>
                  </w:pPr>
                  <w:r>
                    <w:rPr>
                      <w:rFonts w:hint="default" w:ascii="Times New Roman" w:hAnsi="Times New Roman" w:eastAsia="宋体" w:cs="Times New Roman"/>
                      <w:b/>
                      <w:bCs/>
                      <w:color w:val="auto"/>
                      <w:sz w:val="21"/>
                      <w:szCs w:val="21"/>
                      <w:highlight w:val="none"/>
                      <w:u w:val="none"/>
                    </w:rPr>
                    <w:t>排放速率</w:t>
                  </w:r>
                </w:p>
                <w:p w14:paraId="444481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u w:val="none"/>
                    </w:rPr>
                  </w:pPr>
                  <w:r>
                    <w:rPr>
                      <w:rFonts w:hint="default" w:ascii="Times New Roman" w:hAnsi="Times New Roman" w:eastAsia="宋体" w:cs="Times New Roman"/>
                      <w:b/>
                      <w:bCs/>
                      <w:color w:val="auto"/>
                      <w:sz w:val="21"/>
                      <w:szCs w:val="21"/>
                      <w:highlight w:val="none"/>
                      <w:u w:val="none"/>
                    </w:rPr>
                    <w:t>（kg/h）</w:t>
                  </w:r>
                </w:p>
              </w:tc>
              <w:tc>
                <w:tcPr>
                  <w:tcW w:w="1373" w:type="pct"/>
                  <w:noWrap w:val="0"/>
                  <w:vAlign w:val="center"/>
                </w:tcPr>
                <w:p w14:paraId="6D5C8C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u w:val="none"/>
                    </w:rPr>
                  </w:pPr>
                  <w:r>
                    <w:rPr>
                      <w:rFonts w:hint="default" w:ascii="Times New Roman" w:hAnsi="Times New Roman" w:eastAsia="宋体" w:cs="Times New Roman"/>
                      <w:b/>
                      <w:bCs/>
                      <w:color w:val="auto"/>
                      <w:sz w:val="21"/>
                      <w:szCs w:val="21"/>
                      <w:highlight w:val="none"/>
                      <w:u w:val="none"/>
                    </w:rPr>
                    <w:t>标准名称</w:t>
                  </w:r>
                </w:p>
              </w:tc>
            </w:tr>
            <w:tr w14:paraId="5E2C3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28C828A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lang w:val="en-US" w:eastAsia="zh-CN"/>
                    </w:rPr>
                    <w:t xml:space="preserve">   上料、破碎和打包</w:t>
                  </w:r>
                  <w:r>
                    <w:rPr>
                      <w:rFonts w:hint="eastAsia" w:ascii="Times New Roman" w:hAnsi="Times New Roman" w:eastAsia="宋体" w:cs="Times New Roman"/>
                      <w:color w:val="auto"/>
                      <w:sz w:val="21"/>
                      <w:szCs w:val="21"/>
                      <w:highlight w:val="none"/>
                      <w:lang w:val="en-US" w:eastAsia="zh-CN"/>
                    </w:rPr>
                    <w:t>工序废气排放口</w:t>
                  </w:r>
                  <w:r>
                    <w:rPr>
                      <w:rFonts w:hint="default" w:ascii="Times New Roman" w:hAnsi="Times New Roman" w:cs="Times New Roman"/>
                      <w:color w:val="auto"/>
                      <w:sz w:val="21"/>
                      <w:szCs w:val="21"/>
                      <w:highlight w:val="none"/>
                      <w:lang w:val="en-US" w:eastAsia="zh-CN"/>
                    </w:rPr>
                    <w:t>（DA001）</w:t>
                  </w:r>
                </w:p>
              </w:tc>
              <w:tc>
                <w:tcPr>
                  <w:tcW w:w="525" w:type="pct"/>
                  <w:noWrap w:val="0"/>
                  <w:vAlign w:val="center"/>
                </w:tcPr>
                <w:p w14:paraId="415E948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s="Times New Roman"/>
                      <w:color w:val="auto"/>
                      <w:sz w:val="21"/>
                      <w:szCs w:val="21"/>
                      <w:highlight w:val="none"/>
                      <w:lang w:val="en-US" w:eastAsia="zh-CN"/>
                    </w:rPr>
                    <w:t>颗粒物</w:t>
                  </w:r>
                </w:p>
              </w:tc>
              <w:tc>
                <w:tcPr>
                  <w:tcW w:w="903" w:type="pct"/>
                  <w:noWrap w:val="0"/>
                  <w:vAlign w:val="center"/>
                </w:tcPr>
                <w:p w14:paraId="71F19F0A">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120</w:t>
                  </w:r>
                </w:p>
              </w:tc>
              <w:tc>
                <w:tcPr>
                  <w:tcW w:w="774" w:type="pct"/>
                  <w:noWrap w:val="0"/>
                  <w:vAlign w:val="center"/>
                </w:tcPr>
                <w:p w14:paraId="025796D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w:t>
                  </w:r>
                </w:p>
              </w:tc>
              <w:tc>
                <w:tcPr>
                  <w:tcW w:w="708" w:type="pct"/>
                  <w:noWrap w:val="0"/>
                  <w:vAlign w:val="center"/>
                </w:tcPr>
                <w:p w14:paraId="0A6D74FE">
                  <w:pPr>
                    <w:keepNext w:val="0"/>
                    <w:keepLines w:val="0"/>
                    <w:pageBreakBefore w:val="0"/>
                    <w:widowControl/>
                    <w:kinsoku/>
                    <w:wordWrap/>
                    <w:overflowPunct/>
                    <w:topLinePunct w:val="0"/>
                    <w:autoSpaceDE/>
                    <w:autoSpaceDN/>
                    <w:bidi w:val="0"/>
                    <w:adjustRightInd/>
                    <w:snapToGrid/>
                    <w:jc w:val="center"/>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4.94</w:t>
                  </w:r>
                </w:p>
                <w:p w14:paraId="408B5B5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（采用内插法计算）</w:t>
                  </w:r>
                </w:p>
              </w:tc>
              <w:tc>
                <w:tcPr>
                  <w:tcW w:w="1373" w:type="pct"/>
                  <w:noWrap w:val="0"/>
                  <w:vAlign w:val="center"/>
                </w:tcPr>
                <w:p w14:paraId="0424B8AF">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《大气污染物综合</w:t>
                  </w:r>
                </w:p>
                <w:p w14:paraId="37249203">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排放标准》（GB16297-1996）</w:t>
                  </w:r>
                </w:p>
                <w:p w14:paraId="5E099ADC">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表2中排放限值</w:t>
                  </w:r>
                </w:p>
              </w:tc>
            </w:tr>
            <w:tr w14:paraId="5B1E3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6C4E5623">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厂界</w:t>
                  </w:r>
                </w:p>
              </w:tc>
              <w:tc>
                <w:tcPr>
                  <w:tcW w:w="525" w:type="pct"/>
                  <w:noWrap w:val="0"/>
                  <w:vAlign w:val="center"/>
                </w:tcPr>
                <w:p w14:paraId="797AEF1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颗粒物</w:t>
                  </w:r>
                </w:p>
              </w:tc>
              <w:tc>
                <w:tcPr>
                  <w:tcW w:w="903" w:type="pct"/>
                  <w:noWrap w:val="0"/>
                  <w:vAlign w:val="center"/>
                </w:tcPr>
                <w:p w14:paraId="254C566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1.0</w:t>
                  </w:r>
                </w:p>
              </w:tc>
              <w:tc>
                <w:tcPr>
                  <w:tcW w:w="774" w:type="pct"/>
                  <w:noWrap w:val="0"/>
                  <w:vAlign w:val="center"/>
                </w:tcPr>
                <w:p w14:paraId="0C59EB5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08" w:type="pct"/>
                  <w:noWrap w:val="0"/>
                  <w:vAlign w:val="center"/>
                </w:tcPr>
                <w:p w14:paraId="392C095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1373" w:type="pct"/>
                  <w:noWrap w:val="0"/>
                  <w:vAlign w:val="center"/>
                </w:tcPr>
                <w:p w14:paraId="03A5D1F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大气污染物综合</w:t>
                  </w:r>
                </w:p>
                <w:p w14:paraId="44C10FE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排放标准》</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GB16297-1996</w:t>
                  </w:r>
                  <w:r>
                    <w:rPr>
                      <w:rFonts w:hint="default" w:ascii="Times New Roman" w:hAnsi="Times New Roman" w:cs="Times New Roman"/>
                      <w:color w:val="auto"/>
                      <w:sz w:val="21"/>
                      <w:szCs w:val="21"/>
                      <w:highlight w:val="none"/>
                      <w:lang w:eastAsia="zh-CN"/>
                    </w:rPr>
                    <w:t>）</w:t>
                  </w:r>
                </w:p>
                <w:p w14:paraId="7B275A5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表2中无组织排放限值</w:t>
                  </w:r>
                </w:p>
              </w:tc>
            </w:tr>
          </w:tbl>
          <w:p w14:paraId="55C9122D">
            <w:pPr>
              <w:pStyle w:val="3"/>
              <w:numPr>
                <w:ilvl w:val="0"/>
                <w:numId w:val="6"/>
              </w:numPr>
              <w:spacing w:line="360" w:lineRule="auto"/>
              <w:rPr>
                <w:rFonts w:hint="default" w:ascii="Times New Roman" w:hAnsi="Times New Roman" w:cs="Times New Roman"/>
                <w:b/>
                <w:bCs/>
                <w:color w:val="auto"/>
                <w:sz w:val="24"/>
                <w:szCs w:val="24"/>
                <w:highlight w:val="none"/>
                <w:lang w:val="en-US" w:eastAsia="zh-CN"/>
              </w:rPr>
            </w:pPr>
            <w:bookmarkStart w:id="19" w:name="_Toc3574"/>
            <w:r>
              <w:rPr>
                <w:rFonts w:hint="default" w:ascii="Times New Roman" w:hAnsi="Times New Roman" w:cs="Times New Roman"/>
                <w:b/>
                <w:bCs/>
                <w:color w:val="auto"/>
                <w:sz w:val="24"/>
                <w:szCs w:val="24"/>
                <w:highlight w:val="none"/>
                <w:lang w:val="en-US" w:eastAsia="zh-CN"/>
              </w:rPr>
              <w:t>废水</w:t>
            </w:r>
            <w:bookmarkEnd w:id="19"/>
          </w:p>
          <w:p w14:paraId="01DCDAFE">
            <w:pPr>
              <w:spacing w:line="360" w:lineRule="auto"/>
              <w:ind w:firstLine="480" w:firstLineChars="200"/>
              <w:rPr>
                <w:rFonts w:hint="default" w:ascii="Times New Roman" w:hAnsi="Times New Roman" w:eastAsia="宋体" w:cs="Times New Roman"/>
                <w:bCs/>
                <w:snapToGrid w:val="0"/>
                <w:color w:val="auto"/>
                <w:kern w:val="0"/>
                <w:sz w:val="24"/>
                <w:szCs w:val="24"/>
                <w:highlight w:val="none"/>
                <w:lang w:val="en-GB" w:eastAsia="zh-CN" w:bidi="ar-SA"/>
              </w:rPr>
            </w:pPr>
            <w:r>
              <w:rPr>
                <w:rFonts w:hint="default" w:ascii="Times New Roman" w:hAnsi="Times New Roman" w:cs="Times New Roman"/>
                <w:color w:val="auto"/>
                <w:sz w:val="24"/>
                <w:szCs w:val="24"/>
                <w:highlight w:val="none"/>
                <w:lang w:val="en-US" w:eastAsia="zh-CN"/>
              </w:rPr>
              <w:t>项目运营期生活污水执行</w:t>
            </w:r>
            <w:r>
              <w:rPr>
                <w:rFonts w:hint="default" w:ascii="Times New Roman" w:hAnsi="Times New Roman" w:eastAsia="宋体" w:cs="Times New Roman"/>
                <w:bCs/>
                <w:snapToGrid w:val="0"/>
                <w:color w:val="auto"/>
                <w:kern w:val="0"/>
                <w:sz w:val="24"/>
                <w:szCs w:val="24"/>
                <w:highlight w:val="none"/>
                <w:lang w:val="en-US" w:eastAsia="zh-CN" w:bidi="ar-SA"/>
              </w:rPr>
              <w:t>《污水综合排放标准》（GB8978-1996</w:t>
            </w:r>
            <w:r>
              <w:rPr>
                <w:rFonts w:hint="default" w:ascii="Times New Roman" w:hAnsi="Times New Roman" w:cs="Times New Roman"/>
                <w:bCs/>
                <w:snapToGrid w:val="0"/>
                <w:color w:val="auto"/>
                <w:kern w:val="0"/>
                <w:sz w:val="24"/>
                <w:szCs w:val="24"/>
                <w:highlight w:val="none"/>
                <w:lang w:val="en-US" w:eastAsia="zh-CN" w:bidi="ar-SA"/>
              </w:rPr>
              <w:t>）</w:t>
            </w:r>
            <w:r>
              <w:rPr>
                <w:rFonts w:hint="default" w:ascii="Times New Roman" w:hAnsi="Times New Roman" w:eastAsia="宋体" w:cs="Times New Roman"/>
                <w:bCs/>
                <w:snapToGrid w:val="0"/>
                <w:color w:val="auto"/>
                <w:kern w:val="0"/>
                <w:sz w:val="24"/>
                <w:szCs w:val="24"/>
                <w:highlight w:val="none"/>
                <w:lang w:val="en-US" w:eastAsia="zh-CN" w:bidi="ar-SA"/>
              </w:rPr>
              <w:t>表4三级标准</w:t>
            </w:r>
            <w:r>
              <w:rPr>
                <w:rFonts w:hint="default" w:ascii="Times New Roman" w:hAnsi="Times New Roman" w:eastAsia="宋体" w:cs="Times New Roman"/>
                <w:bCs/>
                <w:snapToGrid w:val="0"/>
                <w:color w:val="auto"/>
                <w:kern w:val="0"/>
                <w:sz w:val="24"/>
                <w:szCs w:val="24"/>
                <w:highlight w:val="none"/>
                <w:lang w:val="en-GB" w:eastAsia="zh-CN" w:bidi="ar-SA"/>
              </w:rPr>
              <w:t>及《污水排入城镇下水道水质标准》（GB/T31962-2015</w:t>
            </w:r>
            <w:r>
              <w:rPr>
                <w:rFonts w:hint="default" w:ascii="Times New Roman" w:hAnsi="Times New Roman" w:cs="Times New Roman"/>
                <w:bCs/>
                <w:snapToGrid w:val="0"/>
                <w:color w:val="auto"/>
                <w:kern w:val="0"/>
                <w:sz w:val="24"/>
                <w:szCs w:val="24"/>
                <w:highlight w:val="none"/>
                <w:lang w:val="en-GB" w:eastAsia="zh-CN" w:bidi="ar-SA"/>
              </w:rPr>
              <w:t>）</w:t>
            </w:r>
            <w:r>
              <w:rPr>
                <w:rFonts w:hint="default" w:ascii="Times New Roman" w:hAnsi="Times New Roman" w:eastAsia="宋体" w:cs="Times New Roman"/>
                <w:bCs/>
                <w:snapToGrid w:val="0"/>
                <w:color w:val="auto"/>
                <w:kern w:val="0"/>
                <w:sz w:val="24"/>
                <w:szCs w:val="24"/>
                <w:highlight w:val="none"/>
                <w:lang w:val="en-US" w:eastAsia="zh-CN" w:bidi="ar-SA"/>
              </w:rPr>
              <w:t>表1中B</w:t>
            </w:r>
            <w:r>
              <w:rPr>
                <w:rFonts w:hint="default" w:ascii="Times New Roman" w:hAnsi="Times New Roman" w:eastAsia="宋体" w:cs="Times New Roman"/>
                <w:bCs/>
                <w:snapToGrid w:val="0"/>
                <w:color w:val="auto"/>
                <w:kern w:val="0"/>
                <w:sz w:val="24"/>
                <w:szCs w:val="24"/>
                <w:highlight w:val="none"/>
                <w:lang w:val="en-GB" w:eastAsia="zh-CN" w:bidi="ar-SA"/>
              </w:rPr>
              <w:t>级</w:t>
            </w:r>
            <w:r>
              <w:rPr>
                <w:rFonts w:hint="default" w:ascii="Times New Roman" w:hAnsi="Times New Roman" w:eastAsia="宋体" w:cs="Times New Roman"/>
                <w:bCs/>
                <w:snapToGrid w:val="0"/>
                <w:color w:val="auto"/>
                <w:kern w:val="0"/>
                <w:sz w:val="24"/>
                <w:szCs w:val="24"/>
                <w:highlight w:val="none"/>
                <w:lang w:val="en-US" w:eastAsia="zh-CN" w:bidi="ar-SA"/>
              </w:rPr>
              <w:t>标准限值要求</w:t>
            </w:r>
            <w:r>
              <w:rPr>
                <w:rFonts w:hint="default" w:ascii="Times New Roman" w:hAnsi="Times New Roman" w:eastAsia="宋体" w:cs="Times New Roman"/>
                <w:bCs/>
                <w:snapToGrid w:val="0"/>
                <w:color w:val="auto"/>
                <w:kern w:val="0"/>
                <w:sz w:val="24"/>
                <w:szCs w:val="24"/>
                <w:highlight w:val="none"/>
                <w:lang w:val="en-GB" w:eastAsia="zh-CN" w:bidi="ar-SA"/>
              </w:rPr>
              <w:t>。</w:t>
            </w:r>
          </w:p>
          <w:p w14:paraId="2F3B74FC">
            <w:pPr>
              <w:spacing w:line="240" w:lineRule="auto"/>
              <w:jc w:val="center"/>
              <w:rPr>
                <w:rFonts w:hint="default" w:ascii="Times New Roman" w:hAnsi="Times New Roman" w:eastAsia="宋体" w:cs="Times New Roman"/>
                <w:b/>
                <w:bCs w:val="0"/>
                <w:snapToGrid w:val="0"/>
                <w:color w:val="auto"/>
                <w:kern w:val="0"/>
                <w:sz w:val="21"/>
                <w:szCs w:val="21"/>
                <w:highlight w:val="none"/>
                <w:lang w:val="en-US" w:eastAsia="zh-CN" w:bidi="ar-SA"/>
              </w:rPr>
            </w:pPr>
            <w:r>
              <w:rPr>
                <w:rFonts w:hint="default" w:ascii="Times New Roman" w:hAnsi="Times New Roman" w:eastAsia="宋体" w:cs="Times New Roman"/>
                <w:b/>
                <w:bCs w:val="0"/>
                <w:snapToGrid w:val="0"/>
                <w:color w:val="auto"/>
                <w:kern w:val="0"/>
                <w:sz w:val="21"/>
                <w:szCs w:val="21"/>
                <w:highlight w:val="none"/>
                <w:lang w:val="en-US" w:eastAsia="zh-CN" w:bidi="ar-SA"/>
              </w:rPr>
              <w:t>表3-</w:t>
            </w:r>
            <w:r>
              <w:rPr>
                <w:rFonts w:hint="eastAsia" w:ascii="Times New Roman" w:hAnsi="Times New Roman" w:eastAsia="宋体" w:cs="Times New Roman"/>
                <w:b/>
                <w:bCs w:val="0"/>
                <w:snapToGrid w:val="0"/>
                <w:color w:val="auto"/>
                <w:kern w:val="0"/>
                <w:sz w:val="21"/>
                <w:szCs w:val="21"/>
                <w:highlight w:val="none"/>
                <w:lang w:val="en-US" w:eastAsia="zh-CN" w:bidi="ar-SA"/>
              </w:rPr>
              <w:t>6</w:t>
            </w:r>
            <w:r>
              <w:rPr>
                <w:rFonts w:hint="default" w:ascii="Times New Roman" w:hAnsi="Times New Roman" w:eastAsia="宋体" w:cs="Times New Roman"/>
                <w:b/>
                <w:bCs w:val="0"/>
                <w:snapToGrid w:val="0"/>
                <w:color w:val="auto"/>
                <w:kern w:val="0"/>
                <w:sz w:val="21"/>
                <w:szCs w:val="21"/>
                <w:highlight w:val="none"/>
                <w:lang w:val="en-US" w:eastAsia="zh-CN" w:bidi="ar-SA"/>
              </w:rPr>
              <w:t xml:space="preserve"> 废水污染物排放执行标准</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1847"/>
              <w:gridCol w:w="1690"/>
              <w:gridCol w:w="3660"/>
            </w:tblGrid>
            <w:tr w14:paraId="3D3F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noWrap w:val="0"/>
                  <w:vAlign w:val="center"/>
                </w:tcPr>
                <w:p w14:paraId="103D40A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u w:val="none"/>
                      <w:lang w:val="en-US" w:eastAsia="zh-CN"/>
                    </w:rPr>
                    <w:t>污染源</w:t>
                  </w:r>
                </w:p>
              </w:tc>
              <w:tc>
                <w:tcPr>
                  <w:tcW w:w="1112" w:type="pct"/>
                  <w:noWrap w:val="0"/>
                  <w:vAlign w:val="center"/>
                </w:tcPr>
                <w:p w14:paraId="6DB1C86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u w:val="none"/>
                      <w:lang w:val="en-US" w:eastAsia="zh-CN"/>
                    </w:rPr>
                    <w:t>污染物</w:t>
                  </w:r>
                </w:p>
              </w:tc>
              <w:tc>
                <w:tcPr>
                  <w:tcW w:w="1018" w:type="pct"/>
                  <w:noWrap w:val="0"/>
                  <w:vAlign w:val="center"/>
                </w:tcPr>
                <w:p w14:paraId="74D7DD3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u w:val="none"/>
                      <w:lang w:val="en-US" w:eastAsia="zh-CN"/>
                    </w:rPr>
                    <w:t>标准限值（mg/L）</w:t>
                  </w:r>
                </w:p>
              </w:tc>
              <w:tc>
                <w:tcPr>
                  <w:tcW w:w="2204" w:type="pct"/>
                  <w:noWrap w:val="0"/>
                  <w:vAlign w:val="center"/>
                </w:tcPr>
                <w:p w14:paraId="04AD2E1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u w:val="none"/>
                    </w:rPr>
                    <w:t>标准名称</w:t>
                  </w:r>
                </w:p>
              </w:tc>
            </w:tr>
            <w:tr w14:paraId="66466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restart"/>
                  <w:noWrap w:val="0"/>
                  <w:vAlign w:val="center"/>
                </w:tcPr>
                <w:p w14:paraId="36D9FBBE">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lang w:val="en-US" w:eastAsia="zh-CN"/>
                    </w:rPr>
                    <w:t>生活污水</w:t>
                  </w:r>
                </w:p>
              </w:tc>
              <w:tc>
                <w:tcPr>
                  <w:tcW w:w="1112" w:type="pct"/>
                  <w:noWrap w:val="0"/>
                  <w:vAlign w:val="center"/>
                </w:tcPr>
                <w:p w14:paraId="433E1980">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PH</w:t>
                  </w:r>
                </w:p>
              </w:tc>
              <w:tc>
                <w:tcPr>
                  <w:tcW w:w="1018" w:type="pct"/>
                  <w:noWrap w:val="0"/>
                  <w:vAlign w:val="center"/>
                </w:tcPr>
                <w:p w14:paraId="68575020">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6-9</w:t>
                  </w:r>
                </w:p>
              </w:tc>
              <w:tc>
                <w:tcPr>
                  <w:tcW w:w="2204" w:type="pct"/>
                  <w:vMerge w:val="restart"/>
                  <w:noWrap w:val="0"/>
                  <w:vAlign w:val="center"/>
                </w:tcPr>
                <w:p w14:paraId="0DF010ED">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《污水综合排放标准》</w:t>
                  </w:r>
                </w:p>
                <w:p w14:paraId="3FE441F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Cs w:val="21"/>
                      <w:highlight w:val="none"/>
                    </w:rPr>
                    <w:t>（GB8978-1996）</w:t>
                  </w:r>
                  <w:r>
                    <w:rPr>
                      <w:rFonts w:hint="default" w:ascii="Times New Roman" w:hAnsi="Times New Roman" w:cs="Times New Roman"/>
                      <w:color w:val="auto"/>
                      <w:szCs w:val="21"/>
                      <w:highlight w:val="none"/>
                      <w:lang w:val="en-US" w:eastAsia="zh-CN"/>
                    </w:rPr>
                    <w:t>表4中</w:t>
                  </w:r>
                  <w:r>
                    <w:rPr>
                      <w:rFonts w:hint="default" w:ascii="Times New Roman" w:hAnsi="Times New Roman" w:cs="Times New Roman"/>
                      <w:color w:val="auto"/>
                      <w:szCs w:val="21"/>
                      <w:highlight w:val="none"/>
                    </w:rPr>
                    <w:t>三级标准</w:t>
                  </w:r>
                </w:p>
              </w:tc>
            </w:tr>
            <w:tr w14:paraId="71BF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1101E1C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u w:val="none"/>
                    </w:rPr>
                  </w:pPr>
                </w:p>
              </w:tc>
              <w:tc>
                <w:tcPr>
                  <w:tcW w:w="1112" w:type="pct"/>
                  <w:noWrap w:val="0"/>
                  <w:vAlign w:val="center"/>
                </w:tcPr>
                <w:p w14:paraId="5E6DEFDC">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化学需氧量</w:t>
                  </w:r>
                </w:p>
              </w:tc>
              <w:tc>
                <w:tcPr>
                  <w:tcW w:w="1018" w:type="pct"/>
                  <w:noWrap w:val="0"/>
                  <w:vAlign w:val="center"/>
                </w:tcPr>
                <w:p w14:paraId="4B36458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500</w:t>
                  </w:r>
                </w:p>
              </w:tc>
              <w:tc>
                <w:tcPr>
                  <w:tcW w:w="2204" w:type="pct"/>
                  <w:vMerge w:val="continue"/>
                  <w:noWrap w:val="0"/>
                  <w:vAlign w:val="center"/>
                </w:tcPr>
                <w:p w14:paraId="37B63FA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r>
            <w:tr w14:paraId="771F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7341471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12" w:type="pct"/>
                  <w:noWrap w:val="0"/>
                  <w:vAlign w:val="center"/>
                </w:tcPr>
                <w:p w14:paraId="7F71881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五日生化需氧量</w:t>
                  </w:r>
                </w:p>
              </w:tc>
              <w:tc>
                <w:tcPr>
                  <w:tcW w:w="1018" w:type="pct"/>
                  <w:noWrap w:val="0"/>
                  <w:vAlign w:val="center"/>
                </w:tcPr>
                <w:p w14:paraId="66BE955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300</w:t>
                  </w:r>
                </w:p>
              </w:tc>
              <w:tc>
                <w:tcPr>
                  <w:tcW w:w="2204" w:type="pct"/>
                  <w:vMerge w:val="continue"/>
                  <w:noWrap w:val="0"/>
                  <w:vAlign w:val="center"/>
                </w:tcPr>
                <w:p w14:paraId="61881C3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r>
            <w:tr w14:paraId="7731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3256453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12" w:type="pct"/>
                  <w:noWrap w:val="0"/>
                  <w:vAlign w:val="center"/>
                </w:tcPr>
                <w:p w14:paraId="45A0416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悬浮物</w:t>
                  </w:r>
                </w:p>
              </w:tc>
              <w:tc>
                <w:tcPr>
                  <w:tcW w:w="1018" w:type="pct"/>
                  <w:noWrap w:val="0"/>
                  <w:vAlign w:val="center"/>
                </w:tcPr>
                <w:p w14:paraId="0337DCA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400</w:t>
                  </w:r>
                </w:p>
              </w:tc>
              <w:tc>
                <w:tcPr>
                  <w:tcW w:w="2204" w:type="pct"/>
                  <w:vMerge w:val="continue"/>
                  <w:noWrap w:val="0"/>
                  <w:vAlign w:val="center"/>
                </w:tcPr>
                <w:p w14:paraId="5979DB5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r>
            <w:tr w14:paraId="4177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0DF7EA5D">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12" w:type="pct"/>
                  <w:noWrap w:val="0"/>
                  <w:vAlign w:val="center"/>
                </w:tcPr>
                <w:p w14:paraId="373E1484">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氨氮</w:t>
                  </w:r>
                </w:p>
              </w:tc>
              <w:tc>
                <w:tcPr>
                  <w:tcW w:w="1018" w:type="pct"/>
                  <w:noWrap w:val="0"/>
                  <w:vAlign w:val="center"/>
                </w:tcPr>
                <w:p w14:paraId="56118C8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45</w:t>
                  </w:r>
                </w:p>
              </w:tc>
              <w:tc>
                <w:tcPr>
                  <w:tcW w:w="2204" w:type="pct"/>
                  <w:noWrap w:val="0"/>
                  <w:vAlign w:val="center"/>
                </w:tcPr>
                <w:p w14:paraId="34692491">
                  <w:pPr>
                    <w:wordWrap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《污水排入城镇下水道水质标准》</w:t>
                  </w:r>
                </w:p>
                <w:p w14:paraId="4860CCC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highlight w:val="none"/>
                    </w:rPr>
                    <w:t>（GB/T31962-2015）表1</w:t>
                  </w:r>
                  <w:r>
                    <w:rPr>
                      <w:rFonts w:hint="default" w:ascii="Times New Roman" w:hAnsi="Times New Roman" w:cs="Times New Roman"/>
                      <w:color w:val="auto"/>
                      <w:highlight w:val="none"/>
                      <w:lang w:eastAsia="zh-CN"/>
                    </w:rPr>
                    <w:t>中</w:t>
                  </w:r>
                  <w:r>
                    <w:rPr>
                      <w:rFonts w:hint="default" w:ascii="Times New Roman" w:hAnsi="Times New Roman" w:cs="Times New Roman"/>
                      <w:color w:val="auto"/>
                      <w:highlight w:val="none"/>
                      <w:lang w:val="en-US" w:eastAsia="zh-CN"/>
                    </w:rPr>
                    <w:t>B级</w:t>
                  </w:r>
                  <w:r>
                    <w:rPr>
                      <w:rFonts w:hint="default" w:ascii="Times New Roman" w:hAnsi="Times New Roman" w:cs="Times New Roman"/>
                      <w:color w:val="auto"/>
                      <w:highlight w:val="none"/>
                    </w:rPr>
                    <w:t>标准</w:t>
                  </w:r>
                </w:p>
              </w:tc>
            </w:tr>
          </w:tbl>
          <w:p w14:paraId="13B142B9">
            <w:pPr>
              <w:numPr>
                <w:ilvl w:val="0"/>
                <w:numId w:val="6"/>
              </w:numPr>
              <w:spacing w:line="360" w:lineRule="auto"/>
              <w:ind w:left="0" w:leftChars="0" w:firstLine="0" w:firstLineChars="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噪声</w:t>
            </w:r>
          </w:p>
          <w:p w14:paraId="05CEA724">
            <w:pPr>
              <w:pStyle w:val="3"/>
              <w:keepNext/>
              <w:keepLines w:val="0"/>
              <w:pageBreakBefore w:val="0"/>
              <w:widowControl w:val="0"/>
              <w:kinsoku/>
              <w:wordWrap w:val="0"/>
              <w:overflowPunct w:val="0"/>
              <w:topLinePunct w:val="0"/>
              <w:autoSpaceDE/>
              <w:autoSpaceDN/>
              <w:bidi w:val="0"/>
              <w:adjustRightInd/>
              <w:snapToGrid w:val="0"/>
              <w:spacing w:line="360" w:lineRule="auto"/>
              <w:ind w:firstLine="480" w:firstLineChars="200"/>
              <w:textAlignment w:val="auto"/>
              <w:rPr>
                <w:rFonts w:hint="default" w:ascii="Times New Roman" w:hAnsi="Times New Roman" w:cs="Times New Roman"/>
                <w:color w:val="auto"/>
                <w:sz w:val="24"/>
                <w:highlight w:val="none"/>
              </w:rPr>
            </w:pPr>
            <w:bookmarkStart w:id="20" w:name="_Toc26925"/>
            <w:r>
              <w:rPr>
                <w:rFonts w:hint="default" w:ascii="Times New Roman" w:hAnsi="Times New Roman" w:cs="Times New Roman"/>
                <w:color w:val="auto"/>
                <w:sz w:val="24"/>
                <w:szCs w:val="24"/>
                <w:highlight w:val="none"/>
                <w:lang w:val="en-US" w:eastAsia="zh-CN"/>
              </w:rPr>
              <w:t>项目施工期噪声执行</w:t>
            </w:r>
            <w:r>
              <w:rPr>
                <w:rFonts w:hint="default" w:ascii="Times New Roman" w:hAnsi="Times New Roman" w:cs="Times New Roman"/>
                <w:color w:val="auto"/>
                <w:sz w:val="24"/>
                <w:highlight w:val="none"/>
              </w:rPr>
              <w:t>《建筑施工场界环境噪声排放标准》（GB12523-2011）中相关要求；</w:t>
            </w:r>
            <w:r>
              <w:rPr>
                <w:rFonts w:hint="default" w:ascii="Times New Roman" w:hAnsi="Times New Roman" w:cs="Times New Roman"/>
                <w:color w:val="auto"/>
                <w:sz w:val="24"/>
                <w:szCs w:val="24"/>
                <w:highlight w:val="none"/>
                <w:lang w:val="en-US" w:eastAsia="zh-CN"/>
              </w:rPr>
              <w:t>运营期噪声执行</w:t>
            </w:r>
            <w:r>
              <w:rPr>
                <w:rFonts w:hint="default" w:ascii="Times New Roman" w:hAnsi="Times New Roman" w:cs="Times New Roman"/>
                <w:color w:val="auto"/>
                <w:sz w:val="24"/>
                <w:highlight w:val="none"/>
              </w:rPr>
              <w:t>《工业企业厂界环境噪声排放标准》（GB12348-2008）</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类标准。</w:t>
            </w:r>
            <w:bookmarkEnd w:id="20"/>
            <w:r>
              <w:rPr>
                <w:rFonts w:hint="default" w:ascii="Times New Roman" w:hAnsi="Times New Roman" w:eastAsia="宋体" w:cs="Times New Roman"/>
                <w:color w:val="auto"/>
                <w:kern w:val="0"/>
                <w:sz w:val="24"/>
                <w:szCs w:val="24"/>
                <w:highlight w:val="none"/>
                <w:lang w:val="en-US" w:eastAsia="zh-CN"/>
              </w:rPr>
              <w:t>根据《西咸新区声环境功能区划方案》</w:t>
            </w:r>
            <w:r>
              <w:rPr>
                <w:rFonts w:hint="eastAsia" w:ascii="Times New Roman" w:hAnsi="Times New Roman" w:eastAsia="宋体"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项目地属声环境3类区（永乐店站片区-西界原点东路</w:t>
            </w:r>
            <w:r>
              <w:rPr>
                <w:rFonts w:hint="eastAsia" w:ascii="Times New Roman" w:hAnsi="Times New Roman" w:eastAsia="宋体"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北界原点大道</w:t>
            </w:r>
            <w:r>
              <w:rPr>
                <w:rFonts w:hint="eastAsia" w:ascii="Times New Roman" w:hAnsi="Times New Roman" w:eastAsia="宋体"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东界延西高速</w:t>
            </w:r>
            <w:r>
              <w:rPr>
                <w:rFonts w:hint="eastAsia" w:ascii="Times New Roman" w:hAnsi="Times New Roman" w:eastAsia="宋体"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南界高泾大道）。</w:t>
            </w:r>
          </w:p>
          <w:p w14:paraId="426343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4"/>
                <w:highlight w:val="none"/>
                <w:lang w:val="en-US" w:eastAsia="zh-CN"/>
              </w:rPr>
            </w:pPr>
            <w:r>
              <w:rPr>
                <w:rFonts w:hint="default" w:ascii="Times New Roman" w:hAnsi="Times New Roman" w:cs="Times New Roman"/>
                <w:b/>
                <w:bCs/>
                <w:color w:val="auto"/>
                <w:sz w:val="21"/>
                <w:szCs w:val="21"/>
                <w:highlight w:val="none"/>
                <w:lang w:val="en-US" w:eastAsia="zh-CN"/>
              </w:rPr>
              <w:t>表3-</w:t>
            </w:r>
            <w:r>
              <w:rPr>
                <w:rFonts w:hint="eastAsia" w:ascii="Times New Roman" w:hAnsi="Times New Roman" w:cs="Times New Roman"/>
                <w:b/>
                <w:bCs/>
                <w:color w:val="auto"/>
                <w:sz w:val="21"/>
                <w:szCs w:val="21"/>
                <w:highlight w:val="none"/>
                <w:lang w:val="en-US" w:eastAsia="zh-CN"/>
              </w:rPr>
              <w:t>7</w:t>
            </w:r>
            <w:r>
              <w:rPr>
                <w:rFonts w:hint="default" w:ascii="Times New Roman" w:hAnsi="Times New Roman" w:cs="Times New Roman"/>
                <w:b/>
                <w:bCs/>
                <w:color w:val="auto"/>
                <w:sz w:val="21"/>
                <w:szCs w:val="21"/>
                <w:highlight w:val="none"/>
                <w:lang w:val="en-US" w:eastAsia="zh-CN"/>
              </w:rPr>
              <w:t xml:space="preserve"> 噪声排放执行标准</w:t>
            </w:r>
          </w:p>
          <w:tbl>
            <w:tblPr>
              <w:tblStyle w:val="26"/>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9"/>
              <w:gridCol w:w="1650"/>
              <w:gridCol w:w="2030"/>
            </w:tblGrid>
            <w:tr w14:paraId="2877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vMerge w:val="restart"/>
                  <w:noWrap w:val="0"/>
                  <w:vAlign w:val="center"/>
                </w:tcPr>
                <w:p w14:paraId="46EBC0AB">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val="en-US" w:eastAsia="zh-CN"/>
                    </w:rPr>
                    <w:t>执行标准</w:t>
                  </w:r>
                </w:p>
              </w:tc>
              <w:tc>
                <w:tcPr>
                  <w:tcW w:w="2190" w:type="pct"/>
                  <w:gridSpan w:val="2"/>
                  <w:noWrap w:val="0"/>
                  <w:vAlign w:val="center"/>
                </w:tcPr>
                <w:p w14:paraId="00D242B3">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噪声限值dB(A)</w:t>
                  </w:r>
                </w:p>
              </w:tc>
            </w:tr>
            <w:tr w14:paraId="579B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vMerge w:val="continue"/>
                  <w:noWrap w:val="0"/>
                  <w:vAlign w:val="center"/>
                </w:tcPr>
                <w:p w14:paraId="4DEB7999">
                  <w:pPr>
                    <w:jc w:val="center"/>
                    <w:rPr>
                      <w:rFonts w:hint="default" w:ascii="Times New Roman" w:hAnsi="Times New Roman" w:cs="Times New Roman"/>
                      <w:b/>
                      <w:color w:val="auto"/>
                      <w:szCs w:val="21"/>
                      <w:highlight w:val="none"/>
                      <w:lang w:val="en-US" w:eastAsia="zh-CN"/>
                    </w:rPr>
                  </w:pPr>
                </w:p>
              </w:tc>
              <w:tc>
                <w:tcPr>
                  <w:tcW w:w="982" w:type="pct"/>
                  <w:noWrap w:val="0"/>
                  <w:vAlign w:val="center"/>
                </w:tcPr>
                <w:p w14:paraId="6EFD04BC">
                  <w:pPr>
                    <w:jc w:val="center"/>
                    <w:rPr>
                      <w:rFonts w:hint="default" w:ascii="Times New Roman" w:hAnsi="Times New Roman" w:cs="Times New Roman"/>
                      <w:b/>
                      <w:color w:val="auto"/>
                      <w:szCs w:val="21"/>
                      <w:highlight w:val="none"/>
                    </w:rPr>
                  </w:pPr>
                  <w:r>
                    <w:rPr>
                      <w:rFonts w:hint="default" w:ascii="Times New Roman" w:hAnsi="Times New Roman" w:cs="Times New Roman"/>
                      <w:color w:val="auto"/>
                      <w:szCs w:val="21"/>
                      <w:highlight w:val="none"/>
                    </w:rPr>
                    <w:t>昼间</w:t>
                  </w:r>
                </w:p>
              </w:tc>
              <w:tc>
                <w:tcPr>
                  <w:tcW w:w="1208" w:type="pct"/>
                  <w:noWrap w:val="0"/>
                  <w:vAlign w:val="center"/>
                </w:tcPr>
                <w:p w14:paraId="566F2396">
                  <w:pPr>
                    <w:jc w:val="center"/>
                    <w:rPr>
                      <w:rFonts w:hint="default" w:ascii="Times New Roman" w:hAnsi="Times New Roman" w:cs="Times New Roman"/>
                      <w:b/>
                      <w:color w:val="auto"/>
                      <w:szCs w:val="21"/>
                      <w:highlight w:val="none"/>
                    </w:rPr>
                  </w:pPr>
                  <w:r>
                    <w:rPr>
                      <w:rFonts w:hint="default" w:ascii="Times New Roman" w:hAnsi="Times New Roman" w:cs="Times New Roman"/>
                      <w:color w:val="auto"/>
                      <w:szCs w:val="21"/>
                      <w:highlight w:val="none"/>
                    </w:rPr>
                    <w:t>夜间</w:t>
                  </w:r>
                </w:p>
              </w:tc>
            </w:tr>
            <w:tr w14:paraId="7D2D7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noWrap w:val="0"/>
                  <w:vAlign w:val="center"/>
                </w:tcPr>
                <w:p w14:paraId="089DDA72">
                  <w:pPr>
                    <w:wordWrap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《建筑施工场界环境噪声排放标准》</w:t>
                  </w:r>
                </w:p>
                <w:p w14:paraId="4D4CE81E">
                  <w:pPr>
                    <w:wordWrap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(GB12523-2011)</w:t>
                  </w:r>
                </w:p>
              </w:tc>
              <w:tc>
                <w:tcPr>
                  <w:tcW w:w="982" w:type="pct"/>
                  <w:noWrap w:val="0"/>
                  <w:vAlign w:val="center"/>
                </w:tcPr>
                <w:p w14:paraId="5EE200E1">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70</w:t>
                  </w:r>
                </w:p>
              </w:tc>
              <w:tc>
                <w:tcPr>
                  <w:tcW w:w="1208" w:type="pct"/>
                  <w:noWrap w:val="0"/>
                  <w:vAlign w:val="center"/>
                </w:tcPr>
                <w:p w14:paraId="4E2A6251">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55</w:t>
                  </w:r>
                </w:p>
              </w:tc>
            </w:tr>
            <w:tr w14:paraId="09AD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noWrap w:val="0"/>
                  <w:vAlign w:val="center"/>
                </w:tcPr>
                <w:p w14:paraId="75EF900F">
                  <w:pPr>
                    <w:wordWrap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《工业企业厂界环境噪声排放标准》</w:t>
                  </w:r>
                </w:p>
                <w:p w14:paraId="37F40A5D">
                  <w:pPr>
                    <w:wordWrap w:val="0"/>
                    <w:jc w:val="center"/>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highlight w:val="none"/>
                    </w:rPr>
                    <w:t>（GB12348-2008）</w:t>
                  </w:r>
                  <w:r>
                    <w:rPr>
                      <w:rFonts w:hint="default" w:ascii="Times New Roman" w:hAnsi="Times New Roman" w:eastAsia="宋体" w:cs="Times New Roman"/>
                      <w:color w:val="auto"/>
                      <w:highlight w:val="none"/>
                      <w:lang w:val="en-US" w:eastAsia="zh-CN"/>
                    </w:rPr>
                    <w:t>3类标准</w:t>
                  </w:r>
                </w:p>
              </w:tc>
              <w:tc>
                <w:tcPr>
                  <w:tcW w:w="982" w:type="pct"/>
                  <w:noWrap w:val="0"/>
                  <w:vAlign w:val="center"/>
                </w:tcPr>
                <w:p w14:paraId="71E03E2F">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65</w:t>
                  </w:r>
                </w:p>
              </w:tc>
              <w:tc>
                <w:tcPr>
                  <w:tcW w:w="1208" w:type="pct"/>
                  <w:noWrap w:val="0"/>
                  <w:vAlign w:val="center"/>
                </w:tcPr>
                <w:p w14:paraId="19C4313F">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55</w:t>
                  </w:r>
                </w:p>
              </w:tc>
            </w:tr>
          </w:tbl>
          <w:p w14:paraId="04489E34">
            <w:pPr>
              <w:pStyle w:val="3"/>
              <w:numPr>
                <w:ilvl w:val="0"/>
                <w:numId w:val="6"/>
              </w:numPr>
              <w:spacing w:line="360" w:lineRule="auto"/>
              <w:ind w:left="0" w:leftChars="0" w:firstLine="0" w:firstLineChars="0"/>
              <w:rPr>
                <w:rFonts w:hint="default" w:ascii="Times New Roman" w:hAnsi="Times New Roman" w:cs="Times New Roman"/>
                <w:b/>
                <w:bCs/>
                <w:color w:val="auto"/>
                <w:sz w:val="24"/>
                <w:szCs w:val="24"/>
                <w:highlight w:val="none"/>
                <w:lang w:val="en-US" w:eastAsia="zh-CN"/>
              </w:rPr>
            </w:pPr>
            <w:bookmarkStart w:id="21" w:name="_Toc1711"/>
            <w:r>
              <w:rPr>
                <w:rFonts w:hint="default" w:ascii="Times New Roman" w:hAnsi="Times New Roman" w:cs="Times New Roman"/>
                <w:b/>
                <w:bCs/>
                <w:color w:val="auto"/>
                <w:sz w:val="24"/>
                <w:szCs w:val="24"/>
                <w:highlight w:val="none"/>
                <w:lang w:val="en-US" w:eastAsia="zh-CN"/>
              </w:rPr>
              <w:t>固废</w:t>
            </w:r>
            <w:bookmarkEnd w:id="21"/>
          </w:p>
          <w:p w14:paraId="566ED985">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rPr>
              <w:t>一般固体废物</w:t>
            </w:r>
            <w:r>
              <w:rPr>
                <w:rFonts w:hint="default" w:ascii="Times New Roman" w:hAnsi="Times New Roman" w:cs="Times New Roman"/>
                <w:color w:val="auto"/>
                <w:sz w:val="24"/>
                <w:szCs w:val="24"/>
                <w:highlight w:val="none"/>
                <w:lang w:val="en-US" w:eastAsia="zh-CN"/>
              </w:rPr>
              <w:t>参照</w:t>
            </w:r>
            <w:r>
              <w:rPr>
                <w:rFonts w:hint="default" w:ascii="Times New Roman" w:hAnsi="Times New Roman" w:cs="Times New Roman"/>
                <w:color w:val="auto"/>
                <w:sz w:val="24"/>
                <w:szCs w:val="24"/>
                <w:highlight w:val="none"/>
              </w:rPr>
              <w:t>《一般工业固体废物贮存和填埋污染控制标准》（GB18599-2020）；危险废物执行《危险废物贮存污染控制标准》（</w:t>
            </w:r>
            <w:r>
              <w:rPr>
                <w:rFonts w:hint="default" w:ascii="Times New Roman" w:hAnsi="Times New Roman" w:cs="Times New Roman"/>
                <w:color w:val="auto"/>
                <w:sz w:val="24"/>
                <w:szCs w:val="24"/>
                <w:highlight w:val="none"/>
                <w:lang w:eastAsia="zh-CN"/>
              </w:rPr>
              <w:t>GB18597-2023</w:t>
            </w:r>
            <w:r>
              <w:rPr>
                <w:rFonts w:hint="default" w:ascii="Times New Roman" w:hAnsi="Times New Roman" w:cs="Times New Roman"/>
                <w:color w:val="auto"/>
                <w:sz w:val="24"/>
                <w:szCs w:val="24"/>
                <w:highlight w:val="none"/>
              </w:rPr>
              <w:t>）中有关要求。</w:t>
            </w:r>
          </w:p>
        </w:tc>
      </w:tr>
      <w:tr w14:paraId="3F31A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64" w:type="dxa"/>
            <w:noWrap w:val="0"/>
            <w:vAlign w:val="center"/>
          </w:tcPr>
          <w:p w14:paraId="50986CBF">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总量</w:t>
            </w:r>
          </w:p>
          <w:p w14:paraId="2AA9FDF5">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控制</w:t>
            </w:r>
          </w:p>
          <w:p w14:paraId="6D4D3208">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指标</w:t>
            </w:r>
          </w:p>
        </w:tc>
        <w:tc>
          <w:tcPr>
            <w:tcW w:w="8526" w:type="dxa"/>
            <w:noWrap w:val="0"/>
            <w:vAlign w:val="center"/>
          </w:tcPr>
          <w:p w14:paraId="4D15BDA6">
            <w:pPr>
              <w:autoSpaceDE w:val="0"/>
              <w:adjustRightInd w:val="0"/>
              <w:snapToGrid w:val="0"/>
              <w:spacing w:before="156" w:beforeLines="50" w:line="360" w:lineRule="auto"/>
              <w:ind w:firstLine="480" w:firstLineChars="200"/>
              <w:rPr>
                <w:rFonts w:hint="default" w:ascii="Times New Roman" w:hAnsi="Times New Roman" w:cs="Times New Roman"/>
                <w:color w:val="auto"/>
                <w:sz w:val="24"/>
                <w:highlight w:val="none"/>
              </w:rPr>
            </w:pPr>
          </w:p>
          <w:p w14:paraId="3C6D9BAE">
            <w:pPr>
              <w:autoSpaceDE w:val="0"/>
              <w:adjustRightInd w:val="0"/>
              <w:snapToGrid w:val="0"/>
              <w:spacing w:before="156" w:beforeLines="50" w:line="360" w:lineRule="auto"/>
              <w:ind w:firstLine="480" w:firstLineChars="200"/>
              <w:rPr>
                <w:rFonts w:hint="default" w:ascii="Times New Roman" w:hAnsi="Times New Roman" w:cs="Times New Roman"/>
                <w:color w:val="auto"/>
                <w:sz w:val="24"/>
                <w:highlight w:val="none"/>
              </w:rPr>
            </w:pPr>
          </w:p>
          <w:p w14:paraId="5A0A6D22">
            <w:pPr>
              <w:autoSpaceDE w:val="0"/>
              <w:adjustRightInd w:val="0"/>
              <w:snapToGrid w:val="0"/>
              <w:spacing w:before="156" w:beforeLines="50" w:line="360" w:lineRule="auto"/>
              <w:ind w:firstLine="480" w:firstLineChars="200"/>
              <w:rPr>
                <w:rFonts w:hint="default" w:ascii="Times New Roman" w:hAnsi="Times New Roman" w:cs="Times New Roman"/>
                <w:color w:val="auto"/>
                <w:sz w:val="24"/>
                <w:highlight w:val="none"/>
              </w:rPr>
            </w:pPr>
          </w:p>
          <w:p w14:paraId="0EC80AFB">
            <w:pPr>
              <w:autoSpaceDE w:val="0"/>
              <w:adjustRightInd w:val="0"/>
              <w:snapToGrid w:val="0"/>
              <w:spacing w:before="156" w:beforeLines="50"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十</w:t>
            </w:r>
            <w:r>
              <w:rPr>
                <w:rFonts w:hint="default" w:ascii="Times New Roman" w:hAnsi="Times New Roman" w:eastAsia="宋体" w:cs="Times New Roman"/>
                <w:color w:val="auto"/>
                <w:sz w:val="24"/>
                <w:highlight w:val="none"/>
                <w:lang w:val="en-US" w:eastAsia="zh-CN"/>
              </w:rPr>
              <w:t>四</w:t>
            </w:r>
            <w:r>
              <w:rPr>
                <w:rFonts w:hint="default" w:ascii="Times New Roman" w:hAnsi="Times New Roman" w:eastAsia="宋体" w:cs="Times New Roman"/>
                <w:color w:val="auto"/>
                <w:sz w:val="24"/>
                <w:highlight w:val="none"/>
              </w:rPr>
              <w:t>五</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主要污染物总量控制规划编制技术指南》及陕西有关规定，国家</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十</w:t>
            </w:r>
            <w:r>
              <w:rPr>
                <w:rFonts w:hint="default" w:ascii="Times New Roman" w:hAnsi="Times New Roman" w:eastAsia="宋体" w:cs="Times New Roman"/>
                <w:color w:val="auto"/>
                <w:sz w:val="24"/>
                <w:highlight w:val="none"/>
                <w:lang w:val="en-US" w:eastAsia="zh-CN"/>
              </w:rPr>
              <w:t>四</w:t>
            </w:r>
            <w:r>
              <w:rPr>
                <w:rFonts w:hint="default" w:ascii="Times New Roman" w:hAnsi="Times New Roman" w:eastAsia="宋体" w:cs="Times New Roman"/>
                <w:color w:val="auto"/>
                <w:sz w:val="24"/>
                <w:highlight w:val="none"/>
              </w:rPr>
              <w:t>五</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主要污染物总量控制因子为：化学需氧量、氨氮、氮氧化物、挥发性有机物。</w:t>
            </w:r>
          </w:p>
          <w:p w14:paraId="0F65CDE5">
            <w:pPr>
              <w:autoSpaceDE w:val="0"/>
              <w:adjustRightInd w:val="0"/>
              <w:snapToGrid w:val="0"/>
              <w:spacing w:before="156" w:beforeLines="50"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根据工程分析，本项目不产生生产废水；生活污水依托</w:t>
            </w:r>
            <w:r>
              <w:rPr>
                <w:rFonts w:hint="eastAsia" w:ascii="Times New Roman" w:hAnsi="Times New Roman" w:eastAsia="宋体" w:cs="Times New Roman"/>
                <w:color w:val="auto"/>
                <w:sz w:val="24"/>
                <w:highlight w:val="none"/>
                <w:lang w:val="en-US" w:eastAsia="zh-CN"/>
              </w:rPr>
              <w:t>陕西国坤时代科技有限化粪池</w:t>
            </w:r>
            <w:r>
              <w:rPr>
                <w:rFonts w:hint="default" w:ascii="Times New Roman" w:hAnsi="Times New Roman" w:eastAsia="宋体" w:cs="Times New Roman"/>
                <w:color w:val="auto"/>
                <w:sz w:val="24"/>
                <w:highlight w:val="none"/>
                <w:lang w:val="en-US" w:eastAsia="zh-CN"/>
              </w:rPr>
              <w:t>处理</w:t>
            </w:r>
            <w:r>
              <w:rPr>
                <w:rFonts w:hint="eastAsia" w:ascii="Times New Roman" w:hAnsi="Times New Roman" w:eastAsia="宋体" w:cs="Times New Roman"/>
                <w:color w:val="auto"/>
                <w:sz w:val="24"/>
                <w:highlight w:val="none"/>
                <w:lang w:val="en-US" w:eastAsia="zh-CN"/>
              </w:rPr>
              <w:t>后，</w:t>
            </w:r>
            <w:r>
              <w:rPr>
                <w:rFonts w:hint="default" w:ascii="Times New Roman" w:hAnsi="Times New Roman" w:eastAsia="宋体" w:cs="Times New Roman"/>
                <w:color w:val="auto"/>
                <w:sz w:val="24"/>
                <w:highlight w:val="none"/>
                <w:lang w:val="en-US" w:eastAsia="zh-CN"/>
              </w:rPr>
              <w:t>排入泾河新城第二污水处理厂</w:t>
            </w:r>
            <w:r>
              <w:rPr>
                <w:rFonts w:hint="eastAsia" w:ascii="Times New Roman" w:hAnsi="Times New Roman" w:eastAsia="宋体" w:cs="Times New Roman"/>
                <w:color w:val="auto"/>
                <w:sz w:val="24"/>
                <w:highlight w:val="none"/>
                <w:lang w:val="en-US" w:eastAsia="zh-CN"/>
              </w:rPr>
              <w:t>进一步</w:t>
            </w:r>
            <w:r>
              <w:rPr>
                <w:rFonts w:hint="default" w:ascii="Times New Roman" w:hAnsi="Times New Roman" w:eastAsia="宋体" w:cs="Times New Roman"/>
                <w:color w:val="auto"/>
                <w:sz w:val="24"/>
                <w:highlight w:val="none"/>
                <w:lang w:val="en-US" w:eastAsia="zh-CN"/>
              </w:rPr>
              <w:t>处理，因此纳入泾河新城第二污水处理厂总量控制。</w:t>
            </w:r>
          </w:p>
          <w:p w14:paraId="33E945D4">
            <w:pPr>
              <w:autoSpaceDE w:val="0"/>
              <w:adjustRightInd w:val="0"/>
              <w:snapToGrid w:val="0"/>
              <w:spacing w:before="156" w:beforeLines="50" w:line="360" w:lineRule="auto"/>
              <w:ind w:firstLine="480" w:firstLineChars="200"/>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本项目废气主要</w:t>
            </w:r>
            <w:r>
              <w:rPr>
                <w:rFonts w:hint="eastAsia" w:ascii="Times New Roman" w:hAnsi="Times New Roman" w:eastAsia="宋体" w:cs="Times New Roman"/>
                <w:color w:val="auto"/>
                <w:sz w:val="24"/>
                <w:highlight w:val="none"/>
                <w:lang w:val="en-US" w:eastAsia="zh-CN"/>
              </w:rPr>
              <w:t>上料、破碎和打包工序产生的颗粒物。</w:t>
            </w:r>
          </w:p>
          <w:p w14:paraId="2792EE2A">
            <w:pPr>
              <w:autoSpaceDE w:val="0"/>
              <w:adjustRightInd w:val="0"/>
              <w:snapToGrid w:val="0"/>
              <w:spacing w:before="156" w:beforeLines="50" w:line="360" w:lineRule="auto"/>
              <w:ind w:firstLine="480" w:firstLineChars="200"/>
              <w:rPr>
                <w:rFonts w:hint="default" w:ascii="Times New Roman" w:hAnsi="Times New Roman" w:eastAsia="宋体" w:cs="Times New Roman"/>
                <w:color w:val="auto"/>
                <w:sz w:val="24"/>
                <w:highlight w:val="yellow"/>
                <w:lang w:val="en-US" w:eastAsia="zh-CN"/>
              </w:rPr>
            </w:pPr>
            <w:r>
              <w:rPr>
                <w:rFonts w:hint="default" w:ascii="Times New Roman" w:hAnsi="Times New Roman" w:eastAsia="宋体" w:cs="Times New Roman"/>
                <w:color w:val="auto"/>
                <w:sz w:val="24"/>
                <w:highlight w:val="none"/>
                <w:lang w:val="en-US" w:eastAsia="zh-CN"/>
              </w:rPr>
              <w:t>根据项目产排污特征，</w:t>
            </w:r>
            <w:r>
              <w:rPr>
                <w:rFonts w:hint="eastAsia" w:ascii="Times New Roman" w:hAnsi="Times New Roman" w:eastAsia="宋体" w:cs="Times New Roman"/>
                <w:color w:val="auto"/>
                <w:sz w:val="24"/>
                <w:highlight w:val="none"/>
                <w:lang w:val="en-US" w:eastAsia="zh-CN"/>
              </w:rPr>
              <w:t>本项目废水中</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排放量为0.14t/</w:t>
            </w:r>
            <w:r>
              <w:rPr>
                <w:rFonts w:hint="eastAsia" w:cs="Times New Roman"/>
                <w:color w:val="auto"/>
                <w:sz w:val="24"/>
                <w:highlight w:val="none"/>
                <w:lang w:val="en-US" w:eastAsia="zh-CN"/>
              </w:rPr>
              <w:t>a，</w:t>
            </w:r>
            <w:r>
              <w:rPr>
                <w:rFonts w:hint="eastAsia" w:ascii="Times New Roman" w:hAnsi="Times New Roman" w:eastAsia="宋体" w:cs="Times New Roman"/>
                <w:color w:val="auto"/>
                <w:sz w:val="24"/>
                <w:highlight w:val="none"/>
                <w:lang w:val="en-US" w:eastAsia="zh-CN"/>
              </w:rPr>
              <w:t>氨氮排放量为</w:t>
            </w:r>
            <w:r>
              <w:rPr>
                <w:rFonts w:hint="default" w:ascii="Times New Roman" w:hAnsi="Times New Roman" w:eastAsia="宋体" w:cs="Times New Roman"/>
                <w:color w:val="auto"/>
                <w:sz w:val="24"/>
                <w:highlight w:val="none"/>
                <w:lang w:val="en-US" w:eastAsia="zh-CN"/>
              </w:rPr>
              <w:t>0.016</w:t>
            </w:r>
            <w:r>
              <w:rPr>
                <w:rFonts w:hint="eastAsia" w:ascii="Times New Roman" w:hAnsi="Times New Roman" w:eastAsia="宋体" w:cs="Times New Roman"/>
                <w:color w:val="auto"/>
                <w:sz w:val="24"/>
                <w:highlight w:val="none"/>
                <w:lang w:val="en-US" w:eastAsia="zh-CN"/>
              </w:rPr>
              <w:t>t/</w:t>
            </w:r>
            <w:r>
              <w:rPr>
                <w:rFonts w:hint="eastAsia" w:cs="Times New Roman"/>
                <w:color w:val="auto"/>
                <w:sz w:val="24"/>
                <w:highlight w:val="none"/>
                <w:lang w:val="en-US" w:eastAsia="zh-CN"/>
              </w:rPr>
              <w:t>a</w:t>
            </w:r>
            <w:r>
              <w:rPr>
                <w:rFonts w:hint="default" w:ascii="Times New Roman" w:hAnsi="Times New Roman" w:eastAsia="宋体" w:cs="Times New Roman"/>
                <w:color w:val="auto"/>
                <w:sz w:val="24"/>
                <w:highlight w:val="none"/>
                <w:lang w:val="en-US" w:eastAsia="zh-CN"/>
              </w:rPr>
              <w:t>。</w:t>
            </w:r>
          </w:p>
          <w:p w14:paraId="3428D891">
            <w:pPr>
              <w:pStyle w:val="41"/>
              <w:rPr>
                <w:rFonts w:hint="default" w:ascii="Times New Roman" w:hAnsi="Times New Roman" w:cs="Times New Roman"/>
                <w:color w:val="auto"/>
                <w:kern w:val="0"/>
                <w:sz w:val="24"/>
                <w:szCs w:val="24"/>
                <w:highlight w:val="none"/>
                <w:lang w:val="en-US" w:eastAsia="zh-CN"/>
              </w:rPr>
            </w:pPr>
          </w:p>
          <w:p w14:paraId="05CB8B70">
            <w:pPr>
              <w:pStyle w:val="41"/>
              <w:rPr>
                <w:rFonts w:hint="default" w:ascii="Times New Roman" w:hAnsi="Times New Roman" w:cs="Times New Roman"/>
                <w:color w:val="auto"/>
                <w:kern w:val="0"/>
                <w:sz w:val="24"/>
                <w:szCs w:val="24"/>
                <w:highlight w:val="none"/>
                <w:lang w:val="en-US" w:eastAsia="zh-CN"/>
              </w:rPr>
            </w:pPr>
          </w:p>
          <w:p w14:paraId="1EF6D2CA">
            <w:pPr>
              <w:pStyle w:val="41"/>
              <w:rPr>
                <w:rFonts w:hint="default" w:ascii="Times New Roman" w:hAnsi="Times New Roman" w:cs="Times New Roman"/>
                <w:color w:val="auto"/>
                <w:kern w:val="0"/>
                <w:sz w:val="24"/>
                <w:szCs w:val="24"/>
                <w:highlight w:val="none"/>
                <w:lang w:val="en-US" w:eastAsia="zh-CN"/>
              </w:rPr>
            </w:pPr>
          </w:p>
          <w:p w14:paraId="347EC5DB">
            <w:pPr>
              <w:pStyle w:val="41"/>
              <w:rPr>
                <w:rFonts w:hint="default" w:ascii="Times New Roman" w:hAnsi="Times New Roman" w:cs="Times New Roman"/>
                <w:color w:val="auto"/>
                <w:kern w:val="0"/>
                <w:sz w:val="24"/>
                <w:szCs w:val="24"/>
                <w:highlight w:val="none"/>
                <w:lang w:val="en-US" w:eastAsia="zh-CN"/>
              </w:rPr>
            </w:pPr>
          </w:p>
          <w:p w14:paraId="3C8EBEC5">
            <w:pPr>
              <w:pStyle w:val="41"/>
              <w:rPr>
                <w:rFonts w:hint="default" w:ascii="Times New Roman" w:hAnsi="Times New Roman" w:cs="Times New Roman"/>
                <w:color w:val="auto"/>
                <w:kern w:val="0"/>
                <w:sz w:val="24"/>
                <w:szCs w:val="24"/>
                <w:highlight w:val="none"/>
                <w:lang w:val="en-US" w:eastAsia="zh-CN"/>
              </w:rPr>
            </w:pPr>
          </w:p>
          <w:p w14:paraId="59E9996F">
            <w:pPr>
              <w:pStyle w:val="41"/>
              <w:rPr>
                <w:rFonts w:hint="default" w:ascii="Times New Roman" w:hAnsi="Times New Roman" w:cs="Times New Roman"/>
                <w:color w:val="auto"/>
                <w:kern w:val="0"/>
                <w:sz w:val="24"/>
                <w:szCs w:val="24"/>
                <w:highlight w:val="none"/>
                <w:lang w:val="en-US" w:eastAsia="zh-CN"/>
              </w:rPr>
            </w:pPr>
          </w:p>
          <w:p w14:paraId="44ADE756">
            <w:pPr>
              <w:pStyle w:val="41"/>
              <w:rPr>
                <w:rFonts w:hint="default" w:ascii="Times New Roman" w:hAnsi="Times New Roman" w:cs="Times New Roman"/>
                <w:color w:val="auto"/>
                <w:kern w:val="0"/>
                <w:sz w:val="24"/>
                <w:szCs w:val="24"/>
                <w:highlight w:val="none"/>
                <w:lang w:val="en-US" w:eastAsia="zh-CN"/>
              </w:rPr>
            </w:pPr>
          </w:p>
          <w:p w14:paraId="26479C7D">
            <w:pPr>
              <w:pStyle w:val="41"/>
              <w:rPr>
                <w:rFonts w:hint="default" w:ascii="Times New Roman" w:hAnsi="Times New Roman" w:cs="Times New Roman"/>
                <w:color w:val="auto"/>
                <w:kern w:val="0"/>
                <w:sz w:val="24"/>
                <w:szCs w:val="24"/>
                <w:highlight w:val="none"/>
                <w:lang w:val="en-US" w:eastAsia="zh-CN"/>
              </w:rPr>
            </w:pPr>
          </w:p>
          <w:p w14:paraId="217D65D0">
            <w:pPr>
              <w:pStyle w:val="41"/>
              <w:rPr>
                <w:rFonts w:hint="default" w:ascii="Times New Roman" w:hAnsi="Times New Roman" w:cs="Times New Roman"/>
                <w:color w:val="auto"/>
                <w:sz w:val="24"/>
                <w:highlight w:val="none"/>
              </w:rPr>
            </w:pPr>
          </w:p>
          <w:p w14:paraId="1099DE2C">
            <w:pPr>
              <w:pStyle w:val="41"/>
              <w:rPr>
                <w:rFonts w:hint="default" w:ascii="Times New Roman" w:hAnsi="Times New Roman" w:cs="Times New Roman"/>
                <w:color w:val="auto"/>
                <w:sz w:val="24"/>
                <w:highlight w:val="none"/>
              </w:rPr>
            </w:pPr>
          </w:p>
          <w:p w14:paraId="1765B2C4">
            <w:pPr>
              <w:adjustRightInd w:val="0"/>
              <w:snapToGrid w:val="0"/>
              <w:spacing w:line="360" w:lineRule="auto"/>
              <w:jc w:val="both"/>
              <w:rPr>
                <w:rFonts w:hint="default" w:ascii="Times New Roman" w:hAnsi="Times New Roman" w:cs="Times New Roman"/>
                <w:color w:val="auto"/>
                <w:kern w:val="0"/>
                <w:sz w:val="24"/>
                <w:szCs w:val="24"/>
                <w:highlight w:val="none"/>
                <w:lang w:val="en-US" w:eastAsia="zh-CN"/>
              </w:rPr>
            </w:pPr>
          </w:p>
          <w:p w14:paraId="1E4F19FA">
            <w:pPr>
              <w:adjustRightInd w:val="0"/>
              <w:snapToGrid w:val="0"/>
              <w:spacing w:line="360" w:lineRule="auto"/>
              <w:jc w:val="both"/>
              <w:rPr>
                <w:rFonts w:hint="default" w:ascii="Times New Roman" w:hAnsi="Times New Roman" w:cs="Times New Roman"/>
                <w:color w:val="auto"/>
                <w:kern w:val="0"/>
                <w:sz w:val="24"/>
                <w:szCs w:val="24"/>
                <w:highlight w:val="none"/>
                <w:lang w:val="en-US" w:eastAsia="zh-CN"/>
              </w:rPr>
            </w:pPr>
          </w:p>
        </w:tc>
      </w:tr>
    </w:tbl>
    <w:p w14:paraId="68CFE49A">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6"/>
          <w:szCs w:val="36"/>
          <w:highlight w:val="none"/>
        </w:rPr>
        <w:br w:type="page"/>
      </w:r>
      <w:bookmarkStart w:id="22" w:name="_Toc6502"/>
      <w:r>
        <w:rPr>
          <w:rFonts w:hint="default" w:ascii="Times New Roman" w:hAnsi="Times New Roman" w:eastAsia="黑体" w:cs="Times New Roman"/>
          <w:snapToGrid w:val="0"/>
          <w:color w:val="auto"/>
          <w:sz w:val="30"/>
          <w:szCs w:val="30"/>
          <w:highlight w:val="none"/>
        </w:rPr>
        <w:t>四、主要环境影响和保护措施</w:t>
      </w:r>
      <w:bookmarkEnd w:id="22"/>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40"/>
      </w:tblGrid>
      <w:tr w14:paraId="634D5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1" w:hRule="atLeast"/>
          <w:jc w:val="center"/>
        </w:trPr>
        <w:tc>
          <w:tcPr>
            <w:tcW w:w="468" w:type="dxa"/>
            <w:noWrap w:val="0"/>
            <w:tcMar>
              <w:left w:w="28" w:type="dxa"/>
              <w:right w:w="28" w:type="dxa"/>
            </w:tcMar>
            <w:vAlign w:val="center"/>
          </w:tcPr>
          <w:p w14:paraId="3CDD428B">
            <w:pPr>
              <w:pStyle w:val="21"/>
              <w:adjustRightInd w:val="0"/>
              <w:snapToGrid w:val="0"/>
              <w:spacing w:before="0" w:beforeAutospacing="0" w:after="0" w:afterAutospacing="0"/>
              <w:jc w:val="center"/>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施工</w:t>
            </w:r>
          </w:p>
          <w:p w14:paraId="2F034506">
            <w:pPr>
              <w:pStyle w:val="21"/>
              <w:adjustRightInd w:val="0"/>
              <w:snapToGrid w:val="0"/>
              <w:spacing w:before="0" w:beforeAutospacing="0" w:after="0" w:afterAutospacing="0"/>
              <w:jc w:val="center"/>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期环</w:t>
            </w:r>
          </w:p>
          <w:p w14:paraId="49C92C61">
            <w:pPr>
              <w:pStyle w:val="21"/>
              <w:adjustRightInd w:val="0"/>
              <w:snapToGrid w:val="0"/>
              <w:spacing w:before="0" w:beforeAutospacing="0" w:after="0" w:afterAutospacing="0"/>
              <w:jc w:val="center"/>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境保</w:t>
            </w:r>
          </w:p>
          <w:p w14:paraId="4ACF81DC">
            <w:pPr>
              <w:pStyle w:val="21"/>
              <w:adjustRightInd w:val="0"/>
              <w:snapToGrid w:val="0"/>
              <w:spacing w:before="0" w:beforeAutospacing="0" w:after="0" w:afterAutospacing="0"/>
              <w:jc w:val="center"/>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护措</w:t>
            </w:r>
          </w:p>
          <w:p w14:paraId="7B97FA10">
            <w:pPr>
              <w:pStyle w:val="21"/>
              <w:adjustRightInd w:val="0"/>
              <w:snapToGrid w:val="0"/>
              <w:spacing w:before="0" w:beforeAutospacing="0" w:after="0" w:afterAutospacing="0"/>
              <w:jc w:val="center"/>
              <w:rPr>
                <w:rFonts w:hint="default" w:ascii="Times New Roman" w:hAnsi="Times New Roman" w:cs="Times New Roman"/>
                <w:bCs/>
                <w:color w:val="auto"/>
                <w:kern w:val="2"/>
                <w:sz w:val="24"/>
                <w:szCs w:val="24"/>
                <w:highlight w:val="none"/>
              </w:rPr>
            </w:pPr>
            <w:r>
              <w:rPr>
                <w:rFonts w:hint="default" w:ascii="Times New Roman" w:hAnsi="Times New Roman" w:cs="Times New Roman"/>
                <w:color w:val="auto"/>
                <w:kern w:val="2"/>
                <w:sz w:val="24"/>
                <w:szCs w:val="24"/>
                <w:highlight w:val="none"/>
              </w:rPr>
              <w:t>施</w:t>
            </w:r>
          </w:p>
        </w:tc>
        <w:tc>
          <w:tcPr>
            <w:tcW w:w="8440" w:type="dxa"/>
            <w:noWrap w:val="0"/>
            <w:vAlign w:val="top"/>
          </w:tcPr>
          <w:p w14:paraId="5AEEB02C">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本项目位于</w:t>
            </w:r>
            <w:r>
              <w:rPr>
                <w:rFonts w:hint="eastAsia" w:ascii="Times New Roman" w:hAnsi="Times New Roman" w:eastAsia="宋体" w:cs="Times New Roman"/>
                <w:bCs/>
                <w:color w:val="auto"/>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Cs/>
                <w:color w:val="auto"/>
                <w:sz w:val="24"/>
                <w:szCs w:val="24"/>
                <w:highlight w:val="none"/>
                <w:lang w:val="en-US" w:eastAsia="zh-CN"/>
              </w:rPr>
              <w:t>，租用已建成厂房，厂房已进行地面硬化，施工期只进行生产设备和环保设施的安装及调试。</w:t>
            </w:r>
          </w:p>
          <w:p w14:paraId="48DA6C4A">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auto"/>
                <w:spacing w:val="-10"/>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项目施工期较短，工程量不大，且不涉及土建工程，施工结束后污染也随之消失，对环境影响较小。</w:t>
            </w:r>
          </w:p>
          <w:p w14:paraId="0156041F">
            <w:pPr>
              <w:numPr>
                <w:ilvl w:val="0"/>
                <w:numId w:val="7"/>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施工期废气污染防治措施</w:t>
            </w:r>
          </w:p>
          <w:p w14:paraId="3017FEB0">
            <w:pPr>
              <w:adjustRightInd w:val="0"/>
              <w:snapToGrid w:val="0"/>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SA"/>
              </w:rPr>
              <w:t>项目施工期废气主要为施工和车辆运输等产生的悬浮微粒、施工粉尘，对施工地段附近的环境空气会产生一定的影响。运输扬尘采取适时洒水等措施，对大气环境影响较小。</w:t>
            </w:r>
          </w:p>
          <w:p w14:paraId="7AFEE1CF">
            <w:pPr>
              <w:numPr>
                <w:ilvl w:val="0"/>
                <w:numId w:val="7"/>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施工期废水污染防治措施</w:t>
            </w:r>
          </w:p>
          <w:p w14:paraId="5060A777">
            <w:pPr>
              <w:numPr>
                <w:ilvl w:val="0"/>
                <w:numId w:val="0"/>
              </w:numPr>
              <w:adjustRightInd w:val="0"/>
              <w:snapToGrid w:val="0"/>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SA"/>
              </w:rPr>
              <w:t>项目施工期废水主要为施工人员的生活废水，生活废水依托园区现有化粪池处理后经市政污水管网排入泾河新城第二污水处理厂进一步处理。</w:t>
            </w:r>
          </w:p>
          <w:p w14:paraId="3893E9FE">
            <w:pPr>
              <w:numPr>
                <w:ilvl w:val="0"/>
                <w:numId w:val="7"/>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施工期噪声污染防治措施</w:t>
            </w:r>
          </w:p>
          <w:p w14:paraId="1EE721A3">
            <w:pPr>
              <w:adjustRightInd w:val="0"/>
              <w:snapToGrid w:val="0"/>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SA"/>
              </w:rPr>
              <w:t>项目施工期噪声主要为施工机械、运输车辆等。为减少施工噪声对环境的影响，要求施工期间合理安排施工时间，均安排在白天进行施工，夜间不进行施工；严格安排施工方式，控制噪声环境污染；严格操作规程，加强施工机械管理，降低人为噪声影响；尽量选用噪声较低的施工设备，并加强维护保养，采取有效的隔声、减振、消声等措施，降低噪声排放。</w:t>
            </w:r>
          </w:p>
          <w:p w14:paraId="658F62DB">
            <w:pPr>
              <w:numPr>
                <w:ilvl w:val="0"/>
                <w:numId w:val="7"/>
              </w:numPr>
              <w:adjustRightInd w:val="0"/>
              <w:snapToGrid w:val="0"/>
              <w:spacing w:line="360" w:lineRule="auto"/>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施工期固体废物污染防治措施</w:t>
            </w:r>
          </w:p>
          <w:p w14:paraId="35FE8FAF">
            <w:pPr>
              <w:numPr>
                <w:ilvl w:val="0"/>
                <w:numId w:val="0"/>
              </w:numPr>
              <w:adjustRightInd w:val="0"/>
              <w:snapToGrid w:val="0"/>
              <w:spacing w:line="360" w:lineRule="auto"/>
              <w:ind w:firstLine="480" w:firstLineChars="200"/>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项目施工期固体废物主要为施工人员生活垃圾、设备废包装材料等，设备废包装材料，</w:t>
            </w:r>
            <w:r>
              <w:rPr>
                <w:rFonts w:hint="default" w:ascii="Times New Roman" w:hAnsi="Times New Roman" w:eastAsia="宋体" w:cs="Times New Roman"/>
                <w:color w:val="auto"/>
                <w:sz w:val="24"/>
                <w:szCs w:val="24"/>
                <w:highlight w:val="none"/>
              </w:rPr>
              <w:t>收集后运往城建部门指定地点；施工人员生活垃圾分类收集后，交由环卫部门统一清运处理。</w:t>
            </w:r>
          </w:p>
          <w:p w14:paraId="77850F7C">
            <w:pPr>
              <w:numPr>
                <w:ilvl w:val="0"/>
                <w:numId w:val="0"/>
              </w:numPr>
              <w:adjustRightInd w:val="0"/>
              <w:snapToGrid w:val="0"/>
              <w:spacing w:line="360" w:lineRule="auto"/>
              <w:ind w:firstLine="480" w:firstLineChars="200"/>
              <w:rPr>
                <w:rFonts w:hint="default" w:ascii="Times New Roman" w:hAnsi="Times New Roman" w:eastAsia="宋体" w:cs="Times New Roman"/>
                <w:color w:val="auto"/>
                <w:kern w:val="0"/>
                <w:sz w:val="24"/>
                <w:szCs w:val="24"/>
                <w:highlight w:val="none"/>
                <w:lang w:val="en-US" w:eastAsia="zh-CN" w:bidi="ar-SA"/>
              </w:rPr>
            </w:pPr>
          </w:p>
          <w:p w14:paraId="6A25A5E4">
            <w:pPr>
              <w:numPr>
                <w:ilvl w:val="0"/>
                <w:numId w:val="0"/>
              </w:numPr>
              <w:adjustRightInd w:val="0"/>
              <w:snapToGrid w:val="0"/>
              <w:spacing w:line="360" w:lineRule="auto"/>
              <w:ind w:firstLine="480" w:firstLineChars="200"/>
              <w:rPr>
                <w:rFonts w:hint="default" w:ascii="Times New Roman" w:hAnsi="Times New Roman" w:eastAsia="宋体" w:cs="Times New Roman"/>
                <w:color w:val="auto"/>
                <w:kern w:val="0"/>
                <w:sz w:val="24"/>
                <w:szCs w:val="24"/>
                <w:highlight w:val="none"/>
                <w:lang w:val="en-US" w:eastAsia="zh-CN" w:bidi="ar-SA"/>
              </w:rPr>
            </w:pPr>
          </w:p>
          <w:p w14:paraId="5849BE25">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tc>
      </w:tr>
    </w:tbl>
    <w:p w14:paraId="2DF1637E">
      <w:pPr>
        <w:adjustRightInd w:val="0"/>
        <w:snapToGrid w:val="0"/>
        <w:jc w:val="center"/>
        <w:rPr>
          <w:rFonts w:hint="default" w:ascii="Times New Roman" w:hAnsi="Times New Roman" w:cs="Times New Roman"/>
          <w:bCs/>
          <w:color w:val="auto"/>
          <w:sz w:val="24"/>
          <w:szCs w:val="24"/>
          <w:highlight w:val="none"/>
        </w:rPr>
        <w:sectPr>
          <w:pgSz w:w="11907" w:h="16840"/>
          <w:pgMar w:top="1701" w:right="1531" w:bottom="2127" w:left="1531" w:header="851" w:footer="851" w:gutter="0"/>
          <w:pgNumType w:fmt="decimal"/>
          <w:cols w:space="720" w:num="1"/>
          <w:docGrid w:linePitch="312" w:charSpace="0"/>
        </w:sectPr>
      </w:pPr>
    </w:p>
    <w:tbl>
      <w:tblPr>
        <w:tblStyle w:val="25"/>
        <w:tblW w:w="89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67"/>
        <w:gridCol w:w="8538"/>
      </w:tblGrid>
      <w:tr w14:paraId="6B82B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9" w:hRule="atLeast"/>
          <w:jc w:val="center"/>
        </w:trPr>
        <w:tc>
          <w:tcPr>
            <w:tcW w:w="367" w:type="dxa"/>
            <w:noWrap w:val="0"/>
            <w:tcMar>
              <w:left w:w="28" w:type="dxa"/>
              <w:right w:w="28" w:type="dxa"/>
            </w:tcMar>
            <w:vAlign w:val="center"/>
          </w:tcPr>
          <w:p w14:paraId="61A867DC">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运营</w:t>
            </w:r>
          </w:p>
          <w:p w14:paraId="1C4137E5">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期环</w:t>
            </w:r>
          </w:p>
          <w:p w14:paraId="67F50FF2">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境影</w:t>
            </w:r>
          </w:p>
          <w:p w14:paraId="198BBDEC">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响和</w:t>
            </w:r>
          </w:p>
          <w:p w14:paraId="734EE16A">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保护</w:t>
            </w:r>
          </w:p>
          <w:p w14:paraId="5FB57E6A">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措施</w:t>
            </w:r>
          </w:p>
        </w:tc>
        <w:tc>
          <w:tcPr>
            <w:tcW w:w="8538" w:type="dxa"/>
            <w:noWrap w:val="0"/>
            <w:vAlign w:val="top"/>
          </w:tcPr>
          <w:p w14:paraId="3C133724">
            <w:pPr>
              <w:numPr>
                <w:ilvl w:val="0"/>
                <w:numId w:val="8"/>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废气</w:t>
            </w:r>
          </w:p>
          <w:p w14:paraId="4BE498BE">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废气源强核算</w:t>
            </w:r>
          </w:p>
          <w:p w14:paraId="0E13E639">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w:t>
            </w:r>
            <w:r>
              <w:rPr>
                <w:rFonts w:hint="eastAsia" w:ascii="Times New Roman" w:hAnsi="Times New Roman" w:cs="Times New Roman"/>
                <w:color w:val="auto"/>
                <w:kern w:val="0"/>
                <w:sz w:val="24"/>
                <w:szCs w:val="24"/>
                <w:highlight w:val="none"/>
                <w:lang w:val="en-US" w:eastAsia="zh-CN" w:bidi="ar"/>
              </w:rPr>
              <w:t>将</w:t>
            </w:r>
            <w:r>
              <w:rPr>
                <w:rFonts w:hint="eastAsia" w:ascii="Times New Roman" w:hAnsi="Times New Roman" w:eastAsia="宋体" w:cs="Times New Roman"/>
                <w:color w:val="auto"/>
                <w:kern w:val="0"/>
                <w:sz w:val="24"/>
                <w:szCs w:val="24"/>
                <w:highlight w:val="none"/>
                <w:lang w:val="en-US" w:eastAsia="zh-CN" w:bidi="ar"/>
              </w:rPr>
              <w:t>收集到一般固废（工业固废、生活垃圾（废纸、废塑料、废纺织物、报废家具、园林垃圾、废包装物）、建筑垃圾中的轻浮物、农业固体废物）</w:t>
            </w:r>
            <w:r>
              <w:rPr>
                <w:rFonts w:hint="eastAsia" w:ascii="Times New Roman" w:hAnsi="Times New Roman" w:cs="Times New Roman"/>
                <w:color w:val="auto"/>
                <w:kern w:val="0"/>
                <w:sz w:val="24"/>
                <w:szCs w:val="24"/>
                <w:highlight w:val="none"/>
                <w:lang w:val="en-US" w:eastAsia="zh-CN" w:bidi="ar"/>
              </w:rPr>
              <w:t>作为</w:t>
            </w:r>
            <w:r>
              <w:rPr>
                <w:rFonts w:hint="default" w:ascii="Times New Roman" w:hAnsi="Times New Roman" w:eastAsia="宋体" w:cs="Times New Roman"/>
                <w:color w:val="auto"/>
                <w:kern w:val="0"/>
                <w:sz w:val="24"/>
                <w:szCs w:val="24"/>
                <w:highlight w:val="none"/>
                <w:lang w:val="zh-CN" w:eastAsia="zh-CN" w:bidi="ar"/>
              </w:rPr>
              <w:t>RDF</w:t>
            </w:r>
            <w:r>
              <w:rPr>
                <w:rFonts w:hint="eastAsia" w:ascii="Times New Roman" w:hAnsi="Times New Roman" w:eastAsia="宋体" w:cs="Times New Roman"/>
                <w:color w:val="auto"/>
                <w:kern w:val="0"/>
                <w:sz w:val="24"/>
                <w:szCs w:val="24"/>
                <w:highlight w:val="none"/>
                <w:lang w:val="zh-CN" w:eastAsia="zh-CN" w:bidi="ar"/>
              </w:rPr>
              <w:t>固体废物衍生燃料</w:t>
            </w:r>
            <w:r>
              <w:rPr>
                <w:rFonts w:hint="eastAsia" w:ascii="Times New Roman" w:hAnsi="Times New Roman" w:eastAsia="宋体" w:cs="Times New Roman"/>
                <w:color w:val="auto"/>
                <w:kern w:val="0"/>
                <w:sz w:val="24"/>
                <w:szCs w:val="24"/>
                <w:highlight w:val="none"/>
                <w:lang w:val="en-US" w:eastAsia="zh-CN" w:bidi="ar"/>
              </w:rPr>
              <w:t>生产线</w:t>
            </w:r>
            <w:r>
              <w:rPr>
                <w:rFonts w:hint="eastAsia" w:ascii="Times New Roman" w:hAnsi="Times New Roman" w:cs="Times New Roman"/>
                <w:color w:val="auto"/>
                <w:kern w:val="0"/>
                <w:sz w:val="24"/>
                <w:szCs w:val="24"/>
                <w:highlight w:val="none"/>
                <w:lang w:val="en-US" w:eastAsia="zh-CN" w:bidi="ar"/>
              </w:rPr>
              <w:t>的</w:t>
            </w:r>
            <w:r>
              <w:rPr>
                <w:rFonts w:hint="eastAsia" w:ascii="Times New Roman" w:hAnsi="Times New Roman" w:eastAsia="宋体" w:cs="Times New Roman"/>
                <w:color w:val="auto"/>
                <w:kern w:val="0"/>
                <w:sz w:val="24"/>
                <w:szCs w:val="24"/>
                <w:highlight w:val="none"/>
                <w:lang w:val="en-US" w:eastAsia="zh-CN" w:bidi="ar"/>
              </w:rPr>
              <w:t>原料，运营期</w:t>
            </w:r>
            <w:r>
              <w:rPr>
                <w:rFonts w:hint="default" w:ascii="Times New Roman" w:hAnsi="Times New Roman" w:eastAsia="宋体" w:cs="Times New Roman"/>
                <w:color w:val="auto"/>
                <w:kern w:val="0"/>
                <w:sz w:val="24"/>
                <w:szCs w:val="24"/>
                <w:highlight w:val="none"/>
                <w:lang w:val="en-US" w:eastAsia="zh-CN" w:bidi="ar"/>
              </w:rPr>
              <w:t>产生的废气主要为原料</w:t>
            </w:r>
            <w:r>
              <w:rPr>
                <w:rFonts w:hint="eastAsia" w:ascii="Times New Roman" w:hAnsi="Times New Roman" w:cs="Times New Roman"/>
                <w:color w:val="auto"/>
                <w:kern w:val="0"/>
                <w:sz w:val="24"/>
                <w:szCs w:val="24"/>
                <w:highlight w:val="none"/>
                <w:lang w:val="en-US" w:eastAsia="zh-CN" w:bidi="ar"/>
              </w:rPr>
              <w:t>上料、破碎和打包</w:t>
            </w:r>
            <w:r>
              <w:rPr>
                <w:rFonts w:hint="default" w:ascii="Times New Roman" w:hAnsi="Times New Roman" w:eastAsia="宋体" w:cs="Times New Roman"/>
                <w:color w:val="auto"/>
                <w:kern w:val="0"/>
                <w:sz w:val="24"/>
                <w:szCs w:val="24"/>
                <w:highlight w:val="none"/>
                <w:lang w:val="en-US" w:eastAsia="zh-CN" w:bidi="ar"/>
              </w:rPr>
              <w:t>工序产生的</w:t>
            </w:r>
            <w:r>
              <w:rPr>
                <w:rFonts w:hint="eastAsia" w:ascii="Times New Roman" w:hAnsi="Times New Roman" w:eastAsia="宋体" w:cs="Times New Roman"/>
                <w:color w:val="auto"/>
                <w:kern w:val="0"/>
                <w:sz w:val="24"/>
                <w:szCs w:val="24"/>
                <w:highlight w:val="none"/>
                <w:lang w:val="en-US" w:eastAsia="zh-CN" w:bidi="ar"/>
              </w:rPr>
              <w:t>粉尘</w:t>
            </w:r>
            <w:r>
              <w:rPr>
                <w:rFonts w:hint="default" w:ascii="Times New Roman" w:hAnsi="Times New Roman" w:eastAsia="宋体" w:cs="Times New Roman"/>
                <w:color w:val="auto"/>
                <w:kern w:val="0"/>
                <w:sz w:val="24"/>
                <w:szCs w:val="24"/>
                <w:highlight w:val="none"/>
                <w:lang w:val="en-US" w:eastAsia="zh-CN" w:bidi="ar"/>
              </w:rPr>
              <w:t>。</w:t>
            </w:r>
          </w:p>
          <w:p w14:paraId="4DE99EBA">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w:t>
            </w:r>
            <w:r>
              <w:rPr>
                <w:rFonts w:hint="eastAsia" w:ascii="Times New Roman" w:hAnsi="Times New Roman" w:cs="Times New Roman"/>
                <w:color w:val="auto"/>
                <w:kern w:val="0"/>
                <w:sz w:val="24"/>
                <w:szCs w:val="24"/>
                <w:highlight w:val="none"/>
                <w:lang w:val="en-US" w:eastAsia="zh-CN" w:bidi="ar"/>
              </w:rPr>
              <w:t>1</w:t>
            </w:r>
            <w:r>
              <w:rPr>
                <w:rFonts w:hint="eastAsia" w:ascii="Times New Roman" w:hAnsi="Times New Roman" w:eastAsia="宋体" w:cs="Times New Roman"/>
                <w:color w:val="auto"/>
                <w:kern w:val="0"/>
                <w:sz w:val="24"/>
                <w:szCs w:val="24"/>
                <w:highlight w:val="none"/>
                <w:lang w:val="en-US" w:eastAsia="zh-CN" w:bidi="ar"/>
              </w:rPr>
              <w:t>）原料存放粉尘</w:t>
            </w:r>
          </w:p>
          <w:p w14:paraId="3B10D6E1">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项目原料全部存放于封闭车间内，来料包装为袋装或桶装，因此原料存放过程中粉尘产生量很小，本次评价不进行量化分析。</w:t>
            </w:r>
          </w:p>
          <w:p w14:paraId="163D5B8B">
            <w:pPr>
              <w:numPr>
                <w:ilvl w:val="0"/>
                <w:numId w:val="0"/>
              </w:numPr>
              <w:adjustRightInd w:val="0"/>
              <w:snapToGrid w:val="0"/>
              <w:spacing w:line="360" w:lineRule="auto"/>
              <w:ind w:left="0" w:leftChars="0" w:firstLine="480" w:firstLineChars="200"/>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eastAsia="宋体" w:cs="Times New Roman"/>
                <w:color w:val="auto"/>
                <w:kern w:val="0"/>
                <w:sz w:val="24"/>
                <w:szCs w:val="24"/>
                <w:highlight w:val="none"/>
                <w:lang w:val="en-US" w:eastAsia="zh-CN" w:bidi="ar-SA"/>
              </w:rPr>
              <w:t>（</w:t>
            </w:r>
            <w:r>
              <w:rPr>
                <w:rFonts w:hint="eastAsia" w:cs="Times New Roman"/>
                <w:color w:val="auto"/>
                <w:kern w:val="0"/>
                <w:sz w:val="24"/>
                <w:szCs w:val="24"/>
                <w:highlight w:val="no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w:t>
            </w:r>
            <w:r>
              <w:rPr>
                <w:rFonts w:hint="eastAsia" w:cs="Times New Roman"/>
                <w:color w:val="auto"/>
                <w:kern w:val="0"/>
                <w:sz w:val="24"/>
                <w:szCs w:val="24"/>
                <w:highlight w:val="none"/>
                <w:lang w:val="en-US" w:eastAsia="zh-CN" w:bidi="ar-SA"/>
              </w:rPr>
              <w:t>上料、破碎和打包</w:t>
            </w:r>
            <w:r>
              <w:rPr>
                <w:rFonts w:hint="eastAsia" w:ascii="Times New Roman" w:hAnsi="Times New Roman" w:eastAsia="宋体" w:cs="Times New Roman"/>
                <w:color w:val="auto"/>
                <w:kern w:val="0"/>
                <w:sz w:val="24"/>
                <w:szCs w:val="24"/>
                <w:highlight w:val="none"/>
                <w:lang w:val="en-US" w:eastAsia="zh-CN" w:bidi="ar-SA"/>
              </w:rPr>
              <w:t>工序粉尘</w:t>
            </w:r>
          </w:p>
          <w:p w14:paraId="3C2C47C2">
            <w:pPr>
              <w:numPr>
                <w:ilvl w:val="0"/>
                <w:numId w:val="0"/>
              </w:numPr>
              <w:adjustRightInd w:val="0"/>
              <w:snapToGrid w:val="0"/>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本项目生产过程中产生的废气主要来源于</w:t>
            </w:r>
            <w:r>
              <w:rPr>
                <w:rFonts w:hint="eastAsia" w:ascii="宋体" w:hAnsi="宋体" w:cs="宋体"/>
                <w:color w:val="auto"/>
                <w:kern w:val="0"/>
                <w:sz w:val="24"/>
                <w:szCs w:val="24"/>
                <w:highlight w:val="none"/>
                <w:lang w:val="en-US" w:eastAsia="zh-CN" w:bidi="ar"/>
              </w:rPr>
              <w:t>上料、</w:t>
            </w:r>
            <w:r>
              <w:rPr>
                <w:rFonts w:hint="eastAsia" w:ascii="宋体" w:hAnsi="宋体" w:eastAsia="宋体" w:cs="宋体"/>
                <w:color w:val="auto"/>
                <w:kern w:val="0"/>
                <w:sz w:val="24"/>
                <w:szCs w:val="24"/>
                <w:highlight w:val="none"/>
                <w:lang w:val="en-US" w:eastAsia="zh-CN" w:bidi="ar"/>
              </w:rPr>
              <w:t>一次破碎、二次破碎、三次</w:t>
            </w:r>
            <w:r>
              <w:rPr>
                <w:rFonts w:hint="eastAsia" w:ascii="宋体" w:hAnsi="宋体" w:cs="宋体"/>
                <w:color w:val="auto"/>
                <w:kern w:val="0"/>
                <w:sz w:val="24"/>
                <w:szCs w:val="24"/>
                <w:highlight w:val="none"/>
                <w:lang w:val="en-US" w:eastAsia="zh-CN" w:bidi="ar"/>
              </w:rPr>
              <w:t>破碎和打包</w:t>
            </w:r>
            <w:r>
              <w:rPr>
                <w:rFonts w:hint="eastAsia" w:ascii="宋体" w:hAnsi="宋体" w:eastAsia="宋体" w:cs="宋体"/>
                <w:color w:val="auto"/>
                <w:kern w:val="0"/>
                <w:sz w:val="24"/>
                <w:szCs w:val="24"/>
                <w:highlight w:val="none"/>
                <w:lang w:val="en-US" w:eastAsia="zh-CN" w:bidi="ar"/>
              </w:rPr>
              <w:t>工序，</w:t>
            </w:r>
            <w:r>
              <w:rPr>
                <w:rFonts w:hint="eastAsia" w:ascii="宋体" w:hAnsi="宋体" w:cs="宋体"/>
                <w:color w:val="auto"/>
                <w:kern w:val="0"/>
                <w:sz w:val="24"/>
                <w:szCs w:val="24"/>
                <w:highlight w:val="none"/>
                <w:lang w:val="en-US" w:eastAsia="zh-CN" w:bidi="ar"/>
              </w:rPr>
              <w:t>上料和打包工序粉尘经</w:t>
            </w:r>
            <w:r>
              <w:rPr>
                <w:rFonts w:hint="default" w:ascii="Times New Roman" w:hAnsi="Times New Roman" w:cs="Times New Roman"/>
                <w:color w:val="auto"/>
                <w:kern w:val="0"/>
                <w:sz w:val="24"/>
                <w:szCs w:val="24"/>
                <w:highlight w:val="none"/>
                <w:lang w:val="en-US" w:eastAsia="zh-CN" w:bidi="ar"/>
              </w:rPr>
              <w:t>2</w:t>
            </w:r>
            <w:r>
              <w:rPr>
                <w:rFonts w:hint="eastAsia" w:ascii="宋体" w:hAnsi="宋体" w:cs="宋体"/>
                <w:color w:val="auto"/>
                <w:kern w:val="0"/>
                <w:sz w:val="24"/>
                <w:szCs w:val="24"/>
                <w:highlight w:val="none"/>
                <w:lang w:val="en-US" w:eastAsia="zh-CN" w:bidi="ar"/>
              </w:rPr>
              <w:t>个</w:t>
            </w:r>
            <w:r>
              <w:rPr>
                <w:rFonts w:hint="eastAsia" w:ascii="宋体" w:hAnsi="宋体" w:eastAsia="宋体" w:cs="宋体"/>
                <w:color w:val="auto"/>
                <w:kern w:val="0"/>
                <w:sz w:val="24"/>
                <w:szCs w:val="24"/>
                <w:highlight w:val="none"/>
                <w:lang w:val="en-US" w:eastAsia="zh-CN" w:bidi="ar"/>
              </w:rPr>
              <w:t>集气罩收集</w:t>
            </w:r>
            <w:r>
              <w:rPr>
                <w:rFonts w:hint="eastAsia" w:ascii="宋体" w:hAnsi="宋体" w:cs="宋体"/>
                <w:color w:val="auto"/>
                <w:kern w:val="0"/>
                <w:sz w:val="24"/>
                <w:szCs w:val="24"/>
                <w:highlight w:val="none"/>
                <w:lang w:val="en-US" w:eastAsia="zh-CN" w:bidi="ar"/>
              </w:rPr>
              <w:t>，破碎工序粉尘经管道收集</w:t>
            </w:r>
            <w:r>
              <w:rPr>
                <w:rFonts w:hint="eastAsia" w:ascii="宋体" w:hAnsi="宋体" w:eastAsia="宋体" w:cs="宋体"/>
                <w:color w:val="auto"/>
                <w:kern w:val="0"/>
                <w:sz w:val="24"/>
                <w:szCs w:val="24"/>
                <w:highlight w:val="none"/>
                <w:lang w:val="en-US" w:eastAsia="zh-CN" w:bidi="ar"/>
              </w:rPr>
              <w:t>后</w:t>
            </w:r>
            <w:r>
              <w:rPr>
                <w:rFonts w:hint="eastAsia" w:ascii="宋体" w:hAnsi="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最终汇入一根</w:t>
            </w:r>
            <w:r>
              <w:rPr>
                <w:rFonts w:hint="eastAsia" w:ascii="宋体" w:hAnsi="宋体" w:cs="宋体"/>
                <w:color w:val="auto"/>
                <w:kern w:val="0"/>
                <w:sz w:val="24"/>
                <w:szCs w:val="24"/>
                <w:highlight w:val="none"/>
                <w:lang w:val="en-US" w:eastAsia="zh-CN" w:bidi="ar"/>
              </w:rPr>
              <w:t>主</w:t>
            </w:r>
            <w:r>
              <w:rPr>
                <w:rFonts w:hint="eastAsia" w:ascii="宋体" w:hAnsi="宋体" w:eastAsia="宋体" w:cs="宋体"/>
                <w:color w:val="auto"/>
                <w:kern w:val="0"/>
                <w:sz w:val="24"/>
                <w:szCs w:val="24"/>
                <w:highlight w:val="none"/>
                <w:lang w:val="en-US" w:eastAsia="zh-CN" w:bidi="ar"/>
              </w:rPr>
              <w:t>管路进入布袋除尘器。</w:t>
            </w:r>
          </w:p>
          <w:p w14:paraId="33C70710">
            <w:pPr>
              <w:numPr>
                <w:ilvl w:val="0"/>
                <w:numId w:val="0"/>
              </w:numPr>
              <w:adjustRightInd w:val="0"/>
              <w:snapToGrid w:val="0"/>
              <w:spacing w:line="360" w:lineRule="auto"/>
              <w:ind w:firstLine="480" w:firstLineChars="200"/>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参照《陕西省大气主要污染物许可排放量及实际排放量核定方法》表1中VOCs废气收集集气效率参考值：包围型集气设备-废气收集方式</w:t>
            </w:r>
            <w:r>
              <w:rPr>
                <w:rFonts w:hint="eastAsia" w:ascii="Times New Roman" w:hAnsi="Times New Roman" w:eastAsia="宋体" w:cs="Times New Roman"/>
                <w:color w:val="auto"/>
                <w:kern w:val="0"/>
                <w:sz w:val="24"/>
                <w:szCs w:val="24"/>
                <w:highlight w:val="none"/>
                <w:lang w:val="en-US" w:eastAsia="zh-CN" w:bidi="ar"/>
              </w:rPr>
              <w:t>-敞开面控制风速在0.3-0.5m/s之间</w:t>
            </w:r>
            <w:r>
              <w:rPr>
                <w:rFonts w:hint="eastAsia"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集气效率取值40%</w:t>
            </w:r>
            <w:r>
              <w:rPr>
                <w:rFonts w:hint="default" w:ascii="Times New Roman" w:hAnsi="Times New Roman" w:eastAsia="宋体" w:cs="Times New Roman"/>
                <w:color w:val="auto"/>
                <w:kern w:val="0"/>
                <w:sz w:val="24"/>
                <w:szCs w:val="24"/>
                <w:highlight w:val="none"/>
                <w:lang w:val="en-US" w:eastAsia="zh-CN" w:bidi="ar"/>
              </w:rPr>
              <w:t>；全密封设备/空间</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设备废气排口直连设备有固定排放管</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或口</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直接与风管连接，设备整体密闭只留产品进出口，且进出口处有废气收集措施，收集系统运行时周边基本无VOCs散发</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收集效率</w:t>
            </w:r>
            <w:r>
              <w:rPr>
                <w:rFonts w:hint="eastAsia" w:ascii="Times New Roman" w:hAnsi="Times New Roman" w:eastAsia="宋体" w:cs="Times New Roman"/>
                <w:color w:val="auto"/>
                <w:kern w:val="0"/>
                <w:sz w:val="24"/>
                <w:szCs w:val="24"/>
                <w:highlight w:val="none"/>
                <w:lang w:val="en-US" w:eastAsia="zh-CN" w:bidi="ar"/>
              </w:rPr>
              <w:t>为</w:t>
            </w:r>
            <w:r>
              <w:rPr>
                <w:rFonts w:hint="default" w:ascii="Times New Roman" w:hAnsi="Times New Roman" w:eastAsia="宋体" w:cs="Times New Roman"/>
                <w:color w:val="auto"/>
                <w:kern w:val="0"/>
                <w:sz w:val="24"/>
                <w:szCs w:val="24"/>
                <w:highlight w:val="none"/>
                <w:lang w:val="en-US" w:eastAsia="zh-CN" w:bidi="ar"/>
              </w:rPr>
              <w:t>95%。</w:t>
            </w:r>
            <w:r>
              <w:rPr>
                <w:rFonts w:hint="eastAsia" w:ascii="Times New Roman" w:hAnsi="Times New Roman" w:eastAsia="宋体" w:cs="Times New Roman"/>
                <w:color w:val="auto"/>
                <w:kern w:val="0"/>
                <w:sz w:val="24"/>
                <w:szCs w:val="24"/>
                <w:highlight w:val="none"/>
                <w:lang w:val="en-US" w:eastAsia="zh-CN" w:bidi="ar"/>
              </w:rPr>
              <w:t>综上，本次评价收集效率取值为60%。</w:t>
            </w:r>
            <w:r>
              <w:rPr>
                <w:rFonts w:hint="default" w:ascii="Times New Roman" w:hAnsi="Times New Roman" w:eastAsia="宋体" w:cs="Times New Roman"/>
                <w:color w:val="auto"/>
                <w:kern w:val="0"/>
                <w:sz w:val="24"/>
                <w:szCs w:val="24"/>
                <w:highlight w:val="none"/>
                <w:lang w:val="en-US" w:eastAsia="zh-CN" w:bidi="ar"/>
              </w:rPr>
              <w:t>袋式除尘器处理效率可达99%</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年工作</w:t>
            </w:r>
            <w:r>
              <w:rPr>
                <w:rFonts w:hint="eastAsia" w:ascii="Times New Roman" w:hAnsi="Times New Roman" w:eastAsia="宋体" w:cs="Times New Roman"/>
                <w:color w:val="auto"/>
                <w:kern w:val="0"/>
                <w:sz w:val="24"/>
                <w:szCs w:val="24"/>
                <w:highlight w:val="none"/>
                <w:lang w:val="en-US" w:eastAsia="zh-CN" w:bidi="ar"/>
              </w:rPr>
              <w:t>时间</w:t>
            </w:r>
            <w:r>
              <w:rPr>
                <w:rFonts w:hint="default" w:ascii="Times New Roman" w:hAnsi="Times New Roman" w:eastAsia="宋体" w:cs="Times New Roman"/>
                <w:color w:val="auto"/>
                <w:kern w:val="0"/>
                <w:sz w:val="24"/>
                <w:szCs w:val="24"/>
                <w:highlight w:val="none"/>
                <w:lang w:val="en-US" w:eastAsia="zh-CN" w:bidi="ar"/>
              </w:rPr>
              <w:t>7920h。</w:t>
            </w:r>
          </w:p>
          <w:p w14:paraId="5134F28C">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参照《废气处理工程技术手册》中有关公式，结合项目设备规模，拟采用矩形四边式集气罩（上部集气罩）对废气进行收集，集气罩风量按照下式进行计算。</w:t>
            </w:r>
          </w:p>
          <w:p w14:paraId="0DCD6C07">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Q=k×L×H×</w:t>
            </w:r>
            <w:r>
              <w:rPr>
                <w:rFonts w:hint="default" w:ascii="Times New Roman" w:hAnsi="Times New Roman" w:cs="Times New Roman"/>
                <w:color w:val="auto"/>
                <w:sz w:val="24"/>
                <w:highlight w:val="none"/>
                <w:lang w:val="en-US" w:eastAsia="zh-CN"/>
              </w:rPr>
              <w:t>V</w:t>
            </w:r>
            <w:r>
              <w:rPr>
                <w:rFonts w:hint="default" w:ascii="Times New Roman" w:hAnsi="Times New Roman" w:cs="Times New Roman"/>
                <w:color w:val="auto"/>
                <w:sz w:val="24"/>
                <w:highlight w:val="none"/>
              </w:rPr>
              <w:t>x</w:t>
            </w:r>
            <w:r>
              <w:rPr>
                <w:rFonts w:hint="eastAsia"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式中：</w:t>
            </w:r>
          </w:p>
          <w:p w14:paraId="2AFDE4B3">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Q——处理风量，m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p>
          <w:p w14:paraId="07EDEC0F">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k——安全系数，取1.3；</w:t>
            </w:r>
          </w:p>
          <w:p w14:paraId="09512C80">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L——集气罩罩口敞开面的周长，m；</w:t>
            </w:r>
          </w:p>
          <w:p w14:paraId="28DADEA2">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H——罩口至污染源的距离，m</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本项目</w:t>
            </w:r>
            <w:r>
              <w:rPr>
                <w:rFonts w:hint="default" w:ascii="Times New Roman" w:hAnsi="Times New Roman" w:cs="Times New Roman"/>
                <w:color w:val="auto"/>
                <w:sz w:val="24"/>
                <w:highlight w:val="none"/>
                <w:lang w:val="en-US" w:eastAsia="zh-CN"/>
              </w:rPr>
              <w:t>取</w:t>
            </w:r>
            <w:r>
              <w:rPr>
                <w:rFonts w:hint="default" w:ascii="Times New Roman" w:hAnsi="Times New Roman" w:cs="Times New Roman"/>
                <w:color w:val="auto"/>
                <w:sz w:val="24"/>
                <w:highlight w:val="none"/>
              </w:rPr>
              <w:t>0.</w:t>
            </w:r>
            <w:r>
              <w:rPr>
                <w:rFonts w:hint="eastAsia" w:cs="Times New Roman"/>
                <w:color w:val="auto"/>
                <w:sz w:val="24"/>
                <w:highlight w:val="none"/>
                <w:lang w:val="en-US" w:eastAsia="zh-CN"/>
              </w:rPr>
              <w:t>7</w:t>
            </w:r>
            <w:r>
              <w:rPr>
                <w:rFonts w:hint="default" w:ascii="Times New Roman" w:hAnsi="Times New Roman" w:cs="Times New Roman"/>
                <w:color w:val="auto"/>
                <w:sz w:val="24"/>
                <w:highlight w:val="none"/>
              </w:rPr>
              <w:t>m</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w:t>
            </w:r>
          </w:p>
          <w:p w14:paraId="2A2035E7">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V</w:t>
            </w:r>
            <w:r>
              <w:rPr>
                <w:rFonts w:hint="default" w:ascii="Times New Roman" w:hAnsi="Times New Roman" w:cs="Times New Roman"/>
                <w:color w:val="auto"/>
                <w:sz w:val="24"/>
                <w:highlight w:val="none"/>
              </w:rPr>
              <w:t>x——控制风速（本项目</w:t>
            </w:r>
            <w:r>
              <w:rPr>
                <w:rFonts w:hint="default" w:ascii="Times New Roman" w:hAnsi="Times New Roman" w:cs="Times New Roman"/>
                <w:color w:val="auto"/>
                <w:sz w:val="24"/>
                <w:highlight w:val="none"/>
                <w:lang w:val="en-US" w:eastAsia="zh-CN"/>
              </w:rPr>
              <w:t>取</w:t>
            </w:r>
            <w:r>
              <w:rPr>
                <w:rFonts w:hint="default" w:ascii="Times New Roman" w:hAnsi="Times New Roman" w:cs="Times New Roman"/>
                <w:color w:val="auto"/>
                <w:sz w:val="24"/>
                <w:highlight w:val="none"/>
              </w:rPr>
              <w:t>0.5m/s）；</w:t>
            </w:r>
          </w:p>
          <w:p w14:paraId="79F429D2">
            <w:pPr>
              <w:numPr>
                <w:ilvl w:val="0"/>
                <w:numId w:val="0"/>
              </w:numPr>
              <w:adjustRightInd w:val="0"/>
              <w:snapToGrid w:val="0"/>
              <w:spacing w:line="360" w:lineRule="auto"/>
              <w:ind w:left="0" w:leftChars="0"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val="en-US" w:eastAsia="zh-CN"/>
              </w:rPr>
              <w:t>L取值：</w:t>
            </w:r>
            <w:r>
              <w:rPr>
                <w:rFonts w:hint="default" w:ascii="Times New Roman" w:hAnsi="Times New Roman" w:cs="Times New Roman"/>
                <w:color w:val="auto"/>
                <w:sz w:val="24"/>
                <w:szCs w:val="32"/>
                <w:highlight w:val="none"/>
                <w:lang w:val="en-US" w:eastAsia="zh-CN"/>
              </w:rPr>
              <w:t>集气罩尺寸均为</w:t>
            </w:r>
            <w:r>
              <w:rPr>
                <w:rFonts w:hint="eastAsia" w:ascii="Times New Roman" w:hAnsi="Times New Roman" w:cs="Times New Roman"/>
                <w:color w:val="auto"/>
                <w:sz w:val="24"/>
                <w:szCs w:val="32"/>
                <w:highlight w:val="none"/>
                <w:lang w:val="en-US" w:eastAsia="zh-CN"/>
              </w:rPr>
              <w:t>0.</w:t>
            </w:r>
            <w:r>
              <w:rPr>
                <w:rFonts w:hint="eastAsia" w:cs="Times New Roman"/>
                <w:color w:val="auto"/>
                <w:sz w:val="24"/>
                <w:szCs w:val="32"/>
                <w:highlight w:val="none"/>
                <w:lang w:val="en-US" w:eastAsia="zh-CN"/>
              </w:rPr>
              <w:t>6</w:t>
            </w:r>
            <w:r>
              <w:rPr>
                <w:rFonts w:hint="default" w:ascii="Times New Roman" w:hAnsi="Times New Roman" w:cs="Times New Roman"/>
                <w:color w:val="auto"/>
                <w:sz w:val="24"/>
                <w:szCs w:val="32"/>
                <w:highlight w:val="none"/>
                <w:lang w:val="en-US" w:eastAsia="zh-CN"/>
              </w:rPr>
              <w:t>*</w:t>
            </w:r>
            <w:r>
              <w:rPr>
                <w:rFonts w:hint="eastAsia" w:cs="Times New Roman"/>
                <w:color w:val="auto"/>
                <w:sz w:val="24"/>
                <w:szCs w:val="32"/>
                <w:highlight w:val="none"/>
                <w:lang w:val="en-US" w:eastAsia="zh-CN"/>
              </w:rPr>
              <w:t>0.8</w:t>
            </w:r>
            <w:r>
              <w:rPr>
                <w:rFonts w:hint="default" w:ascii="Times New Roman" w:hAnsi="Times New Roman" w:cs="Times New Roman"/>
                <w:color w:val="auto"/>
                <w:sz w:val="24"/>
                <w:szCs w:val="32"/>
                <w:highlight w:val="none"/>
                <w:lang w:val="en-US" w:eastAsia="zh-CN"/>
              </w:rPr>
              <w:t>m（在</w:t>
            </w:r>
            <w:r>
              <w:rPr>
                <w:rFonts w:hint="eastAsia" w:ascii="Times New Roman" w:hAnsi="Times New Roman" w:cs="Times New Roman"/>
                <w:color w:val="auto"/>
                <w:sz w:val="24"/>
                <w:szCs w:val="32"/>
                <w:highlight w:val="none"/>
                <w:lang w:val="en-US" w:eastAsia="zh-CN"/>
              </w:rPr>
              <w:t>上料机和打包机</w:t>
            </w:r>
            <w:r>
              <w:rPr>
                <w:rFonts w:hint="default" w:ascii="Times New Roman" w:hAnsi="Times New Roman" w:cs="Times New Roman"/>
                <w:color w:val="auto"/>
                <w:sz w:val="24"/>
                <w:szCs w:val="32"/>
                <w:highlight w:val="none"/>
                <w:lang w:val="en-US" w:eastAsia="zh-CN"/>
              </w:rPr>
              <w:t>上方安装集气罩），共</w:t>
            </w:r>
            <w:r>
              <w:rPr>
                <w:rFonts w:hint="eastAsia" w:ascii="Times New Roman" w:hAnsi="Times New Roman" w:cs="Times New Roman"/>
                <w:color w:val="auto"/>
                <w:sz w:val="24"/>
                <w:szCs w:val="32"/>
                <w:highlight w:val="none"/>
                <w:lang w:val="en-US" w:eastAsia="zh-CN"/>
              </w:rPr>
              <w:t>2</w:t>
            </w:r>
            <w:r>
              <w:rPr>
                <w:rFonts w:hint="default" w:ascii="Times New Roman" w:hAnsi="Times New Roman" w:cs="Times New Roman"/>
                <w:color w:val="auto"/>
                <w:sz w:val="24"/>
                <w:szCs w:val="32"/>
                <w:highlight w:val="none"/>
                <w:lang w:val="en-US" w:eastAsia="zh-CN"/>
              </w:rPr>
              <w:t>个集气罩</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废气收集总风量为</w:t>
            </w:r>
            <w:r>
              <w:rPr>
                <w:rFonts w:hint="eastAsia" w:cs="Times New Roman"/>
                <w:color w:val="auto"/>
                <w:sz w:val="24"/>
                <w:highlight w:val="none"/>
                <w:lang w:val="en-US" w:eastAsia="zh-CN"/>
              </w:rPr>
              <w:t>9172.8</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考虑到漏风等损失因素，所以本环评建议风量取</w:t>
            </w:r>
            <w:r>
              <w:rPr>
                <w:rFonts w:hint="eastAsia" w:cs="Times New Roman"/>
                <w:color w:val="auto"/>
                <w:sz w:val="24"/>
                <w:highlight w:val="none"/>
                <w:lang w:val="en-US" w:eastAsia="zh-CN"/>
              </w:rPr>
              <w:t>10000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r>
              <w:rPr>
                <w:rFonts w:hint="default" w:ascii="Times New Roman" w:hAnsi="Times New Roman" w:cs="Times New Roman"/>
                <w:color w:val="auto"/>
                <w:sz w:val="24"/>
                <w:highlight w:val="none"/>
                <w:lang w:eastAsia="zh-CN"/>
              </w:rPr>
              <w:t>。</w:t>
            </w:r>
          </w:p>
          <w:p w14:paraId="5C09C2EB">
            <w:pPr>
              <w:numPr>
                <w:ilvl w:val="0"/>
                <w:numId w:val="0"/>
              </w:numPr>
              <w:adjustRightInd w:val="0"/>
              <w:snapToGrid w:val="0"/>
              <w:spacing w:line="360" w:lineRule="auto"/>
              <w:ind w:left="0" w:leftChars="0" w:firstLine="480" w:firstLineChars="200"/>
              <w:rPr>
                <w:rFonts w:hint="default" w:ascii="Times New Roman" w:hAnsi="Times New Roman" w:eastAsia="宋体" w:cs="Times New Roman"/>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上料、破碎和打包</w:t>
            </w:r>
            <w:r>
              <w:rPr>
                <w:rFonts w:hint="eastAsia" w:ascii="宋体" w:hAnsi="宋体" w:eastAsia="宋体" w:cs="宋体"/>
                <w:color w:val="auto"/>
                <w:kern w:val="0"/>
                <w:sz w:val="24"/>
                <w:szCs w:val="24"/>
                <w:highlight w:val="none"/>
                <w:lang w:val="en-US" w:eastAsia="zh-CN" w:bidi="ar"/>
              </w:rPr>
              <w:t>工序</w:t>
            </w:r>
            <w:r>
              <w:rPr>
                <w:rFonts w:hint="default" w:ascii="宋体" w:hAnsi="宋体" w:eastAsia="宋体" w:cs="宋体"/>
                <w:color w:val="auto"/>
                <w:kern w:val="0"/>
                <w:sz w:val="24"/>
                <w:szCs w:val="24"/>
                <w:highlight w:val="none"/>
                <w:lang w:val="en-US" w:eastAsia="zh-CN" w:bidi="ar"/>
              </w:rPr>
              <w:t>均在封闭厂房内完成。参照《排放源统计调查产排污核算方法和系数手册》</w:t>
            </w:r>
            <w:r>
              <w:rPr>
                <w:rFonts w:hint="eastAsia" w:ascii="宋体" w:hAnsi="宋体" w:eastAsia="宋体" w:cs="宋体"/>
                <w:color w:val="auto"/>
                <w:kern w:val="0"/>
                <w:sz w:val="24"/>
                <w:szCs w:val="24"/>
                <w:highlight w:val="none"/>
                <w:lang w:val="en-US" w:eastAsia="zh-CN" w:bidi="ar"/>
              </w:rPr>
              <w:t xml:space="preserve"> </w:t>
            </w:r>
            <w:r>
              <w:rPr>
                <w:rFonts w:hint="default" w:ascii="Times New Roman" w:hAnsi="Times New Roman" w:eastAsia="宋体" w:cs="Times New Roman"/>
                <w:color w:val="auto"/>
                <w:kern w:val="0"/>
                <w:sz w:val="24"/>
                <w:szCs w:val="24"/>
                <w:highlight w:val="none"/>
                <w:lang w:val="en-US" w:eastAsia="zh-CN" w:bidi="ar"/>
              </w:rPr>
              <w:t>（生态环境部公告2021年第24 号）中 《4220 非金属废料和碎屑加工处理行业系数表》中粉尘产生系数及排放量：</w:t>
            </w:r>
          </w:p>
          <w:p w14:paraId="2392F284">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表4-1</w:t>
            </w:r>
            <w:r>
              <w:rPr>
                <w:rFonts w:hint="eastAsia" w:cs="Times New Roman"/>
                <w:b/>
                <w:bCs/>
                <w:color w:val="auto"/>
                <w:sz w:val="21"/>
                <w:szCs w:val="21"/>
                <w:highlight w:val="none"/>
                <w:lang w:val="en-US" w:eastAsia="zh-CN"/>
              </w:rPr>
              <w:t xml:space="preserve"> </w:t>
            </w:r>
            <w:r>
              <w:rPr>
                <w:rFonts w:hint="eastAsia" w:ascii="Times New Roman" w:hAnsi="Times New Roman" w:eastAsia="宋体" w:cs="Times New Roman"/>
                <w:b/>
                <w:bCs/>
                <w:color w:val="auto"/>
                <w:sz w:val="21"/>
                <w:szCs w:val="21"/>
                <w:highlight w:val="none"/>
                <w:lang w:val="en-US" w:eastAsia="zh-CN"/>
              </w:rPr>
              <w:t>产物系数表</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0"/>
              <w:gridCol w:w="991"/>
              <w:gridCol w:w="1564"/>
              <w:gridCol w:w="1280"/>
              <w:gridCol w:w="988"/>
              <w:gridCol w:w="2438"/>
              <w:gridCol w:w="791"/>
            </w:tblGrid>
            <w:tr w14:paraId="38F5A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66B60B2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val="en-US" w:eastAsia="zh-CN"/>
                    </w:rPr>
                  </w:pPr>
                  <w:r>
                    <w:rPr>
                      <w:rFonts w:hint="eastAsia" w:ascii="Times New Roman" w:hAnsi="Times New Roman" w:eastAsia="Arial" w:cs="Times New Roman"/>
                      <w:b/>
                      <w:bCs/>
                      <w:color w:val="auto"/>
                      <w:highlight w:val="none"/>
                      <w:lang w:val="en-US" w:eastAsia="zh-CN"/>
                    </w:rPr>
                    <w:t>序号</w:t>
                  </w:r>
                </w:p>
              </w:tc>
              <w:tc>
                <w:tcPr>
                  <w:tcW w:w="596" w:type="pct"/>
                  <w:vAlign w:val="center"/>
                </w:tcPr>
                <w:p w14:paraId="7193C75D">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废物种类</w:t>
                  </w:r>
                </w:p>
              </w:tc>
              <w:tc>
                <w:tcPr>
                  <w:tcW w:w="940" w:type="pct"/>
                  <w:vAlign w:val="center"/>
                </w:tcPr>
                <w:p w14:paraId="1B51DC8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auto"/>
                      <w:highlight w:val="none"/>
                      <w:lang w:eastAsia="zh-CN"/>
                    </w:rPr>
                  </w:pPr>
                  <w:r>
                    <w:rPr>
                      <w:rFonts w:hint="default" w:ascii="Times New Roman" w:hAnsi="Times New Roman" w:eastAsia="Arial" w:cs="Times New Roman"/>
                      <w:b/>
                      <w:bCs/>
                      <w:color w:val="auto"/>
                      <w:highlight w:val="none"/>
                      <w:lang w:eastAsia="zh-CN"/>
                    </w:rPr>
                    <w:t>固体废物名称</w:t>
                  </w:r>
                </w:p>
              </w:tc>
              <w:tc>
                <w:tcPr>
                  <w:tcW w:w="769" w:type="pct"/>
                  <w:vAlign w:val="center"/>
                </w:tcPr>
                <w:p w14:paraId="14FCC186">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Arial" w:cs="Times New Roman"/>
                      <w:b/>
                      <w:bCs/>
                      <w:color w:val="auto"/>
                      <w:highlight w:val="none"/>
                      <w:lang w:eastAsia="zh-CN"/>
                    </w:rPr>
                  </w:pPr>
                  <w:r>
                    <w:rPr>
                      <w:rFonts w:hint="eastAsia" w:ascii="Times New Roman" w:hAnsi="Times New Roman" w:eastAsia="宋体" w:cs="Times New Roman"/>
                      <w:b/>
                      <w:bCs/>
                      <w:color w:val="auto"/>
                      <w:kern w:val="2"/>
                      <w:sz w:val="21"/>
                      <w:szCs w:val="24"/>
                      <w:highlight w:val="none"/>
                      <w:lang w:val="en-US" w:eastAsia="zh-CN" w:bidi="ar-SA"/>
                    </w:rPr>
                    <w:t>原辅料</w:t>
                  </w:r>
                  <w:r>
                    <w:rPr>
                      <w:rFonts w:hint="default" w:ascii="Times New Roman" w:hAnsi="Times New Roman" w:eastAsia="宋体" w:cs="Times New Roman"/>
                      <w:b/>
                      <w:bCs/>
                      <w:color w:val="auto"/>
                      <w:kern w:val="2"/>
                      <w:sz w:val="21"/>
                      <w:szCs w:val="24"/>
                      <w:highlight w:val="none"/>
                      <w:lang w:val="en-US" w:eastAsia="zh-CN" w:bidi="ar-SA"/>
                    </w:rPr>
                    <w:t>用量（t/a）</w:t>
                  </w:r>
                </w:p>
              </w:tc>
              <w:tc>
                <w:tcPr>
                  <w:tcW w:w="594" w:type="pct"/>
                  <w:vAlign w:val="center"/>
                </w:tcPr>
                <w:p w14:paraId="56588C15">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b/>
                      <w:bCs/>
                      <w:color w:val="auto"/>
                      <w:kern w:val="2"/>
                      <w:sz w:val="21"/>
                      <w:szCs w:val="24"/>
                      <w:highlight w:val="none"/>
                      <w:lang w:val="en-US" w:eastAsia="zh-CN" w:bidi="ar-SA"/>
                    </w:rPr>
                    <w:t>总量</w:t>
                  </w:r>
                  <w:r>
                    <w:rPr>
                      <w:rFonts w:hint="default" w:ascii="Times New Roman" w:hAnsi="Times New Roman" w:eastAsia="宋体" w:cs="Times New Roman"/>
                      <w:b/>
                      <w:bCs/>
                      <w:color w:val="auto"/>
                      <w:kern w:val="2"/>
                      <w:sz w:val="21"/>
                      <w:szCs w:val="24"/>
                      <w:highlight w:val="none"/>
                      <w:lang w:val="en-US" w:eastAsia="zh-CN" w:bidi="ar-SA"/>
                    </w:rPr>
                    <w:t>（t/a）</w:t>
                  </w:r>
                </w:p>
              </w:tc>
              <w:tc>
                <w:tcPr>
                  <w:tcW w:w="1466" w:type="pct"/>
                  <w:vAlign w:val="center"/>
                </w:tcPr>
                <w:p w14:paraId="46FAB2A1">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Arial" w:cs="Times New Roman"/>
                      <w:b/>
                      <w:bCs/>
                      <w:color w:val="auto"/>
                      <w:highlight w:val="none"/>
                      <w:lang w:eastAsia="zh-CN"/>
                    </w:rPr>
                  </w:pPr>
                  <w:r>
                    <w:rPr>
                      <w:rFonts w:hint="default" w:ascii="Times New Roman" w:hAnsi="Times New Roman" w:eastAsia="宋体" w:cs="Times New Roman"/>
                      <w:b/>
                      <w:bCs/>
                      <w:color w:val="auto"/>
                      <w:kern w:val="2"/>
                      <w:sz w:val="21"/>
                      <w:szCs w:val="24"/>
                      <w:highlight w:val="none"/>
                      <w:lang w:val="en-US" w:eastAsia="zh-CN" w:bidi="ar-SA"/>
                    </w:rPr>
                    <w:t>《排放源统计调查产排污核算方法和系数手册》中产污系数</w:t>
                  </w:r>
                </w:p>
              </w:tc>
              <w:tc>
                <w:tcPr>
                  <w:tcW w:w="475" w:type="pct"/>
                  <w:vAlign w:val="center"/>
                </w:tcPr>
                <w:p w14:paraId="3C6B5DD4">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Arial" w:cs="Times New Roman"/>
                      <w:b/>
                      <w:bCs/>
                      <w:color w:val="auto"/>
                      <w:highlight w:val="none"/>
                      <w:lang w:eastAsia="zh-CN"/>
                    </w:rPr>
                  </w:pPr>
                  <w:r>
                    <w:rPr>
                      <w:rFonts w:hint="default" w:ascii="Times New Roman" w:hAnsi="Times New Roman" w:eastAsia="宋体" w:cs="Times New Roman"/>
                      <w:b/>
                      <w:bCs/>
                      <w:color w:val="auto"/>
                      <w:kern w:val="2"/>
                      <w:sz w:val="21"/>
                      <w:szCs w:val="24"/>
                      <w:highlight w:val="none"/>
                      <w:lang w:val="en-US" w:eastAsia="zh-CN" w:bidi="ar-SA"/>
                    </w:rPr>
                    <w:t>颗粒物产生量（t/a）</w:t>
                  </w:r>
                </w:p>
              </w:tc>
            </w:tr>
            <w:tr w14:paraId="5A746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73F332C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w:t>
                  </w:r>
                </w:p>
                <w:p w14:paraId="7253DF9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restart"/>
                  <w:vAlign w:val="center"/>
                </w:tcPr>
                <w:p w14:paraId="3D9E223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SW14</w:t>
                  </w:r>
                </w:p>
                <w:p w14:paraId="1CF8445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纺织皮革业废物</w:t>
                  </w:r>
                </w:p>
                <w:p w14:paraId="566DA13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14EDDAC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废丝</w:t>
                  </w:r>
                </w:p>
              </w:tc>
              <w:tc>
                <w:tcPr>
                  <w:tcW w:w="769" w:type="pct"/>
                  <w:vAlign w:val="center"/>
                </w:tcPr>
                <w:p w14:paraId="75FBFBD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2500</w:t>
                  </w:r>
                </w:p>
              </w:tc>
              <w:tc>
                <w:tcPr>
                  <w:tcW w:w="594" w:type="pct"/>
                  <w:vMerge w:val="restart"/>
                  <w:vAlign w:val="center"/>
                </w:tcPr>
                <w:p w14:paraId="65C71CF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22000</w:t>
                  </w:r>
                </w:p>
              </w:tc>
              <w:tc>
                <w:tcPr>
                  <w:tcW w:w="1466" w:type="pct"/>
                  <w:vMerge w:val="restart"/>
                  <w:vAlign w:val="center"/>
                </w:tcPr>
                <w:p w14:paraId="4CD3E26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废布/废纺织品</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w:t>
                  </w:r>
                </w:p>
                <w:p w14:paraId="1AD4934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375g/t-原料</w:t>
                  </w:r>
                </w:p>
              </w:tc>
              <w:tc>
                <w:tcPr>
                  <w:tcW w:w="475" w:type="pct"/>
                  <w:vMerge w:val="restart"/>
                  <w:vAlign w:val="center"/>
                </w:tcPr>
                <w:p w14:paraId="151F4FA2">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8.25</w:t>
                  </w:r>
                </w:p>
              </w:tc>
            </w:tr>
            <w:tr w14:paraId="5CC7C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67DAC824">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14EAAC8F">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368BCFA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革屑和革灰</w:t>
                  </w:r>
                </w:p>
              </w:tc>
              <w:tc>
                <w:tcPr>
                  <w:tcW w:w="769" w:type="pct"/>
                  <w:vAlign w:val="center"/>
                </w:tcPr>
                <w:p w14:paraId="6F6DF16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7000</w:t>
                  </w:r>
                </w:p>
              </w:tc>
              <w:tc>
                <w:tcPr>
                  <w:tcW w:w="594" w:type="pct"/>
                  <w:vMerge w:val="continue"/>
                  <w:vAlign w:val="center"/>
                </w:tcPr>
                <w:p w14:paraId="2530BE2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2AEBBB0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2D94FE5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54FA8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423809F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630F9C0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6C0533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废弃动物毛</w:t>
                  </w:r>
                </w:p>
              </w:tc>
              <w:tc>
                <w:tcPr>
                  <w:tcW w:w="769" w:type="pct"/>
                  <w:vAlign w:val="center"/>
                </w:tcPr>
                <w:p w14:paraId="66620D9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w:t>
                  </w:r>
                </w:p>
              </w:tc>
              <w:tc>
                <w:tcPr>
                  <w:tcW w:w="594" w:type="pct"/>
                  <w:vMerge w:val="continue"/>
                  <w:vAlign w:val="center"/>
                </w:tcPr>
                <w:p w14:paraId="53A194B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03AA694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096DB3AB">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4CFAD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68824043">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3AA5922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15607BA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其他纺织皮革业废物</w:t>
                  </w:r>
                </w:p>
              </w:tc>
              <w:tc>
                <w:tcPr>
                  <w:tcW w:w="769" w:type="pct"/>
                  <w:vAlign w:val="center"/>
                </w:tcPr>
                <w:p w14:paraId="7205478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12000</w:t>
                  </w:r>
                </w:p>
              </w:tc>
              <w:tc>
                <w:tcPr>
                  <w:tcW w:w="594" w:type="pct"/>
                  <w:vMerge w:val="continue"/>
                  <w:vAlign w:val="center"/>
                </w:tcPr>
                <w:p w14:paraId="02F75A4B">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eastAsia" w:ascii="Times New Roman" w:hAnsi="Times New Roman" w:cs="Times New Roman"/>
                      <w:color w:val="auto"/>
                      <w:highlight w:val="none"/>
                      <w:lang w:val="en-US" w:eastAsia="zh-CN"/>
                    </w:rPr>
                  </w:pPr>
                </w:p>
              </w:tc>
              <w:tc>
                <w:tcPr>
                  <w:tcW w:w="1466" w:type="pct"/>
                  <w:vMerge w:val="continue"/>
                  <w:vAlign w:val="center"/>
                </w:tcPr>
                <w:p w14:paraId="3A4B28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251BD76A">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cs="Times New Roman"/>
                      <w:color w:val="auto"/>
                      <w:sz w:val="21"/>
                      <w:szCs w:val="21"/>
                      <w:highlight w:val="none"/>
                      <w:lang w:val="en-US" w:eastAsia="zh-CN"/>
                    </w:rPr>
                  </w:pPr>
                </w:p>
              </w:tc>
            </w:tr>
            <w:tr w14:paraId="3A09F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5B2DBE40">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2</w:t>
                  </w:r>
                </w:p>
              </w:tc>
              <w:tc>
                <w:tcPr>
                  <w:tcW w:w="596" w:type="pct"/>
                  <w:vMerge w:val="restart"/>
                  <w:vAlign w:val="center"/>
                </w:tcPr>
                <w:p w14:paraId="734CCC0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SW15</w:t>
                  </w:r>
                </w:p>
                <w:p w14:paraId="4BA7172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造纸印刷业废物</w:t>
                  </w:r>
                </w:p>
                <w:p w14:paraId="38F557C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3DDB71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碎浆废物</w:t>
                  </w:r>
                </w:p>
              </w:tc>
              <w:tc>
                <w:tcPr>
                  <w:tcW w:w="769" w:type="pct"/>
                  <w:vAlign w:val="center"/>
                </w:tcPr>
                <w:p w14:paraId="7D710F8E">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restart"/>
                  <w:vAlign w:val="center"/>
                </w:tcPr>
                <w:p w14:paraId="3F64B4BA">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8000</w:t>
                  </w:r>
                </w:p>
              </w:tc>
              <w:tc>
                <w:tcPr>
                  <w:tcW w:w="1466" w:type="pct"/>
                  <w:vMerge w:val="restart"/>
                  <w:vAlign w:val="center"/>
                </w:tcPr>
                <w:p w14:paraId="0BFEB2C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参考“</w:t>
                  </w:r>
                  <w:r>
                    <w:rPr>
                      <w:rFonts w:hint="default" w:ascii="Times New Roman" w:hAnsi="Times New Roman" w:eastAsia="宋体" w:cs="Times New Roman"/>
                      <w:color w:val="auto"/>
                      <w:kern w:val="2"/>
                      <w:sz w:val="21"/>
                      <w:szCs w:val="24"/>
                      <w:highlight w:val="none"/>
                      <w:lang w:val="en-US" w:eastAsia="zh-CN" w:bidi="ar-SA"/>
                    </w:rPr>
                    <w:t>纸塑铝复合材料</w:t>
                  </w:r>
                  <w:r>
                    <w:rPr>
                      <w:rFonts w:hint="eastAsia" w:ascii="Times New Roman" w:hAnsi="Times New Roman" w:eastAsia="宋体" w:cs="Times New Roman"/>
                      <w:color w:val="auto"/>
                      <w:kern w:val="2"/>
                      <w:sz w:val="21"/>
                      <w:szCs w:val="24"/>
                      <w:highlight w:val="none"/>
                      <w:lang w:val="en-US" w:eastAsia="zh-CN" w:bidi="ar-SA"/>
                    </w:rPr>
                    <w:t>”：</w:t>
                  </w:r>
                </w:p>
                <w:p w14:paraId="2F0CAE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490g/t-原料</w:t>
                  </w:r>
                </w:p>
              </w:tc>
              <w:tc>
                <w:tcPr>
                  <w:tcW w:w="475" w:type="pct"/>
                  <w:vMerge w:val="restart"/>
                  <w:vAlign w:val="center"/>
                </w:tcPr>
                <w:p w14:paraId="3016E332">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3.92</w:t>
                  </w:r>
                </w:p>
              </w:tc>
            </w:tr>
            <w:tr w14:paraId="7B590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1968C0D3">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7A085273">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7B8AC3B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筛浆废物</w:t>
                  </w:r>
                </w:p>
              </w:tc>
              <w:tc>
                <w:tcPr>
                  <w:tcW w:w="769" w:type="pct"/>
                  <w:vAlign w:val="center"/>
                </w:tcPr>
                <w:p w14:paraId="399873A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04EAFCB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06BB054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3064FACA">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117AA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477107F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34246D7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17C066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备料废渣</w:t>
                  </w:r>
                </w:p>
              </w:tc>
              <w:tc>
                <w:tcPr>
                  <w:tcW w:w="769" w:type="pct"/>
                  <w:vAlign w:val="center"/>
                </w:tcPr>
                <w:p w14:paraId="5BDFD04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426C4DE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7B1398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55E73B7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58486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5B6A3A35">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5F96983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66E966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碎浆废渣</w:t>
                  </w:r>
                </w:p>
              </w:tc>
              <w:tc>
                <w:tcPr>
                  <w:tcW w:w="769" w:type="pct"/>
                  <w:vAlign w:val="center"/>
                </w:tcPr>
                <w:p w14:paraId="48132B8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6984AF7A">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0A55C6D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259BA7D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0EDAB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7F7CA24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64C419C4">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195D977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造纸备料废渣</w:t>
                  </w:r>
                </w:p>
              </w:tc>
              <w:tc>
                <w:tcPr>
                  <w:tcW w:w="769" w:type="pct"/>
                  <w:vAlign w:val="center"/>
                </w:tcPr>
                <w:p w14:paraId="240CC07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w:t>
                  </w:r>
                </w:p>
              </w:tc>
              <w:tc>
                <w:tcPr>
                  <w:tcW w:w="594" w:type="pct"/>
                  <w:vMerge w:val="continue"/>
                  <w:vAlign w:val="center"/>
                </w:tcPr>
                <w:p w14:paraId="3FDD5DB1">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5D30388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0ED5CD0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4D8BC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1888489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4584DF7F">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511CA2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废版</w:t>
                  </w:r>
                </w:p>
              </w:tc>
              <w:tc>
                <w:tcPr>
                  <w:tcW w:w="769" w:type="pct"/>
                  <w:vAlign w:val="center"/>
                </w:tcPr>
                <w:p w14:paraId="15827F3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w:t>
                  </w:r>
                </w:p>
              </w:tc>
              <w:tc>
                <w:tcPr>
                  <w:tcW w:w="594" w:type="pct"/>
                  <w:vMerge w:val="continue"/>
                  <w:vAlign w:val="center"/>
                </w:tcPr>
                <w:p w14:paraId="2E6928F6">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7711BF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09541E6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13664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24357270">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4283670D">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2035E2C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其他造纸印刷业废物</w:t>
                  </w:r>
                </w:p>
              </w:tc>
              <w:tc>
                <w:tcPr>
                  <w:tcW w:w="769" w:type="pct"/>
                  <w:vAlign w:val="center"/>
                </w:tcPr>
                <w:p w14:paraId="0F30AA8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55CB3471">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53A84F5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2E8B92C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3065B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572D3341">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3</w:t>
                  </w:r>
                </w:p>
              </w:tc>
              <w:tc>
                <w:tcPr>
                  <w:tcW w:w="596" w:type="pct"/>
                  <w:vMerge w:val="restart"/>
                  <w:vAlign w:val="center"/>
                </w:tcPr>
                <w:p w14:paraId="4D13B37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p w14:paraId="30A1DCED">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SW17</w:t>
                  </w:r>
                </w:p>
                <w:p w14:paraId="16F935D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可再生类废物</w:t>
                  </w:r>
                </w:p>
                <w:p w14:paraId="62B71CC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519FC89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废塑料</w:t>
                  </w:r>
                </w:p>
              </w:tc>
              <w:tc>
                <w:tcPr>
                  <w:tcW w:w="769" w:type="pct"/>
                  <w:vAlign w:val="center"/>
                </w:tcPr>
                <w:p w14:paraId="1281912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restart"/>
                  <w:vAlign w:val="center"/>
                </w:tcPr>
                <w:p w14:paraId="5721764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19000</w:t>
                  </w:r>
                </w:p>
              </w:tc>
              <w:tc>
                <w:tcPr>
                  <w:tcW w:w="1466" w:type="pct"/>
                  <w:vMerge w:val="restart"/>
                  <w:vAlign w:val="center"/>
                </w:tcPr>
                <w:p w14:paraId="039B07F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废布/废纺织品</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w:t>
                  </w:r>
                </w:p>
                <w:p w14:paraId="7C82ECB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375g/t-原料</w:t>
                  </w:r>
                </w:p>
              </w:tc>
              <w:tc>
                <w:tcPr>
                  <w:tcW w:w="475" w:type="pct"/>
                  <w:vMerge w:val="restart"/>
                  <w:vAlign w:val="center"/>
                </w:tcPr>
                <w:p w14:paraId="4EA43F43">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7.125</w:t>
                  </w:r>
                </w:p>
              </w:tc>
            </w:tr>
            <w:tr w14:paraId="73908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58F88B4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18692B5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590734B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废纸</w:t>
                  </w:r>
                </w:p>
              </w:tc>
              <w:tc>
                <w:tcPr>
                  <w:tcW w:w="769" w:type="pct"/>
                  <w:vAlign w:val="center"/>
                </w:tcPr>
                <w:p w14:paraId="30EE4FB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5CF8351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6DE1D04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7C4FA3B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1A4C0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4060215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1B4C9A74">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4439D96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废橡胶</w:t>
                  </w:r>
                </w:p>
              </w:tc>
              <w:tc>
                <w:tcPr>
                  <w:tcW w:w="769" w:type="pct"/>
                  <w:vAlign w:val="center"/>
                </w:tcPr>
                <w:p w14:paraId="2D5714B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07E7178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14067C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5373C15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6D534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024F262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7DDD0C2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5827870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废纺织品</w:t>
                  </w:r>
                </w:p>
              </w:tc>
              <w:tc>
                <w:tcPr>
                  <w:tcW w:w="769" w:type="pct"/>
                  <w:vAlign w:val="center"/>
                </w:tcPr>
                <w:p w14:paraId="3660FAA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eastAsia="Arial" w:cs="Times New Roman"/>
                      <w:color w:val="auto"/>
                      <w:highlight w:val="none"/>
                      <w:lang w:val="en-US" w:eastAsia="zh-CN"/>
                    </w:rPr>
                    <w:t>6000</w:t>
                  </w:r>
                </w:p>
              </w:tc>
              <w:tc>
                <w:tcPr>
                  <w:tcW w:w="594" w:type="pct"/>
                  <w:vMerge w:val="continue"/>
                  <w:vAlign w:val="center"/>
                </w:tcPr>
                <w:p w14:paraId="42AF46B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eastAsia" w:eastAsia="Arial" w:cs="Times New Roman"/>
                      <w:color w:val="auto"/>
                      <w:highlight w:val="none"/>
                      <w:lang w:val="en-US" w:eastAsia="zh-CN"/>
                    </w:rPr>
                  </w:pPr>
                </w:p>
              </w:tc>
              <w:tc>
                <w:tcPr>
                  <w:tcW w:w="1466" w:type="pct"/>
                  <w:vMerge w:val="continue"/>
                  <w:vAlign w:val="center"/>
                </w:tcPr>
                <w:p w14:paraId="282E01B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BBB94C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val="en-US" w:eastAsia="zh-CN"/>
                    </w:rPr>
                  </w:pPr>
                </w:p>
              </w:tc>
            </w:tr>
            <w:tr w14:paraId="74FE0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7E2E77D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661326A5">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356E8AB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废木材</w:t>
                  </w:r>
                </w:p>
              </w:tc>
              <w:tc>
                <w:tcPr>
                  <w:tcW w:w="769" w:type="pct"/>
                  <w:vAlign w:val="center"/>
                </w:tcPr>
                <w:p w14:paraId="44B36D9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0B37AAEE">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2C7A50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2192EBD6">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1C4C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2B754F2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p>
              </w:tc>
              <w:tc>
                <w:tcPr>
                  <w:tcW w:w="596" w:type="pct"/>
                  <w:vMerge w:val="continue"/>
                  <w:vAlign w:val="center"/>
                </w:tcPr>
                <w:p w14:paraId="21F0FDA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4C5FA0D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废纤维及复合材料</w:t>
                  </w:r>
                </w:p>
              </w:tc>
              <w:tc>
                <w:tcPr>
                  <w:tcW w:w="769" w:type="pct"/>
                  <w:vAlign w:val="center"/>
                </w:tcPr>
                <w:p w14:paraId="499AA0A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3A9C866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454BF77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31AB443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0A5BD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74100C5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6E98D05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4E696C1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报废光伏组件</w:t>
                  </w:r>
                </w:p>
              </w:tc>
              <w:tc>
                <w:tcPr>
                  <w:tcW w:w="769" w:type="pct"/>
                  <w:vAlign w:val="center"/>
                </w:tcPr>
                <w:p w14:paraId="5F9363CE">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2DB576F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011E7F6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52424E19">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4D41B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64EFBC2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2772C85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0AF8533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报废风机叶片及边角料</w:t>
                  </w:r>
                </w:p>
              </w:tc>
              <w:tc>
                <w:tcPr>
                  <w:tcW w:w="769" w:type="pct"/>
                  <w:vAlign w:val="center"/>
                </w:tcPr>
                <w:p w14:paraId="25910E5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3DAC20B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1EC2255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44B6C54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396DE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25937C4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362BC2C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46236A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其他可再生类废物</w:t>
                  </w:r>
                </w:p>
              </w:tc>
              <w:tc>
                <w:tcPr>
                  <w:tcW w:w="769" w:type="pct"/>
                  <w:vAlign w:val="center"/>
                </w:tcPr>
                <w:p w14:paraId="28A2AA4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268DFCE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5887442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260555BB">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2865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37E260D5">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4</w:t>
                  </w:r>
                </w:p>
              </w:tc>
              <w:tc>
                <w:tcPr>
                  <w:tcW w:w="596" w:type="pct"/>
                  <w:vMerge w:val="restart"/>
                  <w:vAlign w:val="center"/>
                </w:tcPr>
                <w:p w14:paraId="158C7144">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SW59</w:t>
                  </w:r>
                </w:p>
                <w:p w14:paraId="482CDE6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其他工业固体废物</w:t>
                  </w:r>
                </w:p>
              </w:tc>
              <w:tc>
                <w:tcPr>
                  <w:tcW w:w="940" w:type="pct"/>
                  <w:vAlign w:val="center"/>
                </w:tcPr>
                <w:p w14:paraId="1BB6CD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废旧内衬</w:t>
                  </w:r>
                </w:p>
              </w:tc>
              <w:tc>
                <w:tcPr>
                  <w:tcW w:w="769" w:type="pct"/>
                  <w:vAlign w:val="center"/>
                </w:tcPr>
                <w:p w14:paraId="5FC7266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restart"/>
                  <w:vAlign w:val="center"/>
                </w:tcPr>
                <w:p w14:paraId="7E2ABD8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25000</w:t>
                  </w:r>
                </w:p>
              </w:tc>
              <w:tc>
                <w:tcPr>
                  <w:tcW w:w="1466" w:type="pct"/>
                  <w:vMerge w:val="restart"/>
                  <w:vAlign w:val="center"/>
                </w:tcPr>
                <w:p w14:paraId="75328C7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参考“</w:t>
                  </w:r>
                  <w:r>
                    <w:rPr>
                      <w:rFonts w:hint="default" w:ascii="Times New Roman" w:hAnsi="Times New Roman" w:eastAsia="宋体" w:cs="Times New Roman"/>
                      <w:color w:val="auto"/>
                      <w:kern w:val="2"/>
                      <w:sz w:val="21"/>
                      <w:szCs w:val="24"/>
                      <w:highlight w:val="none"/>
                      <w:lang w:val="en-US" w:eastAsia="zh-CN" w:bidi="ar-SA"/>
                    </w:rPr>
                    <w:t>纸塑铝复合材料</w:t>
                  </w:r>
                  <w:r>
                    <w:rPr>
                      <w:rFonts w:hint="eastAsia" w:ascii="Times New Roman" w:hAnsi="Times New Roman" w:eastAsia="宋体" w:cs="Times New Roman"/>
                      <w:color w:val="auto"/>
                      <w:kern w:val="2"/>
                      <w:sz w:val="21"/>
                      <w:szCs w:val="24"/>
                      <w:highlight w:val="none"/>
                      <w:lang w:val="en-US" w:eastAsia="zh-CN" w:bidi="ar-SA"/>
                    </w:rPr>
                    <w:t>”：</w:t>
                  </w:r>
                </w:p>
                <w:p w14:paraId="6E6F01C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490g/t-原料</w:t>
                  </w:r>
                </w:p>
              </w:tc>
              <w:tc>
                <w:tcPr>
                  <w:tcW w:w="475" w:type="pct"/>
                  <w:vMerge w:val="restart"/>
                  <w:vAlign w:val="center"/>
                </w:tcPr>
                <w:p w14:paraId="4E7003F8">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12.25</w:t>
                  </w:r>
                </w:p>
              </w:tc>
            </w:tr>
            <w:tr w14:paraId="4AFA8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3C24B4D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64AE1E6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655C486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废干燥剂</w:t>
                  </w:r>
                </w:p>
              </w:tc>
              <w:tc>
                <w:tcPr>
                  <w:tcW w:w="769" w:type="pct"/>
                  <w:vAlign w:val="center"/>
                </w:tcPr>
                <w:p w14:paraId="387E4D8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w:t>
                  </w:r>
                </w:p>
              </w:tc>
              <w:tc>
                <w:tcPr>
                  <w:tcW w:w="594" w:type="pct"/>
                  <w:vMerge w:val="continue"/>
                  <w:vAlign w:val="center"/>
                </w:tcPr>
                <w:p w14:paraId="2B0EDAD1">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46063F6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3AE0ECC9">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56C8E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76D4929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09489CB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259C1C4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废保温棉</w:t>
                  </w:r>
                </w:p>
              </w:tc>
              <w:tc>
                <w:tcPr>
                  <w:tcW w:w="769" w:type="pct"/>
                  <w:vAlign w:val="center"/>
                </w:tcPr>
                <w:p w14:paraId="6091AEB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2A938CE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00CF266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51146029">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7EEE5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634027B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55D80F1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6EBBE26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废保冷材料</w:t>
                  </w:r>
                </w:p>
              </w:tc>
              <w:tc>
                <w:tcPr>
                  <w:tcW w:w="769" w:type="pct"/>
                  <w:vAlign w:val="center"/>
                </w:tcPr>
                <w:p w14:paraId="187F4EC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0E09EB9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7BD45CE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DA589BB">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1CFA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14154A93">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70C013B0">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3CE535F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废吸附剂</w:t>
                  </w:r>
                </w:p>
              </w:tc>
              <w:tc>
                <w:tcPr>
                  <w:tcW w:w="769" w:type="pct"/>
                  <w:vAlign w:val="center"/>
                </w:tcPr>
                <w:p w14:paraId="50CB2326">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3000</w:t>
                  </w:r>
                </w:p>
              </w:tc>
              <w:tc>
                <w:tcPr>
                  <w:tcW w:w="594" w:type="pct"/>
                  <w:vMerge w:val="continue"/>
                  <w:vAlign w:val="center"/>
                </w:tcPr>
                <w:p w14:paraId="12FA656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4BB04E8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0791F4D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41DB7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6BF9FCD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3F5F983F">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714E11E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废过滤材料</w:t>
                  </w:r>
                </w:p>
              </w:tc>
              <w:tc>
                <w:tcPr>
                  <w:tcW w:w="769" w:type="pct"/>
                  <w:vAlign w:val="center"/>
                </w:tcPr>
                <w:p w14:paraId="600737A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4A4DEDA6">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487328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47A85C36">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1C10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03F9CB3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0893E7F5">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03C4B1B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其他工业生产过程中产生的固体废物</w:t>
                  </w:r>
                </w:p>
              </w:tc>
              <w:tc>
                <w:tcPr>
                  <w:tcW w:w="769" w:type="pct"/>
                  <w:vAlign w:val="center"/>
                </w:tcPr>
                <w:p w14:paraId="7225B49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14000</w:t>
                  </w:r>
                </w:p>
              </w:tc>
              <w:tc>
                <w:tcPr>
                  <w:tcW w:w="594" w:type="pct"/>
                  <w:vMerge w:val="continue"/>
                  <w:vAlign w:val="center"/>
                </w:tcPr>
                <w:p w14:paraId="1A51394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eastAsia" w:ascii="Times New Roman" w:hAnsi="Times New Roman" w:cs="Times New Roman"/>
                      <w:color w:val="auto"/>
                      <w:highlight w:val="none"/>
                      <w:lang w:val="en-US" w:eastAsia="zh-CN"/>
                    </w:rPr>
                  </w:pPr>
                </w:p>
              </w:tc>
              <w:tc>
                <w:tcPr>
                  <w:tcW w:w="1466" w:type="pct"/>
                  <w:vMerge w:val="continue"/>
                  <w:vAlign w:val="center"/>
                </w:tcPr>
                <w:p w14:paraId="0B8845E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6AEAFBD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cs="Times New Roman"/>
                      <w:color w:val="auto"/>
                      <w:sz w:val="21"/>
                      <w:szCs w:val="21"/>
                      <w:highlight w:val="none"/>
                      <w:lang w:val="en-US" w:eastAsia="zh-CN"/>
                    </w:rPr>
                  </w:pPr>
                </w:p>
              </w:tc>
            </w:tr>
            <w:tr w14:paraId="4515B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0EEB3FE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5</w:t>
                  </w:r>
                </w:p>
              </w:tc>
              <w:tc>
                <w:tcPr>
                  <w:tcW w:w="596" w:type="pct"/>
                  <w:vMerge w:val="restart"/>
                  <w:vAlign w:val="center"/>
                </w:tcPr>
                <w:p w14:paraId="46D290F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SW62</w:t>
                  </w:r>
                </w:p>
                <w:p w14:paraId="7D128A3D">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可回收物</w:t>
                  </w:r>
                </w:p>
                <w:p w14:paraId="270DC63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3848129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废纸</w:t>
                  </w:r>
                </w:p>
              </w:tc>
              <w:tc>
                <w:tcPr>
                  <w:tcW w:w="769" w:type="pct"/>
                  <w:vAlign w:val="center"/>
                </w:tcPr>
                <w:p w14:paraId="5990C1F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restart"/>
                  <w:vAlign w:val="center"/>
                </w:tcPr>
                <w:p w14:paraId="4104086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6000</w:t>
                  </w:r>
                </w:p>
              </w:tc>
              <w:tc>
                <w:tcPr>
                  <w:tcW w:w="1466" w:type="pct"/>
                  <w:vMerge w:val="restart"/>
                  <w:vAlign w:val="center"/>
                </w:tcPr>
                <w:p w14:paraId="044D668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参考“</w:t>
                  </w:r>
                  <w:r>
                    <w:rPr>
                      <w:rFonts w:hint="default" w:ascii="Times New Roman" w:hAnsi="Times New Roman" w:eastAsia="宋体" w:cs="Times New Roman"/>
                      <w:color w:val="auto"/>
                      <w:kern w:val="2"/>
                      <w:sz w:val="21"/>
                      <w:szCs w:val="24"/>
                      <w:highlight w:val="none"/>
                      <w:lang w:val="en-US" w:eastAsia="zh-CN" w:bidi="ar-SA"/>
                    </w:rPr>
                    <w:t>纸塑铝复合材料</w:t>
                  </w:r>
                  <w:r>
                    <w:rPr>
                      <w:rFonts w:hint="eastAsia" w:ascii="Times New Roman" w:hAnsi="Times New Roman" w:eastAsia="宋体" w:cs="Times New Roman"/>
                      <w:color w:val="auto"/>
                      <w:kern w:val="2"/>
                      <w:sz w:val="21"/>
                      <w:szCs w:val="24"/>
                      <w:highlight w:val="none"/>
                      <w:lang w:val="en-US" w:eastAsia="zh-CN" w:bidi="ar-SA"/>
                    </w:rPr>
                    <w:t>”：</w:t>
                  </w:r>
                </w:p>
                <w:p w14:paraId="54BE764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490g/t-原料</w:t>
                  </w:r>
                </w:p>
              </w:tc>
              <w:tc>
                <w:tcPr>
                  <w:tcW w:w="475" w:type="pct"/>
                  <w:vMerge w:val="restart"/>
                  <w:vAlign w:val="center"/>
                </w:tcPr>
                <w:p w14:paraId="32B001BB">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2.94</w:t>
                  </w:r>
                </w:p>
              </w:tc>
            </w:tr>
            <w:tr w14:paraId="267E3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3B295CE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5D98F6DF">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487B6ED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废塑料</w:t>
                  </w:r>
                </w:p>
              </w:tc>
              <w:tc>
                <w:tcPr>
                  <w:tcW w:w="769" w:type="pct"/>
                  <w:vAlign w:val="center"/>
                </w:tcPr>
                <w:p w14:paraId="2F171BC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2000</w:t>
                  </w:r>
                </w:p>
              </w:tc>
              <w:tc>
                <w:tcPr>
                  <w:tcW w:w="594" w:type="pct"/>
                  <w:vMerge w:val="continue"/>
                  <w:vAlign w:val="center"/>
                </w:tcPr>
                <w:p w14:paraId="10D0298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14C780C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390E0D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468B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201F891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7989D4B0">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7F4927E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废纺织物</w:t>
                  </w:r>
                </w:p>
              </w:tc>
              <w:tc>
                <w:tcPr>
                  <w:tcW w:w="769" w:type="pct"/>
                  <w:vAlign w:val="center"/>
                </w:tcPr>
                <w:p w14:paraId="5068212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eastAsia="Arial" w:cs="Times New Roman"/>
                      <w:color w:val="auto"/>
                      <w:highlight w:val="none"/>
                      <w:lang w:val="en-US" w:eastAsia="zh-CN"/>
                    </w:rPr>
                    <w:t>2000</w:t>
                  </w:r>
                </w:p>
              </w:tc>
              <w:tc>
                <w:tcPr>
                  <w:tcW w:w="594" w:type="pct"/>
                  <w:vMerge w:val="continue"/>
                  <w:vAlign w:val="center"/>
                </w:tcPr>
                <w:p w14:paraId="24515CB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eastAsia" w:eastAsia="Arial" w:cs="Times New Roman"/>
                      <w:color w:val="auto"/>
                      <w:highlight w:val="none"/>
                      <w:lang w:val="en-US" w:eastAsia="zh-CN"/>
                    </w:rPr>
                  </w:pPr>
                </w:p>
              </w:tc>
              <w:tc>
                <w:tcPr>
                  <w:tcW w:w="1466" w:type="pct"/>
                  <w:vMerge w:val="continue"/>
                  <w:vAlign w:val="center"/>
                </w:tcPr>
                <w:p w14:paraId="044282B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0203F031">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val="en-US" w:eastAsia="zh-CN"/>
                    </w:rPr>
                  </w:pPr>
                </w:p>
              </w:tc>
            </w:tr>
            <w:tr w14:paraId="55774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2BEF24E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6</w:t>
                  </w:r>
                </w:p>
              </w:tc>
              <w:tc>
                <w:tcPr>
                  <w:tcW w:w="596" w:type="pct"/>
                  <w:vAlign w:val="center"/>
                </w:tcPr>
                <w:p w14:paraId="76254945">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SW63</w:t>
                  </w:r>
                </w:p>
                <w:p w14:paraId="5FEC4BB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大件垃圾</w:t>
                  </w:r>
                </w:p>
              </w:tc>
              <w:tc>
                <w:tcPr>
                  <w:tcW w:w="940" w:type="pct"/>
                  <w:vAlign w:val="center"/>
                </w:tcPr>
                <w:p w14:paraId="4BBBDDA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报废家具</w:t>
                  </w:r>
                </w:p>
              </w:tc>
              <w:tc>
                <w:tcPr>
                  <w:tcW w:w="769" w:type="pct"/>
                  <w:vAlign w:val="center"/>
                </w:tcPr>
                <w:p w14:paraId="2A33566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5000</w:t>
                  </w:r>
                </w:p>
              </w:tc>
              <w:tc>
                <w:tcPr>
                  <w:tcW w:w="594" w:type="pct"/>
                  <w:vAlign w:val="center"/>
                </w:tcPr>
                <w:p w14:paraId="031ABF0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5000</w:t>
                  </w:r>
                </w:p>
              </w:tc>
              <w:tc>
                <w:tcPr>
                  <w:tcW w:w="1466" w:type="pct"/>
                  <w:vAlign w:val="center"/>
                </w:tcPr>
                <w:p w14:paraId="6D4C546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“木材边角料”：</w:t>
                  </w:r>
                </w:p>
                <w:p w14:paraId="2335EEA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 xml:space="preserve">243 </w:t>
                  </w:r>
                  <w:r>
                    <w:rPr>
                      <w:rFonts w:hint="default" w:ascii="Times New Roman" w:hAnsi="Times New Roman" w:eastAsia="宋体" w:cs="Times New Roman"/>
                      <w:color w:val="auto"/>
                      <w:kern w:val="2"/>
                      <w:sz w:val="21"/>
                      <w:szCs w:val="24"/>
                      <w:highlight w:val="none"/>
                      <w:lang w:val="en-US" w:eastAsia="zh-CN" w:bidi="ar-SA"/>
                    </w:rPr>
                    <w:t>g/t-原料</w:t>
                  </w:r>
                </w:p>
              </w:tc>
              <w:tc>
                <w:tcPr>
                  <w:tcW w:w="475" w:type="pct"/>
                  <w:vAlign w:val="center"/>
                </w:tcPr>
                <w:p w14:paraId="234704F6">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1.215</w:t>
                  </w:r>
                </w:p>
              </w:tc>
            </w:tr>
            <w:tr w14:paraId="01FD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6B6154B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7</w:t>
                  </w:r>
                </w:p>
              </w:tc>
              <w:tc>
                <w:tcPr>
                  <w:tcW w:w="596" w:type="pct"/>
                  <w:vMerge w:val="restart"/>
                  <w:vAlign w:val="center"/>
                </w:tcPr>
                <w:p w14:paraId="6FE0785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SW64</w:t>
                  </w:r>
                </w:p>
                <w:p w14:paraId="1A6110B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其他垃圾</w:t>
                  </w:r>
                </w:p>
              </w:tc>
              <w:tc>
                <w:tcPr>
                  <w:tcW w:w="940" w:type="pct"/>
                  <w:vAlign w:val="center"/>
                </w:tcPr>
                <w:p w14:paraId="3536694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园林垃圾</w:t>
                  </w:r>
                </w:p>
              </w:tc>
              <w:tc>
                <w:tcPr>
                  <w:tcW w:w="769" w:type="pct"/>
                  <w:vAlign w:val="center"/>
                </w:tcPr>
                <w:p w14:paraId="1F55B1C3">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eastAsia="Arial" w:cs="Times New Roman"/>
                      <w:color w:val="auto"/>
                      <w:highlight w:val="none"/>
                      <w:lang w:val="en-US" w:eastAsia="zh-CN"/>
                    </w:rPr>
                    <w:t>2000</w:t>
                  </w:r>
                </w:p>
              </w:tc>
              <w:tc>
                <w:tcPr>
                  <w:tcW w:w="594" w:type="pct"/>
                  <w:vMerge w:val="restart"/>
                  <w:vAlign w:val="center"/>
                </w:tcPr>
                <w:p w14:paraId="35AE0AA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auto"/>
                      <w:highlight w:val="none"/>
                      <w:lang w:val="en-US" w:eastAsia="zh-CN"/>
                    </w:rPr>
                  </w:pPr>
                  <w:r>
                    <w:rPr>
                      <w:rFonts w:hint="eastAsia" w:eastAsia="Arial" w:cs="Times New Roman"/>
                      <w:color w:val="auto"/>
                      <w:highlight w:val="none"/>
                      <w:lang w:val="en-US" w:eastAsia="zh-CN"/>
                    </w:rPr>
                    <w:t>3000</w:t>
                  </w:r>
                </w:p>
              </w:tc>
              <w:tc>
                <w:tcPr>
                  <w:tcW w:w="1466" w:type="pct"/>
                  <w:vMerge w:val="restart"/>
                  <w:vAlign w:val="center"/>
                </w:tcPr>
                <w:p w14:paraId="4FBBF26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“薄膜塑料”：</w:t>
                  </w:r>
                </w:p>
                <w:p w14:paraId="4D27A42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475</w:t>
                  </w:r>
                  <w:r>
                    <w:rPr>
                      <w:rFonts w:hint="default" w:ascii="Times New Roman" w:hAnsi="Times New Roman" w:eastAsia="宋体" w:cs="Times New Roman"/>
                      <w:color w:val="auto"/>
                      <w:kern w:val="2"/>
                      <w:sz w:val="21"/>
                      <w:szCs w:val="24"/>
                      <w:highlight w:val="none"/>
                      <w:lang w:val="en-US" w:eastAsia="zh-CN" w:bidi="ar-SA"/>
                    </w:rPr>
                    <w:t>g/t-原料</w:t>
                  </w:r>
                </w:p>
              </w:tc>
              <w:tc>
                <w:tcPr>
                  <w:tcW w:w="475" w:type="pct"/>
                  <w:vMerge w:val="restart"/>
                  <w:vAlign w:val="center"/>
                </w:tcPr>
                <w:p w14:paraId="522F5539">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1.425</w:t>
                  </w:r>
                </w:p>
              </w:tc>
            </w:tr>
            <w:tr w14:paraId="7C12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7E2C411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00A5498D">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653EC42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以上之外的生活垃圾</w:t>
                  </w:r>
                  <w:r>
                    <w:rPr>
                      <w:rFonts w:hint="eastAsia" w:ascii="Times New Roman" w:hAnsi="Times New Roman" w:eastAsia="宋体" w:cs="Times New Roman"/>
                      <w:bCs/>
                      <w:color w:val="auto"/>
                      <w:kern w:val="2"/>
                      <w:sz w:val="21"/>
                      <w:szCs w:val="21"/>
                      <w:highlight w:val="none"/>
                      <w:lang w:val="en-US" w:eastAsia="zh-CN" w:bidi="ar-SA"/>
                    </w:rPr>
                    <w:t>（仅为包装物、纸屑）</w:t>
                  </w:r>
                </w:p>
              </w:tc>
              <w:tc>
                <w:tcPr>
                  <w:tcW w:w="769" w:type="pct"/>
                  <w:vAlign w:val="center"/>
                </w:tcPr>
                <w:p w14:paraId="73772B6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eastAsia="Arial" w:cs="Times New Roman"/>
                      <w:color w:val="auto"/>
                      <w:highlight w:val="none"/>
                      <w:lang w:val="en-US" w:eastAsia="zh-CN"/>
                    </w:rPr>
                    <w:t>1000</w:t>
                  </w:r>
                </w:p>
              </w:tc>
              <w:tc>
                <w:tcPr>
                  <w:tcW w:w="594" w:type="pct"/>
                  <w:vMerge w:val="continue"/>
                  <w:vAlign w:val="center"/>
                </w:tcPr>
                <w:p w14:paraId="147219EA">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eastAsia" w:eastAsia="Arial" w:cs="Times New Roman"/>
                      <w:color w:val="auto"/>
                      <w:highlight w:val="none"/>
                      <w:lang w:val="en-US" w:eastAsia="zh-CN"/>
                    </w:rPr>
                  </w:pPr>
                </w:p>
              </w:tc>
              <w:tc>
                <w:tcPr>
                  <w:tcW w:w="1466" w:type="pct"/>
                  <w:vMerge w:val="continue"/>
                  <w:vAlign w:val="center"/>
                </w:tcPr>
                <w:p w14:paraId="057C6F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51B2F05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val="en-US" w:eastAsia="zh-CN"/>
                    </w:rPr>
                  </w:pPr>
                </w:p>
              </w:tc>
            </w:tr>
            <w:tr w14:paraId="54753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019B0BC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8</w:t>
                  </w:r>
                </w:p>
              </w:tc>
              <w:tc>
                <w:tcPr>
                  <w:tcW w:w="596" w:type="pct"/>
                  <w:vAlign w:val="center"/>
                </w:tcPr>
                <w:p w14:paraId="7834936F">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SW72</w:t>
                  </w:r>
                </w:p>
                <w:p w14:paraId="28C934C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工程垃圾</w:t>
                  </w:r>
                </w:p>
              </w:tc>
              <w:tc>
                <w:tcPr>
                  <w:tcW w:w="940" w:type="pct"/>
                  <w:vAlign w:val="center"/>
                </w:tcPr>
                <w:p w14:paraId="48B4DDC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工程垃圾</w:t>
                  </w:r>
                </w:p>
              </w:tc>
              <w:tc>
                <w:tcPr>
                  <w:tcW w:w="769" w:type="pct"/>
                  <w:vAlign w:val="center"/>
                </w:tcPr>
                <w:p w14:paraId="5A1318DE">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15000</w:t>
                  </w:r>
                </w:p>
              </w:tc>
              <w:tc>
                <w:tcPr>
                  <w:tcW w:w="594" w:type="pct"/>
                  <w:vAlign w:val="center"/>
                </w:tcPr>
                <w:p w14:paraId="0359A68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15000</w:t>
                  </w:r>
                </w:p>
              </w:tc>
              <w:tc>
                <w:tcPr>
                  <w:tcW w:w="1466" w:type="pct"/>
                  <w:vAlign w:val="center"/>
                </w:tcPr>
                <w:p w14:paraId="27E0962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参考“</w:t>
                  </w:r>
                  <w:r>
                    <w:rPr>
                      <w:rFonts w:hint="default" w:ascii="Times New Roman" w:hAnsi="Times New Roman" w:eastAsia="宋体" w:cs="Times New Roman"/>
                      <w:color w:val="auto"/>
                      <w:kern w:val="2"/>
                      <w:sz w:val="21"/>
                      <w:szCs w:val="24"/>
                      <w:highlight w:val="none"/>
                      <w:lang w:val="en-US" w:eastAsia="zh-CN" w:bidi="ar-SA"/>
                    </w:rPr>
                    <w:t>纸塑铝复合材料</w:t>
                  </w:r>
                  <w:r>
                    <w:rPr>
                      <w:rFonts w:hint="eastAsia" w:ascii="Times New Roman" w:hAnsi="Times New Roman" w:eastAsia="宋体" w:cs="Times New Roman"/>
                      <w:color w:val="auto"/>
                      <w:kern w:val="2"/>
                      <w:sz w:val="21"/>
                      <w:szCs w:val="24"/>
                      <w:highlight w:val="none"/>
                      <w:lang w:val="en-US" w:eastAsia="zh-CN" w:bidi="ar-SA"/>
                    </w:rPr>
                    <w:t>”：</w:t>
                  </w:r>
                </w:p>
                <w:p w14:paraId="613BF65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490g/t-原料</w:t>
                  </w:r>
                </w:p>
              </w:tc>
              <w:tc>
                <w:tcPr>
                  <w:tcW w:w="475" w:type="pct"/>
                  <w:vAlign w:val="center"/>
                </w:tcPr>
                <w:p w14:paraId="220DDBC3">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7.35</w:t>
                  </w:r>
                </w:p>
              </w:tc>
            </w:tr>
            <w:tr w14:paraId="61153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37078FF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9</w:t>
                  </w:r>
                </w:p>
              </w:tc>
              <w:tc>
                <w:tcPr>
                  <w:tcW w:w="596" w:type="pct"/>
                  <w:vMerge w:val="restart"/>
                  <w:vAlign w:val="center"/>
                </w:tcPr>
                <w:p w14:paraId="33BF79B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eastAsia="Arial" w:cs="Times New Roman"/>
                      <w:color w:val="auto"/>
                      <w:highlight w:val="none"/>
                      <w:lang w:val="en-US" w:eastAsia="zh-CN"/>
                    </w:rPr>
                    <w:t xml:space="preserve">SW73 </w:t>
                  </w:r>
                </w:p>
                <w:p w14:paraId="74F4D571">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eastAsia" w:ascii="Times New Roman" w:hAnsi="Times New Roman" w:eastAsia="Arial" w:cs="Times New Roman"/>
                      <w:color w:val="auto"/>
                      <w:highlight w:val="none"/>
                      <w:lang w:val="en-US" w:eastAsia="zh-CN"/>
                    </w:rPr>
                    <w:t>拆除垃圾</w:t>
                  </w:r>
                </w:p>
              </w:tc>
              <w:tc>
                <w:tcPr>
                  <w:tcW w:w="940" w:type="pct"/>
                  <w:vAlign w:val="center"/>
                </w:tcPr>
                <w:p w14:paraId="50DCB1F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各类建筑物、构筑物等拆除过程中产生的木材弃料</w:t>
                  </w:r>
                </w:p>
              </w:tc>
              <w:tc>
                <w:tcPr>
                  <w:tcW w:w="769" w:type="pct"/>
                  <w:vAlign w:val="center"/>
                </w:tcPr>
                <w:p w14:paraId="0DE4ABC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5000</w:t>
                  </w:r>
                </w:p>
              </w:tc>
              <w:tc>
                <w:tcPr>
                  <w:tcW w:w="594" w:type="pct"/>
                  <w:vMerge w:val="restart"/>
                  <w:vAlign w:val="center"/>
                </w:tcPr>
                <w:p w14:paraId="7F1D8DB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30000</w:t>
                  </w:r>
                </w:p>
              </w:tc>
              <w:tc>
                <w:tcPr>
                  <w:tcW w:w="1466" w:type="pct"/>
                  <w:vMerge w:val="restart"/>
                  <w:vAlign w:val="center"/>
                </w:tcPr>
                <w:p w14:paraId="1F1DDF1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“木材边角料”：</w:t>
                  </w:r>
                </w:p>
                <w:p w14:paraId="62D75DA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243</w:t>
                  </w:r>
                  <w:r>
                    <w:rPr>
                      <w:rFonts w:hint="default" w:ascii="Times New Roman" w:hAnsi="Times New Roman" w:eastAsia="宋体" w:cs="Times New Roman"/>
                      <w:color w:val="auto"/>
                      <w:kern w:val="2"/>
                      <w:sz w:val="21"/>
                      <w:szCs w:val="24"/>
                      <w:highlight w:val="none"/>
                      <w:lang w:val="en-US" w:eastAsia="zh-CN" w:bidi="ar-SA"/>
                    </w:rPr>
                    <w:t>g/t-原料</w:t>
                  </w:r>
                </w:p>
              </w:tc>
              <w:tc>
                <w:tcPr>
                  <w:tcW w:w="475" w:type="pct"/>
                  <w:vMerge w:val="restart"/>
                  <w:vAlign w:val="center"/>
                </w:tcPr>
                <w:p w14:paraId="01F199D6">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7.29</w:t>
                  </w:r>
                </w:p>
              </w:tc>
            </w:tr>
            <w:tr w14:paraId="36864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226C2FD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0C5D51F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4D26CD1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各类建筑物、构筑物等拆除过程中产生的塑料弃料</w:t>
                  </w:r>
                </w:p>
              </w:tc>
              <w:tc>
                <w:tcPr>
                  <w:tcW w:w="769" w:type="pct"/>
                  <w:vAlign w:val="center"/>
                </w:tcPr>
                <w:p w14:paraId="764F889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10000</w:t>
                  </w:r>
                </w:p>
              </w:tc>
              <w:tc>
                <w:tcPr>
                  <w:tcW w:w="594" w:type="pct"/>
                  <w:vMerge w:val="continue"/>
                  <w:vAlign w:val="center"/>
                </w:tcPr>
                <w:p w14:paraId="01EA19B2">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0C6171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98137AE">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508F1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15992CAA">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6A10BCE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01E5A3C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以上之外的各类建筑物、构筑物等拆除过程中产生的其他弃料</w:t>
                  </w:r>
                </w:p>
              </w:tc>
              <w:tc>
                <w:tcPr>
                  <w:tcW w:w="769" w:type="pct"/>
                  <w:vAlign w:val="center"/>
                </w:tcPr>
                <w:p w14:paraId="42A2F489">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15000</w:t>
                  </w:r>
                </w:p>
              </w:tc>
              <w:tc>
                <w:tcPr>
                  <w:tcW w:w="594" w:type="pct"/>
                  <w:vMerge w:val="continue"/>
                  <w:vAlign w:val="center"/>
                </w:tcPr>
                <w:p w14:paraId="16E0D38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1E750CD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4856DA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2EC66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158943C1">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10</w:t>
                  </w:r>
                </w:p>
              </w:tc>
              <w:tc>
                <w:tcPr>
                  <w:tcW w:w="596" w:type="pct"/>
                  <w:vAlign w:val="center"/>
                </w:tcPr>
                <w:p w14:paraId="6F80D17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SW74</w:t>
                  </w:r>
                </w:p>
                <w:p w14:paraId="5C99A01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装修垃圾</w:t>
                  </w:r>
                </w:p>
              </w:tc>
              <w:tc>
                <w:tcPr>
                  <w:tcW w:w="940" w:type="pct"/>
                  <w:vAlign w:val="center"/>
                </w:tcPr>
                <w:p w14:paraId="416688E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装修垃圾</w:t>
                  </w:r>
                </w:p>
              </w:tc>
              <w:tc>
                <w:tcPr>
                  <w:tcW w:w="769" w:type="pct"/>
                  <w:vAlign w:val="center"/>
                </w:tcPr>
                <w:p w14:paraId="1E8980B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5000</w:t>
                  </w:r>
                </w:p>
              </w:tc>
              <w:tc>
                <w:tcPr>
                  <w:tcW w:w="594" w:type="pct"/>
                  <w:vAlign w:val="center"/>
                </w:tcPr>
                <w:p w14:paraId="0FA2FDB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5000</w:t>
                  </w:r>
                </w:p>
              </w:tc>
              <w:tc>
                <w:tcPr>
                  <w:tcW w:w="1466" w:type="pct"/>
                  <w:vAlign w:val="center"/>
                </w:tcPr>
                <w:p w14:paraId="0657053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参考“</w:t>
                  </w:r>
                  <w:r>
                    <w:rPr>
                      <w:rFonts w:hint="default" w:ascii="Times New Roman" w:hAnsi="Times New Roman" w:eastAsia="宋体" w:cs="Times New Roman"/>
                      <w:color w:val="auto"/>
                      <w:kern w:val="2"/>
                      <w:sz w:val="21"/>
                      <w:szCs w:val="24"/>
                      <w:highlight w:val="none"/>
                      <w:lang w:val="en-US" w:eastAsia="zh-CN" w:bidi="ar-SA"/>
                    </w:rPr>
                    <w:t>纸塑铝复合材料</w:t>
                  </w:r>
                  <w:r>
                    <w:rPr>
                      <w:rFonts w:hint="eastAsia" w:ascii="Times New Roman" w:hAnsi="Times New Roman" w:eastAsia="宋体" w:cs="Times New Roman"/>
                      <w:color w:val="auto"/>
                      <w:kern w:val="2"/>
                      <w:sz w:val="21"/>
                      <w:szCs w:val="24"/>
                      <w:highlight w:val="none"/>
                      <w:lang w:val="en-US" w:eastAsia="zh-CN" w:bidi="ar-SA"/>
                    </w:rPr>
                    <w:t>”：</w:t>
                  </w:r>
                </w:p>
                <w:p w14:paraId="017A101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490g/t-原料</w:t>
                  </w:r>
                </w:p>
              </w:tc>
              <w:tc>
                <w:tcPr>
                  <w:tcW w:w="475" w:type="pct"/>
                  <w:vAlign w:val="center"/>
                </w:tcPr>
                <w:p w14:paraId="2514B254">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2.45</w:t>
                  </w:r>
                </w:p>
              </w:tc>
            </w:tr>
            <w:tr w14:paraId="44869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restart"/>
                  <w:vAlign w:val="center"/>
                </w:tcPr>
                <w:p w14:paraId="71FBFEB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11</w:t>
                  </w:r>
                </w:p>
              </w:tc>
              <w:tc>
                <w:tcPr>
                  <w:tcW w:w="596" w:type="pct"/>
                  <w:vMerge w:val="restart"/>
                  <w:vAlign w:val="center"/>
                </w:tcPr>
                <w:p w14:paraId="15098828">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SW80</w:t>
                  </w:r>
                </w:p>
                <w:p w14:paraId="530B623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农业废物</w:t>
                  </w:r>
                </w:p>
              </w:tc>
              <w:tc>
                <w:tcPr>
                  <w:tcW w:w="940" w:type="pct"/>
                  <w:vAlign w:val="center"/>
                </w:tcPr>
                <w:p w14:paraId="055053D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废弃农用薄膜</w:t>
                  </w:r>
                </w:p>
              </w:tc>
              <w:tc>
                <w:tcPr>
                  <w:tcW w:w="769" w:type="pct"/>
                  <w:vAlign w:val="center"/>
                </w:tcPr>
                <w:p w14:paraId="2E93603B">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5000</w:t>
                  </w:r>
                </w:p>
              </w:tc>
              <w:tc>
                <w:tcPr>
                  <w:tcW w:w="594" w:type="pct"/>
                  <w:vMerge w:val="restart"/>
                  <w:vAlign w:val="center"/>
                </w:tcPr>
                <w:p w14:paraId="71A43D85">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30000</w:t>
                  </w:r>
                </w:p>
              </w:tc>
              <w:tc>
                <w:tcPr>
                  <w:tcW w:w="1466" w:type="pct"/>
                  <w:vMerge w:val="restart"/>
                  <w:vAlign w:val="center"/>
                </w:tcPr>
                <w:p w14:paraId="4C8D793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“薄膜塑料”：</w:t>
                  </w:r>
                </w:p>
                <w:p w14:paraId="2FE0118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475</w:t>
                  </w:r>
                  <w:r>
                    <w:rPr>
                      <w:rFonts w:hint="default" w:ascii="Times New Roman" w:hAnsi="Times New Roman" w:eastAsia="宋体" w:cs="Times New Roman"/>
                      <w:color w:val="auto"/>
                      <w:kern w:val="2"/>
                      <w:sz w:val="21"/>
                      <w:szCs w:val="24"/>
                      <w:highlight w:val="none"/>
                      <w:lang w:val="en-US" w:eastAsia="zh-CN" w:bidi="ar-SA"/>
                    </w:rPr>
                    <w:t>g/t-原料</w:t>
                  </w:r>
                </w:p>
              </w:tc>
              <w:tc>
                <w:tcPr>
                  <w:tcW w:w="475" w:type="pct"/>
                  <w:vMerge w:val="restart"/>
                  <w:vAlign w:val="center"/>
                </w:tcPr>
                <w:p w14:paraId="6336EB75">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14.25</w:t>
                  </w:r>
                </w:p>
              </w:tc>
            </w:tr>
            <w:tr w14:paraId="796A0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7D14367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32BCC38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35491E7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作物秸秆</w:t>
                  </w:r>
                </w:p>
              </w:tc>
              <w:tc>
                <w:tcPr>
                  <w:tcW w:w="769" w:type="pct"/>
                  <w:vAlign w:val="center"/>
                </w:tcPr>
                <w:p w14:paraId="229D9FFF">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5000</w:t>
                  </w:r>
                </w:p>
              </w:tc>
              <w:tc>
                <w:tcPr>
                  <w:tcW w:w="594" w:type="pct"/>
                  <w:vMerge w:val="continue"/>
                  <w:vAlign w:val="center"/>
                </w:tcPr>
                <w:p w14:paraId="40CB1F5E">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5999F0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7A56CAF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4E051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16C456F1">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7D9AF004">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0A07EF4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废弃农业投入品包装物</w:t>
                  </w:r>
                </w:p>
              </w:tc>
              <w:tc>
                <w:tcPr>
                  <w:tcW w:w="769" w:type="pct"/>
                  <w:vAlign w:val="center"/>
                </w:tcPr>
                <w:p w14:paraId="4B03B001">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10000</w:t>
                  </w:r>
                </w:p>
              </w:tc>
              <w:tc>
                <w:tcPr>
                  <w:tcW w:w="594" w:type="pct"/>
                  <w:vMerge w:val="continue"/>
                  <w:vAlign w:val="center"/>
                </w:tcPr>
                <w:p w14:paraId="7F763494">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1807E89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2A15E56">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23625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Merge w:val="continue"/>
                  <w:vAlign w:val="center"/>
                </w:tcPr>
                <w:p w14:paraId="60F0C71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596" w:type="pct"/>
                  <w:vMerge w:val="continue"/>
                  <w:vAlign w:val="center"/>
                </w:tcPr>
                <w:p w14:paraId="68DA8369">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p>
              </w:tc>
              <w:tc>
                <w:tcPr>
                  <w:tcW w:w="940" w:type="pct"/>
                  <w:vAlign w:val="center"/>
                </w:tcPr>
                <w:p w14:paraId="0D5AB37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其他农业废物</w:t>
                  </w:r>
                </w:p>
              </w:tc>
              <w:tc>
                <w:tcPr>
                  <w:tcW w:w="769" w:type="pct"/>
                  <w:vAlign w:val="center"/>
                </w:tcPr>
                <w:p w14:paraId="1C104B4D">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10000</w:t>
                  </w:r>
                </w:p>
              </w:tc>
              <w:tc>
                <w:tcPr>
                  <w:tcW w:w="594" w:type="pct"/>
                  <w:vMerge w:val="continue"/>
                  <w:vAlign w:val="center"/>
                </w:tcPr>
                <w:p w14:paraId="339AC04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p>
              </w:tc>
              <w:tc>
                <w:tcPr>
                  <w:tcW w:w="1466" w:type="pct"/>
                  <w:vMerge w:val="continue"/>
                  <w:vAlign w:val="center"/>
                </w:tcPr>
                <w:p w14:paraId="244F7B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p>
              </w:tc>
              <w:tc>
                <w:tcPr>
                  <w:tcW w:w="475" w:type="pct"/>
                  <w:vMerge w:val="continue"/>
                  <w:vAlign w:val="center"/>
                </w:tcPr>
                <w:p w14:paraId="136BC83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sz w:val="21"/>
                      <w:szCs w:val="21"/>
                      <w:highlight w:val="none"/>
                      <w:lang w:eastAsia="zh-CN"/>
                    </w:rPr>
                  </w:pPr>
                </w:p>
              </w:tc>
            </w:tr>
            <w:tr w14:paraId="3D5F9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1C39FCA6">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12</w:t>
                  </w:r>
                </w:p>
              </w:tc>
              <w:tc>
                <w:tcPr>
                  <w:tcW w:w="596" w:type="pct"/>
                  <w:vAlign w:val="center"/>
                </w:tcPr>
                <w:p w14:paraId="2283A1B0">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SW81</w:t>
                  </w:r>
                </w:p>
                <w:p w14:paraId="27E13602">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林业废物</w:t>
                  </w:r>
                </w:p>
              </w:tc>
              <w:tc>
                <w:tcPr>
                  <w:tcW w:w="940" w:type="pct"/>
                  <w:vAlign w:val="center"/>
                </w:tcPr>
                <w:p w14:paraId="60882BE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林业废物</w:t>
                  </w:r>
                </w:p>
              </w:tc>
              <w:tc>
                <w:tcPr>
                  <w:tcW w:w="769" w:type="pct"/>
                  <w:vAlign w:val="center"/>
                </w:tcPr>
                <w:p w14:paraId="7EAD2208">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Arial" w:cs="Times New Roman"/>
                      <w:color w:val="auto"/>
                      <w:highlight w:val="none"/>
                      <w:lang w:eastAsia="zh-CN"/>
                    </w:rPr>
                    <w:t>10000</w:t>
                  </w:r>
                </w:p>
              </w:tc>
              <w:tc>
                <w:tcPr>
                  <w:tcW w:w="594" w:type="pct"/>
                  <w:vAlign w:val="center"/>
                </w:tcPr>
                <w:p w14:paraId="6623A420">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10000</w:t>
                  </w:r>
                </w:p>
              </w:tc>
              <w:tc>
                <w:tcPr>
                  <w:tcW w:w="1466" w:type="pct"/>
                  <w:vAlign w:val="center"/>
                </w:tcPr>
                <w:p w14:paraId="7875FDBC">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“薄膜塑料”：</w:t>
                  </w:r>
                </w:p>
                <w:p w14:paraId="11B07E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475</w:t>
                  </w:r>
                  <w:r>
                    <w:rPr>
                      <w:rFonts w:hint="default" w:ascii="Times New Roman" w:hAnsi="Times New Roman" w:eastAsia="宋体" w:cs="Times New Roman"/>
                      <w:color w:val="auto"/>
                      <w:kern w:val="2"/>
                      <w:sz w:val="21"/>
                      <w:szCs w:val="24"/>
                      <w:highlight w:val="none"/>
                      <w:lang w:val="en-US" w:eastAsia="zh-CN" w:bidi="ar-SA"/>
                    </w:rPr>
                    <w:t>g/t-原料</w:t>
                  </w:r>
                </w:p>
              </w:tc>
              <w:tc>
                <w:tcPr>
                  <w:tcW w:w="475" w:type="pct"/>
                  <w:vAlign w:val="center"/>
                </w:tcPr>
                <w:p w14:paraId="34E5B049">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4.75</w:t>
                  </w:r>
                </w:p>
              </w:tc>
            </w:tr>
            <w:tr w14:paraId="511D8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47468F1D">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13</w:t>
                  </w:r>
                </w:p>
              </w:tc>
              <w:tc>
                <w:tcPr>
                  <w:tcW w:w="596" w:type="pct"/>
                  <w:vAlign w:val="center"/>
                </w:tcPr>
                <w:p w14:paraId="54E5417F">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SW83</w:t>
                  </w:r>
                </w:p>
                <w:p w14:paraId="6FFAE19E">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eastAsia="zh-CN"/>
                    </w:rPr>
                  </w:pPr>
                  <w:r>
                    <w:rPr>
                      <w:rFonts w:hint="default" w:ascii="Times New Roman" w:hAnsi="Times New Roman" w:eastAsia="Arial" w:cs="Times New Roman"/>
                      <w:color w:val="auto"/>
                      <w:highlight w:val="none"/>
                      <w:lang w:eastAsia="zh-CN"/>
                    </w:rPr>
                    <w:t>渔业废物</w:t>
                  </w:r>
                </w:p>
                <w:p w14:paraId="5F50E677">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auto"/>
                      <w:highlight w:val="none"/>
                      <w:lang w:eastAsia="zh-CN"/>
                    </w:rPr>
                  </w:pPr>
                </w:p>
              </w:tc>
              <w:tc>
                <w:tcPr>
                  <w:tcW w:w="940" w:type="pct"/>
                  <w:vAlign w:val="center"/>
                </w:tcPr>
                <w:p w14:paraId="19B321C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渔业废物</w:t>
                  </w:r>
                </w:p>
              </w:tc>
              <w:tc>
                <w:tcPr>
                  <w:tcW w:w="769" w:type="pct"/>
                  <w:vAlign w:val="center"/>
                </w:tcPr>
                <w:p w14:paraId="212DB53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Arial" w:cs="Times New Roman"/>
                      <w:color w:val="auto"/>
                      <w:highlight w:val="none"/>
                      <w:lang w:val="en-US" w:eastAsia="zh-CN"/>
                    </w:rPr>
                    <w:t>2100</w:t>
                  </w:r>
                </w:p>
              </w:tc>
              <w:tc>
                <w:tcPr>
                  <w:tcW w:w="594" w:type="pct"/>
                  <w:vAlign w:val="center"/>
                </w:tcPr>
                <w:p w14:paraId="7B7AFC1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2100</w:t>
                  </w:r>
                </w:p>
              </w:tc>
              <w:tc>
                <w:tcPr>
                  <w:tcW w:w="1466" w:type="pct"/>
                  <w:vAlign w:val="center"/>
                </w:tcPr>
                <w:p w14:paraId="48BCB83A">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参考</w:t>
                  </w:r>
                  <w:r>
                    <w:rPr>
                      <w:rFonts w:hint="eastAsia" w:ascii="Times New Roman" w:hAnsi="Times New Roman" w:eastAsia="宋体" w:cs="Times New Roman"/>
                      <w:color w:val="auto"/>
                      <w:kern w:val="2"/>
                      <w:sz w:val="21"/>
                      <w:szCs w:val="24"/>
                      <w:highlight w:val="none"/>
                      <w:lang w:val="en-US" w:eastAsia="zh-CN" w:bidi="ar-SA"/>
                    </w:rPr>
                    <w:t>“薄膜塑料”：</w:t>
                  </w:r>
                </w:p>
                <w:p w14:paraId="2F6A3825">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475</w:t>
                  </w:r>
                  <w:r>
                    <w:rPr>
                      <w:rFonts w:hint="default" w:ascii="Times New Roman" w:hAnsi="Times New Roman" w:eastAsia="宋体" w:cs="Times New Roman"/>
                      <w:color w:val="auto"/>
                      <w:kern w:val="2"/>
                      <w:sz w:val="21"/>
                      <w:szCs w:val="24"/>
                      <w:highlight w:val="none"/>
                      <w:lang w:val="en-US" w:eastAsia="zh-CN" w:bidi="ar-SA"/>
                    </w:rPr>
                    <w:t>g/t-原料</w:t>
                  </w:r>
                </w:p>
              </w:tc>
              <w:tc>
                <w:tcPr>
                  <w:tcW w:w="475" w:type="pct"/>
                  <w:vAlign w:val="center"/>
                </w:tcPr>
                <w:p w14:paraId="2B95DB42">
                  <w:pPr>
                    <w:keepNext w:val="0"/>
                    <w:keepLines w:val="0"/>
                    <w:widowControl/>
                    <w:suppressLineNumbers w:val="0"/>
                    <w:jc w:val="center"/>
                    <w:textAlignment w:val="center"/>
                    <w:rPr>
                      <w:rFonts w:hint="default" w:ascii="Times New Roman" w:hAnsi="Times New Roman" w:eastAsia="Arial"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1.00</w:t>
                  </w:r>
                </w:p>
              </w:tc>
            </w:tr>
            <w:tr w14:paraId="219C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 w:type="pct"/>
                  <w:vAlign w:val="center"/>
                </w:tcPr>
                <w:p w14:paraId="4BC3798C">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14</w:t>
                  </w:r>
                </w:p>
              </w:tc>
              <w:tc>
                <w:tcPr>
                  <w:tcW w:w="596" w:type="pct"/>
                  <w:vAlign w:val="center"/>
                </w:tcPr>
                <w:p w14:paraId="0C959C6B">
                  <w:pPr>
                    <w:keepNext w:val="0"/>
                    <w:keepLines w:val="0"/>
                    <w:pageBreakBefore w:val="0"/>
                    <w:widowControl/>
                    <w:kinsoku w:val="0"/>
                    <w:wordWrap/>
                    <w:overflowPunct/>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合计</w:t>
                  </w:r>
                </w:p>
              </w:tc>
              <w:tc>
                <w:tcPr>
                  <w:tcW w:w="1710" w:type="pct"/>
                  <w:gridSpan w:val="2"/>
                  <w:vAlign w:val="center"/>
                </w:tcPr>
                <w:p w14:paraId="355135E7">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原料总量</w:t>
                  </w:r>
                </w:p>
              </w:tc>
              <w:tc>
                <w:tcPr>
                  <w:tcW w:w="594" w:type="pct"/>
                  <w:vAlign w:val="center"/>
                </w:tcPr>
                <w:p w14:paraId="051F330C">
                  <w:pPr>
                    <w:keepNext w:val="0"/>
                    <w:keepLines w:val="0"/>
                    <w:pageBreakBefore w:val="0"/>
                    <w:widowControl/>
                    <w:kinsoku w:val="0"/>
                    <w:wordWrap/>
                    <w:overflowPunct/>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auto"/>
                      <w:highlight w:val="none"/>
                      <w:lang w:val="en-US" w:eastAsia="zh-CN"/>
                    </w:rPr>
                  </w:pPr>
                  <w:r>
                    <w:rPr>
                      <w:rFonts w:hint="eastAsia" w:ascii="Times New Roman" w:hAnsi="Times New Roman" w:eastAsia="Arial" w:cs="Times New Roman"/>
                      <w:color w:val="auto"/>
                      <w:highlight w:val="none"/>
                      <w:lang w:val="en-US" w:eastAsia="zh-CN"/>
                    </w:rPr>
                    <w:t>180</w:t>
                  </w:r>
                  <w:r>
                    <w:rPr>
                      <w:rFonts w:hint="eastAsia" w:eastAsia="Arial" w:cs="Times New Roman"/>
                      <w:color w:val="auto"/>
                      <w:highlight w:val="none"/>
                      <w:lang w:val="en-US" w:eastAsia="zh-CN"/>
                    </w:rPr>
                    <w:t>1</w:t>
                  </w:r>
                  <w:r>
                    <w:rPr>
                      <w:rFonts w:hint="eastAsia" w:ascii="Times New Roman" w:hAnsi="Times New Roman" w:eastAsia="Arial" w:cs="Times New Roman"/>
                      <w:color w:val="auto"/>
                      <w:highlight w:val="none"/>
                      <w:lang w:val="en-US" w:eastAsia="zh-CN"/>
                    </w:rPr>
                    <w:t>00</w:t>
                  </w:r>
                </w:p>
              </w:tc>
              <w:tc>
                <w:tcPr>
                  <w:tcW w:w="1466" w:type="pct"/>
                  <w:vAlign w:val="center"/>
                </w:tcPr>
                <w:p w14:paraId="1D73CD63">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颗粒物产生量</w:t>
                  </w:r>
                </w:p>
              </w:tc>
              <w:tc>
                <w:tcPr>
                  <w:tcW w:w="475" w:type="pct"/>
                  <w:vAlign w:val="center"/>
                </w:tcPr>
                <w:p w14:paraId="01911B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74.215</w:t>
                  </w:r>
                </w:p>
              </w:tc>
            </w:tr>
          </w:tbl>
          <w:p w14:paraId="3A45B69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w w:val="100"/>
                <w:kern w:val="2"/>
                <w:sz w:val="24"/>
                <w:szCs w:val="24"/>
                <w:highlight w:val="none"/>
                <w:lang w:val="en-US" w:eastAsia="zh-CN" w:bidi="ar-SA"/>
              </w:rPr>
            </w:pPr>
            <w:r>
              <w:rPr>
                <w:rFonts w:hint="eastAsia" w:ascii="Times New Roman" w:hAnsi="Times New Roman" w:eastAsia="宋体" w:cs="Times New Roman"/>
                <w:color w:val="auto"/>
                <w:w w:val="100"/>
                <w:kern w:val="2"/>
                <w:sz w:val="24"/>
                <w:szCs w:val="24"/>
                <w:highlight w:val="none"/>
                <w:lang w:val="en-US" w:eastAsia="zh-CN" w:bidi="ar-SA"/>
              </w:rPr>
              <w:t>结合上表，</w:t>
            </w:r>
            <w:r>
              <w:rPr>
                <w:rFonts w:hint="eastAsia" w:cs="Times New Roman"/>
                <w:color w:val="auto"/>
                <w:kern w:val="0"/>
                <w:sz w:val="24"/>
                <w:szCs w:val="24"/>
                <w:highlight w:val="none"/>
                <w:lang w:val="en-US" w:eastAsia="zh-CN" w:bidi="ar-SA"/>
              </w:rPr>
              <w:t>上料、破碎和打包</w:t>
            </w:r>
            <w:r>
              <w:rPr>
                <w:rFonts w:hint="eastAsia" w:ascii="Times New Roman" w:hAnsi="Times New Roman" w:eastAsia="宋体" w:cs="Times New Roman"/>
                <w:color w:val="auto"/>
                <w:kern w:val="0"/>
                <w:sz w:val="24"/>
                <w:szCs w:val="24"/>
                <w:highlight w:val="none"/>
                <w:lang w:val="en-US" w:eastAsia="zh-CN" w:bidi="ar-SA"/>
              </w:rPr>
              <w:t>工序</w:t>
            </w:r>
            <w:r>
              <w:rPr>
                <w:rFonts w:hint="eastAsia" w:ascii="Times New Roman" w:hAnsi="Times New Roman" w:eastAsia="宋体" w:cs="Times New Roman"/>
                <w:color w:val="auto"/>
                <w:w w:val="100"/>
                <w:kern w:val="2"/>
                <w:sz w:val="24"/>
                <w:szCs w:val="24"/>
                <w:highlight w:val="none"/>
                <w:lang w:val="en-US" w:eastAsia="zh-CN" w:bidi="ar-SA"/>
              </w:rPr>
              <w:t>颗粒物产生量为</w:t>
            </w:r>
            <w:r>
              <w:rPr>
                <w:rFonts w:hint="eastAsia" w:cs="Times New Roman"/>
                <w:color w:val="auto"/>
                <w:w w:val="100"/>
                <w:kern w:val="2"/>
                <w:sz w:val="24"/>
                <w:szCs w:val="24"/>
                <w:highlight w:val="none"/>
                <w:lang w:val="en-US" w:eastAsia="zh-CN" w:bidi="ar-SA"/>
              </w:rPr>
              <w:t>74.215</w:t>
            </w:r>
            <w:r>
              <w:rPr>
                <w:rFonts w:hint="eastAsia" w:ascii="Times New Roman" w:hAnsi="Times New Roman" w:eastAsia="宋体" w:cs="Times New Roman"/>
                <w:color w:val="auto"/>
                <w:w w:val="100"/>
                <w:kern w:val="2"/>
                <w:sz w:val="24"/>
                <w:szCs w:val="24"/>
                <w:highlight w:val="none"/>
                <w:lang w:val="en-US" w:eastAsia="zh-CN" w:bidi="ar-SA"/>
              </w:rPr>
              <w:t>t/a，收集效率为</w:t>
            </w:r>
            <w:r>
              <w:rPr>
                <w:rFonts w:hint="eastAsia" w:cs="Times New Roman"/>
                <w:color w:val="auto"/>
                <w:w w:val="100"/>
                <w:kern w:val="2"/>
                <w:sz w:val="24"/>
                <w:szCs w:val="24"/>
                <w:highlight w:val="none"/>
                <w:lang w:val="en-US" w:eastAsia="zh-CN" w:bidi="ar-SA"/>
              </w:rPr>
              <w:t>60</w:t>
            </w:r>
            <w:r>
              <w:rPr>
                <w:rFonts w:hint="eastAsia" w:ascii="Times New Roman" w:hAnsi="Times New Roman" w:eastAsia="宋体" w:cs="Times New Roman"/>
                <w:color w:val="auto"/>
                <w:w w:val="100"/>
                <w:kern w:val="2"/>
                <w:sz w:val="24"/>
                <w:szCs w:val="24"/>
                <w:highlight w:val="none"/>
                <w:lang w:val="en-US" w:eastAsia="zh-CN" w:bidi="ar-SA"/>
              </w:rPr>
              <w:t>%。</w:t>
            </w:r>
          </w:p>
          <w:p w14:paraId="4B4BF0D4">
            <w:pPr>
              <w:numPr>
                <w:ilvl w:val="0"/>
                <w:numId w:val="0"/>
              </w:num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表4-</w:t>
            </w:r>
            <w:r>
              <w:rPr>
                <w:rFonts w:hint="eastAsia" w:ascii="Times New Roman" w:hAnsi="Times New Roman" w:cs="Times New Roman"/>
                <w:b/>
                <w:bCs/>
                <w:color w:val="auto"/>
                <w:sz w:val="21"/>
                <w:szCs w:val="21"/>
                <w:highlight w:val="none"/>
                <w:lang w:val="en-US" w:eastAsia="zh-CN"/>
              </w:rPr>
              <w:t>2</w:t>
            </w:r>
            <w:r>
              <w:rPr>
                <w:rFonts w:hint="default" w:ascii="Times New Roman" w:hAnsi="Times New Roman" w:cs="Times New Roman"/>
                <w:b/>
                <w:bCs/>
                <w:color w:val="auto"/>
                <w:sz w:val="21"/>
                <w:szCs w:val="21"/>
                <w:highlight w:val="none"/>
                <w:lang w:val="en-US" w:eastAsia="zh-CN"/>
              </w:rPr>
              <w:t xml:space="preserve"> 废气产排情况一览表</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2"/>
              <w:gridCol w:w="781"/>
              <w:gridCol w:w="680"/>
              <w:gridCol w:w="806"/>
              <w:gridCol w:w="683"/>
              <w:gridCol w:w="750"/>
              <w:gridCol w:w="1680"/>
              <w:gridCol w:w="720"/>
              <w:gridCol w:w="690"/>
              <w:gridCol w:w="832"/>
            </w:tblGrid>
            <w:tr w14:paraId="1A706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0" w:type="pct"/>
                  <w:vMerge w:val="restart"/>
                  <w:noWrap w:val="0"/>
                  <w:vAlign w:val="center"/>
                </w:tcPr>
                <w:p w14:paraId="485E5CD5">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污染源</w:t>
                  </w:r>
                </w:p>
              </w:tc>
              <w:tc>
                <w:tcPr>
                  <w:tcW w:w="470" w:type="pct"/>
                  <w:vMerge w:val="restart"/>
                  <w:noWrap w:val="0"/>
                  <w:vAlign w:val="center"/>
                </w:tcPr>
                <w:p w14:paraId="294F653A">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污染物</w:t>
                  </w:r>
                </w:p>
              </w:tc>
              <w:tc>
                <w:tcPr>
                  <w:tcW w:w="409" w:type="pct"/>
                  <w:vMerge w:val="restart"/>
                  <w:noWrap w:val="0"/>
                  <w:vAlign w:val="center"/>
                </w:tcPr>
                <w:p w14:paraId="63B107F0">
                  <w:pPr>
                    <w:widowControl/>
                    <w:adjustRightInd w:val="0"/>
                    <w:snapToGrid w:val="0"/>
                    <w:jc w:val="center"/>
                    <w:rPr>
                      <w:rFonts w:hint="default" w:ascii="Times New Roman" w:hAnsi="Times New Roman"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排放</w:t>
                  </w:r>
                </w:p>
                <w:p w14:paraId="5C65D196">
                  <w:pPr>
                    <w:widowControl/>
                    <w:adjustRightInd w:val="0"/>
                    <w:snapToGrid w:val="0"/>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形式</w:t>
                  </w:r>
                </w:p>
              </w:tc>
              <w:tc>
                <w:tcPr>
                  <w:tcW w:w="1348" w:type="pct"/>
                  <w:gridSpan w:val="3"/>
                  <w:noWrap w:val="0"/>
                  <w:vAlign w:val="center"/>
                </w:tcPr>
                <w:p w14:paraId="2D19A671">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产生情况</w:t>
                  </w:r>
                </w:p>
              </w:tc>
              <w:tc>
                <w:tcPr>
                  <w:tcW w:w="1011" w:type="pct"/>
                  <w:vMerge w:val="restart"/>
                  <w:noWrap w:val="0"/>
                  <w:vAlign w:val="center"/>
                </w:tcPr>
                <w:p w14:paraId="729A48CC">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处理措施</w:t>
                  </w:r>
                </w:p>
                <w:p w14:paraId="16270B7A">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及效率</w:t>
                  </w:r>
                </w:p>
              </w:tc>
              <w:tc>
                <w:tcPr>
                  <w:tcW w:w="1349" w:type="pct"/>
                  <w:gridSpan w:val="3"/>
                  <w:noWrap w:val="0"/>
                  <w:vAlign w:val="center"/>
                </w:tcPr>
                <w:p w14:paraId="698D56DF">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排放情况</w:t>
                  </w:r>
                </w:p>
              </w:tc>
            </w:tr>
            <w:tr w14:paraId="4792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0" w:type="pct"/>
                  <w:vMerge w:val="continue"/>
                  <w:noWrap w:val="0"/>
                  <w:vAlign w:val="center"/>
                </w:tcPr>
                <w:p w14:paraId="5A018196">
                  <w:pPr>
                    <w:widowControl/>
                    <w:adjustRightInd w:val="0"/>
                    <w:snapToGrid w:val="0"/>
                    <w:jc w:val="center"/>
                    <w:rPr>
                      <w:rFonts w:hint="default" w:ascii="Times New Roman" w:hAnsi="Times New Roman" w:cs="Times New Roman"/>
                      <w:b/>
                      <w:bCs/>
                      <w:color w:val="auto"/>
                      <w:kern w:val="0"/>
                      <w:szCs w:val="21"/>
                      <w:highlight w:val="none"/>
                    </w:rPr>
                  </w:pPr>
                </w:p>
              </w:tc>
              <w:tc>
                <w:tcPr>
                  <w:tcW w:w="470" w:type="pct"/>
                  <w:vMerge w:val="continue"/>
                  <w:noWrap w:val="0"/>
                  <w:vAlign w:val="center"/>
                </w:tcPr>
                <w:p w14:paraId="766FA9E1">
                  <w:pPr>
                    <w:widowControl/>
                    <w:adjustRightInd w:val="0"/>
                    <w:snapToGrid w:val="0"/>
                    <w:jc w:val="center"/>
                    <w:rPr>
                      <w:rFonts w:hint="default" w:ascii="Times New Roman" w:hAnsi="Times New Roman" w:cs="Times New Roman"/>
                      <w:b/>
                      <w:bCs/>
                      <w:color w:val="auto"/>
                      <w:kern w:val="0"/>
                      <w:szCs w:val="21"/>
                      <w:highlight w:val="none"/>
                    </w:rPr>
                  </w:pPr>
                </w:p>
              </w:tc>
              <w:tc>
                <w:tcPr>
                  <w:tcW w:w="409" w:type="pct"/>
                  <w:vMerge w:val="continue"/>
                  <w:noWrap w:val="0"/>
                  <w:vAlign w:val="center"/>
                </w:tcPr>
                <w:p w14:paraId="5090820B">
                  <w:pPr>
                    <w:widowControl/>
                    <w:adjustRightInd w:val="0"/>
                    <w:snapToGrid w:val="0"/>
                    <w:jc w:val="center"/>
                    <w:rPr>
                      <w:rFonts w:hint="default" w:ascii="Times New Roman" w:hAnsi="Times New Roman" w:cs="Times New Roman"/>
                      <w:b/>
                      <w:bCs/>
                      <w:color w:val="auto"/>
                      <w:kern w:val="0"/>
                      <w:szCs w:val="21"/>
                      <w:highlight w:val="none"/>
                    </w:rPr>
                  </w:pPr>
                </w:p>
              </w:tc>
              <w:tc>
                <w:tcPr>
                  <w:tcW w:w="485" w:type="pct"/>
                  <w:noWrap w:val="0"/>
                  <w:vAlign w:val="center"/>
                </w:tcPr>
                <w:p w14:paraId="6BE02B7D">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浓度</w:t>
                  </w:r>
                </w:p>
                <w:p w14:paraId="1AF683BE">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mg/m</w:t>
                  </w:r>
                  <w:r>
                    <w:rPr>
                      <w:rFonts w:hint="default" w:ascii="Times New Roman" w:hAnsi="Times New Roman" w:cs="Times New Roman"/>
                      <w:b/>
                      <w:bCs/>
                      <w:color w:val="auto"/>
                      <w:kern w:val="0"/>
                      <w:szCs w:val="21"/>
                      <w:highlight w:val="none"/>
                      <w:vertAlign w:val="superscript"/>
                    </w:rPr>
                    <w:t>3</w:t>
                  </w:r>
                </w:p>
              </w:tc>
              <w:tc>
                <w:tcPr>
                  <w:tcW w:w="411" w:type="pct"/>
                  <w:noWrap w:val="0"/>
                  <w:vAlign w:val="center"/>
                </w:tcPr>
                <w:p w14:paraId="7B5243CE">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速率kg/h</w:t>
                  </w:r>
                </w:p>
              </w:tc>
              <w:tc>
                <w:tcPr>
                  <w:tcW w:w="451" w:type="pct"/>
                  <w:noWrap w:val="0"/>
                  <w:vAlign w:val="center"/>
                </w:tcPr>
                <w:p w14:paraId="72787FE1">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产生量</w:t>
                  </w:r>
                  <w:r>
                    <w:rPr>
                      <w:rFonts w:hint="default" w:ascii="Times New Roman" w:hAnsi="Times New Roman" w:cs="Times New Roman"/>
                      <w:b/>
                      <w:bCs/>
                      <w:color w:val="auto"/>
                      <w:kern w:val="0"/>
                      <w:szCs w:val="21"/>
                      <w:highlight w:val="none"/>
                      <w:lang w:val="en-US" w:eastAsia="zh-CN"/>
                    </w:rPr>
                    <w:t>t</w:t>
                  </w:r>
                  <w:r>
                    <w:rPr>
                      <w:rFonts w:hint="default" w:ascii="Times New Roman" w:hAnsi="Times New Roman" w:cs="Times New Roman"/>
                      <w:b/>
                      <w:bCs/>
                      <w:color w:val="auto"/>
                      <w:kern w:val="0"/>
                      <w:szCs w:val="21"/>
                      <w:highlight w:val="none"/>
                    </w:rPr>
                    <w:t>/a</w:t>
                  </w:r>
                </w:p>
              </w:tc>
              <w:tc>
                <w:tcPr>
                  <w:tcW w:w="1011" w:type="pct"/>
                  <w:vMerge w:val="continue"/>
                  <w:noWrap w:val="0"/>
                  <w:vAlign w:val="center"/>
                </w:tcPr>
                <w:p w14:paraId="206CB203">
                  <w:pPr>
                    <w:widowControl/>
                    <w:adjustRightInd w:val="0"/>
                    <w:snapToGrid w:val="0"/>
                    <w:jc w:val="center"/>
                    <w:rPr>
                      <w:rFonts w:hint="default" w:ascii="Times New Roman" w:hAnsi="Times New Roman" w:cs="Times New Roman"/>
                      <w:b/>
                      <w:bCs/>
                      <w:color w:val="auto"/>
                      <w:kern w:val="0"/>
                      <w:szCs w:val="21"/>
                      <w:highlight w:val="none"/>
                    </w:rPr>
                  </w:pPr>
                </w:p>
              </w:tc>
              <w:tc>
                <w:tcPr>
                  <w:tcW w:w="433" w:type="pct"/>
                  <w:noWrap w:val="0"/>
                  <w:vAlign w:val="center"/>
                </w:tcPr>
                <w:p w14:paraId="0D969E1B">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浓度mg/m</w:t>
                  </w:r>
                  <w:r>
                    <w:rPr>
                      <w:rFonts w:hint="default" w:ascii="Times New Roman" w:hAnsi="Times New Roman" w:cs="Times New Roman"/>
                      <w:b/>
                      <w:bCs/>
                      <w:color w:val="auto"/>
                      <w:kern w:val="0"/>
                      <w:szCs w:val="21"/>
                      <w:highlight w:val="none"/>
                      <w:vertAlign w:val="superscript"/>
                    </w:rPr>
                    <w:t>3</w:t>
                  </w:r>
                </w:p>
              </w:tc>
              <w:tc>
                <w:tcPr>
                  <w:tcW w:w="415" w:type="pct"/>
                  <w:noWrap w:val="0"/>
                  <w:vAlign w:val="center"/>
                </w:tcPr>
                <w:p w14:paraId="22350BF5">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速率kg/h</w:t>
                  </w:r>
                </w:p>
              </w:tc>
              <w:tc>
                <w:tcPr>
                  <w:tcW w:w="500" w:type="pct"/>
                  <w:noWrap w:val="0"/>
                  <w:vAlign w:val="center"/>
                </w:tcPr>
                <w:p w14:paraId="21CB0891">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排放量</w:t>
                  </w:r>
                  <w:r>
                    <w:rPr>
                      <w:rFonts w:hint="default" w:ascii="Times New Roman" w:hAnsi="Times New Roman" w:cs="Times New Roman"/>
                      <w:b/>
                      <w:bCs/>
                      <w:color w:val="auto"/>
                      <w:kern w:val="0"/>
                      <w:szCs w:val="21"/>
                      <w:highlight w:val="none"/>
                      <w:lang w:val="en-US" w:eastAsia="zh-CN"/>
                    </w:rPr>
                    <w:t>t</w:t>
                  </w:r>
                  <w:r>
                    <w:rPr>
                      <w:rFonts w:hint="default" w:ascii="Times New Roman" w:hAnsi="Times New Roman" w:cs="Times New Roman"/>
                      <w:b/>
                      <w:bCs/>
                      <w:color w:val="auto"/>
                      <w:kern w:val="0"/>
                      <w:szCs w:val="21"/>
                      <w:highlight w:val="none"/>
                    </w:rPr>
                    <w:t>/a</w:t>
                  </w:r>
                </w:p>
              </w:tc>
            </w:tr>
            <w:tr w14:paraId="2B11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410" w:type="pct"/>
                  <w:vMerge w:val="restart"/>
                  <w:noWrap w:val="0"/>
                  <w:vAlign w:val="center"/>
                </w:tcPr>
                <w:p w14:paraId="6FC75344">
                  <w:pPr>
                    <w:widowControl/>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上料、破碎和打包</w:t>
                  </w:r>
                  <w:r>
                    <w:rPr>
                      <w:rFonts w:hint="eastAsia" w:ascii="Times New Roman" w:hAnsi="Times New Roman" w:eastAsia="宋体" w:cs="Times New Roman"/>
                      <w:color w:val="auto"/>
                      <w:kern w:val="0"/>
                      <w:szCs w:val="21"/>
                      <w:highlight w:val="none"/>
                      <w:lang w:val="en-US" w:eastAsia="zh-CN"/>
                    </w:rPr>
                    <w:t>工序</w:t>
                  </w:r>
                </w:p>
              </w:tc>
              <w:tc>
                <w:tcPr>
                  <w:tcW w:w="470" w:type="pct"/>
                  <w:vMerge w:val="restart"/>
                  <w:noWrap w:val="0"/>
                  <w:vAlign w:val="center"/>
                </w:tcPr>
                <w:p w14:paraId="76AB0D6D">
                  <w:pPr>
                    <w:widowControl/>
                    <w:adjustRightInd w:val="0"/>
                    <w:snapToGrid w:val="0"/>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cs="Times New Roman"/>
                      <w:color w:val="auto"/>
                      <w:kern w:val="0"/>
                      <w:szCs w:val="21"/>
                      <w:highlight w:val="none"/>
                      <w:lang w:val="en-US" w:eastAsia="zh-CN"/>
                    </w:rPr>
                    <w:t>颗粒物</w:t>
                  </w:r>
                </w:p>
              </w:tc>
              <w:tc>
                <w:tcPr>
                  <w:tcW w:w="409" w:type="pct"/>
                  <w:noWrap w:val="0"/>
                  <w:vAlign w:val="center"/>
                </w:tcPr>
                <w:p w14:paraId="792330BF">
                  <w:pPr>
                    <w:widowControl/>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有组织</w:t>
                  </w:r>
                </w:p>
              </w:tc>
              <w:tc>
                <w:tcPr>
                  <w:tcW w:w="806" w:type="dxa"/>
                  <w:noWrap w:val="0"/>
                  <w:vAlign w:val="center"/>
                </w:tcPr>
                <w:p w14:paraId="6634C4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374.82</w:t>
                  </w:r>
                </w:p>
              </w:tc>
              <w:tc>
                <w:tcPr>
                  <w:tcW w:w="683" w:type="dxa"/>
                  <w:noWrap w:val="0"/>
                  <w:vAlign w:val="center"/>
                </w:tcPr>
                <w:p w14:paraId="77758E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5.622</w:t>
                  </w:r>
                </w:p>
              </w:tc>
              <w:tc>
                <w:tcPr>
                  <w:tcW w:w="750" w:type="dxa"/>
                  <w:noWrap w:val="0"/>
                  <w:vAlign w:val="center"/>
                </w:tcPr>
                <w:p w14:paraId="254904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44.529</w:t>
                  </w:r>
                </w:p>
              </w:tc>
              <w:tc>
                <w:tcPr>
                  <w:tcW w:w="1680" w:type="dxa"/>
                  <w:noWrap w:val="0"/>
                  <w:vAlign w:val="center"/>
                </w:tcPr>
                <w:p w14:paraId="4D745C9E">
                  <w:pPr>
                    <w:keepNext w:val="0"/>
                    <w:keepLines w:val="0"/>
                    <w:widowControl/>
                    <w:suppressLineNumbers w:val="0"/>
                    <w:jc w:val="both"/>
                    <w:textAlignment w:val="center"/>
                    <w:rPr>
                      <w:rFonts w:hint="default" w:ascii="Times New Roman" w:hAnsi="Times New Roman" w:eastAsia="宋体" w:cs="Times New Roman"/>
                      <w:color w:val="auto"/>
                      <w:kern w:val="0"/>
                      <w:szCs w:val="21"/>
                      <w:highlight w:val="none"/>
                      <w:lang w:val="en-US" w:eastAsia="zh-CN"/>
                    </w:rPr>
                  </w:pPr>
                  <w:r>
                    <w:rPr>
                      <w:rFonts w:hint="eastAsia" w:ascii="宋体" w:hAnsi="宋体" w:eastAsia="宋体" w:cs="宋体"/>
                      <w:i w:val="0"/>
                      <w:iCs w:val="0"/>
                      <w:color w:val="auto"/>
                      <w:kern w:val="0"/>
                      <w:sz w:val="21"/>
                      <w:szCs w:val="21"/>
                      <w:u w:val="none"/>
                      <w:lang w:val="en-US" w:eastAsia="zh-CN" w:bidi="ar"/>
                    </w:rPr>
                    <w:t>布袋除尘器</w:t>
                  </w:r>
                  <w:r>
                    <w:rPr>
                      <w:rStyle w:val="63"/>
                      <w:color w:val="auto"/>
                      <w:lang w:val="en-US" w:eastAsia="zh-CN" w:bidi="ar"/>
                    </w:rPr>
                    <w:t>，风量</w:t>
                  </w:r>
                  <w:r>
                    <w:rPr>
                      <w:rStyle w:val="64"/>
                      <w:rFonts w:hint="eastAsia"/>
                      <w:color w:val="auto"/>
                      <w:lang w:val="en-US" w:eastAsia="zh-CN" w:bidi="ar"/>
                    </w:rPr>
                    <w:t>10000</w:t>
                  </w:r>
                  <w:r>
                    <w:rPr>
                      <w:rStyle w:val="64"/>
                      <w:rFonts w:eastAsia="宋体"/>
                      <w:color w:val="auto"/>
                      <w:lang w:val="en-US" w:eastAsia="zh-CN" w:bidi="ar"/>
                    </w:rPr>
                    <w:t>m</w:t>
                  </w:r>
                  <w:r>
                    <w:rPr>
                      <w:rStyle w:val="65"/>
                      <w:rFonts w:eastAsia="宋体"/>
                      <w:color w:val="auto"/>
                      <w:lang w:val="en-US" w:eastAsia="zh-CN" w:bidi="ar"/>
                    </w:rPr>
                    <w:t>3</w:t>
                  </w:r>
                  <w:r>
                    <w:rPr>
                      <w:rStyle w:val="64"/>
                      <w:rFonts w:eastAsia="宋体"/>
                      <w:color w:val="auto"/>
                      <w:lang w:val="en-US" w:eastAsia="zh-CN" w:bidi="ar"/>
                    </w:rPr>
                    <w:t>/h</w:t>
                  </w:r>
                  <w:r>
                    <w:rPr>
                      <w:rStyle w:val="63"/>
                      <w:color w:val="auto"/>
                      <w:lang w:val="en-US" w:eastAsia="zh-CN" w:bidi="ar"/>
                    </w:rPr>
                    <w:t>，去除效率</w:t>
                  </w:r>
                  <w:r>
                    <w:rPr>
                      <w:rStyle w:val="64"/>
                      <w:rFonts w:eastAsia="宋体"/>
                      <w:color w:val="auto"/>
                      <w:lang w:val="en-US" w:eastAsia="zh-CN" w:bidi="ar"/>
                    </w:rPr>
                    <w:t>99%</w:t>
                  </w:r>
                </w:p>
              </w:tc>
              <w:tc>
                <w:tcPr>
                  <w:tcW w:w="720" w:type="dxa"/>
                  <w:noWrap w:val="0"/>
                  <w:vAlign w:val="center"/>
                </w:tcPr>
                <w:p w14:paraId="3672E0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w:t>
                  </w:r>
                  <w:r>
                    <w:rPr>
                      <w:rFonts w:hint="eastAsia" w:cs="Times New Roman"/>
                      <w:i w:val="0"/>
                      <w:iCs w:val="0"/>
                      <w:color w:val="auto"/>
                      <w:kern w:val="0"/>
                      <w:sz w:val="21"/>
                      <w:szCs w:val="21"/>
                      <w:u w:val="none"/>
                      <w:lang w:val="en-US" w:eastAsia="zh-CN" w:bidi="ar"/>
                    </w:rPr>
                    <w:t>5</w:t>
                  </w:r>
                </w:p>
              </w:tc>
              <w:tc>
                <w:tcPr>
                  <w:tcW w:w="690" w:type="dxa"/>
                  <w:noWrap w:val="0"/>
                  <w:vAlign w:val="center"/>
                </w:tcPr>
                <w:p w14:paraId="37EFB7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0.056</w:t>
                  </w:r>
                </w:p>
              </w:tc>
              <w:tc>
                <w:tcPr>
                  <w:tcW w:w="832" w:type="dxa"/>
                  <w:noWrap w:val="0"/>
                  <w:vAlign w:val="center"/>
                </w:tcPr>
                <w:p w14:paraId="0C6601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0.445</w:t>
                  </w:r>
                </w:p>
              </w:tc>
            </w:tr>
            <w:tr w14:paraId="7FE1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0" w:type="pct"/>
                  <w:vMerge w:val="continue"/>
                  <w:noWrap w:val="0"/>
                  <w:vAlign w:val="center"/>
                </w:tcPr>
                <w:p w14:paraId="654DC3C9">
                  <w:pPr>
                    <w:widowControl/>
                    <w:adjustRightInd w:val="0"/>
                    <w:snapToGrid w:val="0"/>
                    <w:jc w:val="center"/>
                    <w:rPr>
                      <w:rFonts w:hint="default" w:ascii="Times New Roman" w:hAnsi="Times New Roman" w:cs="Times New Roman"/>
                      <w:color w:val="auto"/>
                      <w:kern w:val="0"/>
                      <w:szCs w:val="21"/>
                      <w:highlight w:val="none"/>
                    </w:rPr>
                  </w:pPr>
                </w:p>
              </w:tc>
              <w:tc>
                <w:tcPr>
                  <w:tcW w:w="470" w:type="pct"/>
                  <w:vMerge w:val="continue"/>
                  <w:noWrap w:val="0"/>
                  <w:vAlign w:val="center"/>
                </w:tcPr>
                <w:p w14:paraId="69281281">
                  <w:pPr>
                    <w:widowControl/>
                    <w:adjustRightInd w:val="0"/>
                    <w:snapToGrid w:val="0"/>
                    <w:jc w:val="center"/>
                    <w:rPr>
                      <w:rFonts w:hint="default" w:ascii="Times New Roman" w:hAnsi="Times New Roman" w:cs="Times New Roman"/>
                      <w:color w:val="auto"/>
                      <w:kern w:val="0"/>
                      <w:szCs w:val="21"/>
                      <w:highlight w:val="none"/>
                    </w:rPr>
                  </w:pPr>
                </w:p>
              </w:tc>
              <w:tc>
                <w:tcPr>
                  <w:tcW w:w="409" w:type="pct"/>
                  <w:noWrap w:val="0"/>
                  <w:vAlign w:val="center"/>
                </w:tcPr>
                <w:p w14:paraId="5BCF4B6F">
                  <w:pPr>
                    <w:widowControl/>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无组织</w:t>
                  </w:r>
                </w:p>
              </w:tc>
              <w:tc>
                <w:tcPr>
                  <w:tcW w:w="806" w:type="dxa"/>
                  <w:noWrap w:val="0"/>
                  <w:vAlign w:val="center"/>
                </w:tcPr>
                <w:p w14:paraId="7E59D3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683" w:type="dxa"/>
                  <w:noWrap w:val="0"/>
                  <w:vAlign w:val="center"/>
                </w:tcPr>
                <w:p w14:paraId="281ACA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3.748</w:t>
                  </w:r>
                </w:p>
              </w:tc>
              <w:tc>
                <w:tcPr>
                  <w:tcW w:w="750" w:type="dxa"/>
                  <w:noWrap w:val="0"/>
                  <w:vAlign w:val="center"/>
                </w:tcPr>
                <w:p w14:paraId="79F57B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29.686</w:t>
                  </w:r>
                </w:p>
              </w:tc>
              <w:tc>
                <w:tcPr>
                  <w:tcW w:w="1680" w:type="dxa"/>
                  <w:noWrap w:val="0"/>
                  <w:vAlign w:val="center"/>
                </w:tcPr>
                <w:p w14:paraId="51B6AD9C">
                  <w:pPr>
                    <w:keepNext w:val="0"/>
                    <w:keepLines w:val="0"/>
                    <w:widowControl/>
                    <w:suppressLineNumbers w:val="0"/>
                    <w:jc w:val="both"/>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输送系统封闭、厂房隔挡，控制效率</w:t>
                  </w:r>
                  <w:r>
                    <w:rPr>
                      <w:rStyle w:val="64"/>
                      <w:rFonts w:eastAsia="宋体"/>
                      <w:color w:val="auto"/>
                      <w:lang w:val="en-US" w:eastAsia="zh-CN" w:bidi="ar"/>
                    </w:rPr>
                    <w:t>60%</w:t>
                  </w:r>
                </w:p>
              </w:tc>
              <w:tc>
                <w:tcPr>
                  <w:tcW w:w="720" w:type="dxa"/>
                  <w:noWrap w:val="0"/>
                  <w:vAlign w:val="center"/>
                </w:tcPr>
                <w:p w14:paraId="273B81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690" w:type="dxa"/>
                  <w:noWrap w:val="0"/>
                  <w:vAlign w:val="center"/>
                </w:tcPr>
                <w:p w14:paraId="1E440F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1.499</w:t>
                  </w:r>
                </w:p>
              </w:tc>
              <w:tc>
                <w:tcPr>
                  <w:tcW w:w="832" w:type="dxa"/>
                  <w:noWrap w:val="0"/>
                  <w:vAlign w:val="center"/>
                </w:tcPr>
                <w:p w14:paraId="009E65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11.874</w:t>
                  </w:r>
                </w:p>
              </w:tc>
            </w:tr>
          </w:tbl>
          <w:p w14:paraId="1B2221B8">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废气达标排放及</w:t>
            </w:r>
            <w:r>
              <w:rPr>
                <w:rFonts w:hint="eastAsia" w:ascii="Times New Roman" w:hAnsi="Times New Roman" w:cs="Times New Roman"/>
                <w:b/>
                <w:bCs w:val="0"/>
                <w:color w:val="auto"/>
                <w:spacing w:val="-10"/>
                <w:sz w:val="24"/>
                <w:szCs w:val="24"/>
                <w:highlight w:val="none"/>
                <w:lang w:val="en-US" w:eastAsia="zh-CN"/>
              </w:rPr>
              <w:t>周边环境空气</w:t>
            </w:r>
            <w:r>
              <w:rPr>
                <w:rFonts w:hint="default" w:ascii="Times New Roman" w:hAnsi="Times New Roman" w:cs="Times New Roman"/>
                <w:b/>
                <w:bCs w:val="0"/>
                <w:color w:val="auto"/>
                <w:spacing w:val="-10"/>
                <w:sz w:val="24"/>
                <w:szCs w:val="24"/>
                <w:highlight w:val="none"/>
                <w:lang w:val="en-US" w:eastAsia="zh-CN"/>
              </w:rPr>
              <w:t>影响分析</w:t>
            </w:r>
          </w:p>
          <w:p w14:paraId="5043F0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kern w:val="0"/>
                <w:sz w:val="24"/>
                <w:szCs w:val="24"/>
                <w:highlight w:val="none"/>
                <w:lang w:val="en-US" w:eastAsia="zh-CN" w:bidi="ar"/>
              </w:rPr>
            </w:pPr>
            <w:r>
              <w:rPr>
                <w:rFonts w:hint="default" w:ascii="Times New Roman" w:hAnsi="Times New Roman" w:cs="Times New Roman"/>
                <w:color w:val="auto"/>
                <w:kern w:val="0"/>
                <w:sz w:val="24"/>
                <w:szCs w:val="24"/>
                <w:highlight w:val="none"/>
                <w:lang w:val="en-US" w:eastAsia="zh-CN" w:bidi="ar"/>
              </w:rPr>
              <w:t>项目上料和打包工序粉尘经2个集气罩收集，破碎工序粉尘经管道收集后，最终汇入一根主管路进入布袋除尘器，经处理后通过18m高排气筒（DA001）排放，排放浓度满足《大气污染物综合排放标准》（GB16297-1996）表2中相关标准限值。本项目周边500m范围敏感点为新村，位于本项目侧风向。本项目废气排放量较小，对周边环境空气影响较小。</w:t>
            </w:r>
          </w:p>
          <w:p w14:paraId="0D899199">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废气治理措施可行性分析</w:t>
            </w:r>
          </w:p>
          <w:p w14:paraId="7222EA8C">
            <w:pPr>
              <w:keepNext w:val="0"/>
              <w:keepLines w:val="0"/>
              <w:pageBreakBefore w:val="0"/>
              <w:widowControl/>
              <w:suppressLineNumbers w:val="0"/>
              <w:kinsoku/>
              <w:wordWrap w:val="0"/>
              <w:overflowPunct w:val="0"/>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w w:val="100"/>
                <w:kern w:val="2"/>
                <w:sz w:val="24"/>
                <w:szCs w:val="24"/>
                <w:highlight w:val="none"/>
                <w:lang w:val="en-US" w:eastAsia="zh-CN" w:bidi="ar-SA"/>
              </w:rPr>
              <w:t>本</w:t>
            </w:r>
            <w:r>
              <w:rPr>
                <w:rFonts w:hint="eastAsia" w:cs="Times New Roman"/>
                <w:color w:val="auto"/>
                <w:w w:val="100"/>
                <w:kern w:val="2"/>
                <w:sz w:val="24"/>
                <w:szCs w:val="24"/>
                <w:highlight w:val="none"/>
                <w:lang w:val="en-US" w:eastAsia="zh-CN" w:bidi="ar-SA"/>
              </w:rPr>
              <w:t>项目</w:t>
            </w:r>
            <w:r>
              <w:rPr>
                <w:rFonts w:hint="default" w:ascii="Times New Roman" w:hAnsi="Times New Roman" w:cs="Times New Roman"/>
                <w:color w:val="auto"/>
                <w:kern w:val="0"/>
                <w:sz w:val="24"/>
                <w:szCs w:val="24"/>
                <w:highlight w:val="none"/>
                <w:lang w:val="en-US" w:eastAsia="zh-CN" w:bidi="ar"/>
              </w:rPr>
              <w:t>上料和打包工序粉尘经2个集气罩收集，破碎工序粉尘经管道收集后</w:t>
            </w:r>
            <w:r>
              <w:rPr>
                <w:rFonts w:hint="eastAsia" w:ascii="宋体" w:hAnsi="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最终汇入一根</w:t>
            </w:r>
            <w:r>
              <w:rPr>
                <w:rFonts w:hint="eastAsia" w:ascii="宋体" w:hAnsi="宋体" w:cs="宋体"/>
                <w:color w:val="auto"/>
                <w:kern w:val="0"/>
                <w:sz w:val="24"/>
                <w:szCs w:val="24"/>
                <w:highlight w:val="none"/>
                <w:lang w:val="en-US" w:eastAsia="zh-CN" w:bidi="ar"/>
              </w:rPr>
              <w:t>主</w:t>
            </w:r>
            <w:r>
              <w:rPr>
                <w:rFonts w:hint="eastAsia" w:ascii="宋体" w:hAnsi="宋体" w:eastAsia="宋体" w:cs="宋体"/>
                <w:color w:val="auto"/>
                <w:kern w:val="0"/>
                <w:sz w:val="24"/>
                <w:szCs w:val="24"/>
                <w:highlight w:val="none"/>
                <w:lang w:val="en-US" w:eastAsia="zh-CN" w:bidi="ar"/>
              </w:rPr>
              <w:t>管路</w:t>
            </w:r>
            <w:r>
              <w:rPr>
                <w:rFonts w:hint="default" w:ascii="Times New Roman" w:hAnsi="Times New Roman" w:eastAsia="宋体" w:cs="Times New Roman"/>
                <w:color w:val="auto"/>
                <w:w w:val="100"/>
                <w:kern w:val="2"/>
                <w:sz w:val="24"/>
                <w:szCs w:val="24"/>
                <w:highlight w:val="none"/>
                <w:lang w:val="en-US" w:eastAsia="zh-CN" w:bidi="ar-SA"/>
              </w:rPr>
              <w:t>由风机引至</w:t>
            </w:r>
            <w:r>
              <w:rPr>
                <w:rFonts w:hint="eastAsia" w:ascii="Times New Roman" w:hAnsi="Times New Roman" w:eastAsia="宋体" w:cs="Times New Roman"/>
                <w:color w:val="auto"/>
                <w:w w:val="100"/>
                <w:kern w:val="2"/>
                <w:sz w:val="24"/>
                <w:szCs w:val="24"/>
                <w:highlight w:val="none"/>
                <w:lang w:val="en-US" w:eastAsia="zh-CN" w:bidi="ar-SA"/>
              </w:rPr>
              <w:t>布袋除尘器</w:t>
            </w:r>
            <w:r>
              <w:rPr>
                <w:rFonts w:hint="default" w:ascii="Times New Roman" w:hAnsi="Times New Roman" w:eastAsia="宋体" w:cs="Times New Roman"/>
                <w:color w:val="auto"/>
                <w:w w:val="100"/>
                <w:kern w:val="2"/>
                <w:sz w:val="24"/>
                <w:szCs w:val="24"/>
                <w:highlight w:val="none"/>
                <w:lang w:val="en-US" w:eastAsia="zh-CN" w:bidi="ar-SA"/>
              </w:rPr>
              <w:t>处理后由</w:t>
            </w:r>
            <w:r>
              <w:rPr>
                <w:rFonts w:hint="eastAsia" w:ascii="Times New Roman" w:hAnsi="Times New Roman" w:eastAsia="宋体" w:cs="Times New Roman"/>
                <w:color w:val="auto"/>
                <w:w w:val="100"/>
                <w:kern w:val="2"/>
                <w:sz w:val="24"/>
                <w:szCs w:val="24"/>
                <w:highlight w:val="none"/>
                <w:lang w:val="en-US" w:eastAsia="zh-CN" w:bidi="ar-SA"/>
              </w:rPr>
              <w:t>18</w:t>
            </w:r>
            <w:r>
              <w:rPr>
                <w:rFonts w:hint="default" w:ascii="Times New Roman" w:hAnsi="Times New Roman" w:eastAsia="宋体" w:cs="Times New Roman"/>
                <w:color w:val="auto"/>
                <w:w w:val="100"/>
                <w:kern w:val="2"/>
                <w:sz w:val="24"/>
                <w:szCs w:val="24"/>
                <w:highlight w:val="none"/>
                <w:lang w:val="en-US" w:eastAsia="zh-CN" w:bidi="ar-SA"/>
              </w:rPr>
              <w:t>m高的排气筒（DA001）排放</w:t>
            </w:r>
            <w:r>
              <w:rPr>
                <w:rFonts w:hint="eastAsia" w:cs="Times New Roman"/>
                <w:color w:val="auto"/>
                <w:w w:val="100"/>
                <w:kern w:val="2"/>
                <w:sz w:val="24"/>
                <w:szCs w:val="24"/>
                <w:highlight w:val="none"/>
                <w:lang w:val="en-US" w:eastAsia="zh-CN" w:bidi="ar-SA"/>
              </w:rPr>
              <w:t>，</w:t>
            </w:r>
            <w:r>
              <w:rPr>
                <w:rFonts w:hint="default" w:ascii="Times New Roman" w:hAnsi="Times New Roman" w:eastAsia="宋体" w:cs="Times New Roman"/>
                <w:color w:val="auto"/>
                <w:w w:val="100"/>
                <w:kern w:val="2"/>
                <w:sz w:val="24"/>
                <w:szCs w:val="24"/>
                <w:highlight w:val="none"/>
                <w:lang w:val="en-US" w:eastAsia="zh-CN" w:bidi="ar-SA"/>
              </w:rPr>
              <w:t>属于《排污许可证申请</w:t>
            </w:r>
            <w:r>
              <w:rPr>
                <w:rFonts w:hint="default" w:ascii="Times New Roman" w:hAnsi="Times New Roman" w:eastAsia="宋体" w:cs="Times New Roman"/>
                <w:color w:val="auto"/>
                <w:w w:val="100"/>
                <w:kern w:val="2"/>
                <w:sz w:val="24"/>
                <w:szCs w:val="24"/>
                <w:highlight w:val="none"/>
                <w:lang w:val="en-US" w:eastAsia="zh-CN" w:bidi="ar-SA"/>
              </w:rPr>
              <w:t xml:space="preserve">与核发技术规范 </w:t>
            </w:r>
            <w:r>
              <w:rPr>
                <w:rFonts w:hint="eastAsia" w:ascii="Times New Roman" w:hAnsi="Times New Roman" w:eastAsia="宋体" w:cs="Times New Roman"/>
                <w:color w:val="auto"/>
                <w:w w:val="100"/>
                <w:kern w:val="2"/>
                <w:sz w:val="24"/>
                <w:szCs w:val="24"/>
                <w:highlight w:val="none"/>
                <w:lang w:val="en-US" w:eastAsia="zh-CN" w:bidi="ar-SA"/>
              </w:rPr>
              <w:t>废弃资源加工工业</w:t>
            </w:r>
            <w:r>
              <w:rPr>
                <w:rFonts w:hint="default" w:ascii="Times New Roman" w:hAnsi="Times New Roman" w:eastAsia="宋体" w:cs="Times New Roman"/>
                <w:color w:val="auto"/>
                <w:w w:val="100"/>
                <w:kern w:val="2"/>
                <w:sz w:val="24"/>
                <w:szCs w:val="24"/>
                <w:highlight w:val="none"/>
                <w:lang w:val="en-US" w:eastAsia="zh-CN" w:bidi="ar-SA"/>
              </w:rPr>
              <w:t>》（</w:t>
            </w:r>
            <w:r>
              <w:rPr>
                <w:rFonts w:hint="eastAsia" w:ascii="Times New Roman" w:hAnsi="Times New Roman" w:eastAsia="宋体" w:cs="Times New Roman"/>
                <w:color w:val="auto"/>
                <w:w w:val="100"/>
                <w:kern w:val="2"/>
                <w:sz w:val="24"/>
                <w:szCs w:val="24"/>
                <w:highlight w:val="none"/>
                <w:lang w:val="en-US" w:eastAsia="zh-CN" w:bidi="ar-SA"/>
              </w:rPr>
              <w:t>HJ 1034-2019</w:t>
            </w:r>
            <w:r>
              <w:rPr>
                <w:rFonts w:hint="default" w:ascii="Times New Roman" w:hAnsi="Times New Roman" w:eastAsia="宋体" w:cs="Times New Roman"/>
                <w:color w:val="auto"/>
                <w:w w:val="100"/>
                <w:kern w:val="2"/>
                <w:sz w:val="24"/>
                <w:szCs w:val="24"/>
                <w:highlight w:val="none"/>
                <w:lang w:val="en-US" w:eastAsia="zh-CN" w:bidi="ar-SA"/>
              </w:rPr>
              <w:t>）</w:t>
            </w:r>
            <w:r>
              <w:rPr>
                <w:rFonts w:hint="eastAsia" w:ascii="Times New Roman" w:hAnsi="Times New Roman" w:eastAsia="宋体" w:cs="Times New Roman"/>
                <w:color w:val="auto"/>
                <w:w w:val="100"/>
                <w:kern w:val="2"/>
                <w:sz w:val="24"/>
                <w:szCs w:val="24"/>
                <w:highlight w:val="none"/>
                <w:lang w:val="en-US" w:eastAsia="zh-CN" w:bidi="ar-SA"/>
              </w:rPr>
              <w:t>附录A中</w:t>
            </w:r>
            <w:r>
              <w:rPr>
                <w:rFonts w:hint="default" w:ascii="Times New Roman" w:hAnsi="Times New Roman" w:eastAsia="宋体" w:cs="Times New Roman"/>
                <w:color w:val="auto"/>
                <w:w w:val="100"/>
                <w:kern w:val="2"/>
                <w:sz w:val="24"/>
                <w:szCs w:val="24"/>
                <w:highlight w:val="none"/>
                <w:lang w:val="en-US" w:eastAsia="zh-CN" w:bidi="ar-SA"/>
              </w:rPr>
              <w:t>所列废气可行技术</w:t>
            </w:r>
            <w:r>
              <w:rPr>
                <w:rFonts w:hint="eastAsia" w:ascii="Times New Roman" w:hAnsi="Times New Roman" w:eastAsia="宋体" w:cs="Times New Roman"/>
                <w:color w:val="auto"/>
                <w:w w:val="100"/>
                <w:kern w:val="2"/>
                <w:sz w:val="24"/>
                <w:szCs w:val="24"/>
                <w:highlight w:val="none"/>
                <w:lang w:val="en-US" w:eastAsia="zh-CN" w:bidi="ar-SA"/>
              </w:rPr>
              <w:t>。</w:t>
            </w:r>
          </w:p>
          <w:p w14:paraId="30D541D3">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排放口基本情况</w:t>
            </w:r>
          </w:p>
          <w:p w14:paraId="7C50FA21">
            <w:pPr>
              <w:numPr>
                <w:ilvl w:val="0"/>
                <w:numId w:val="0"/>
              </w:numPr>
              <w:adjustRightInd w:val="0"/>
              <w:snapToGrid w:val="0"/>
              <w:spacing w:line="240" w:lineRule="auto"/>
              <w:ind w:leftChars="0" w:firstLine="440" w:firstLineChars="200"/>
              <w:rPr>
                <w:rFonts w:hint="default" w:ascii="Times New Roman" w:hAnsi="Times New Roman" w:cs="Times New Roman"/>
                <w:b w:val="0"/>
                <w:bCs/>
                <w:color w:val="auto"/>
                <w:spacing w:val="-10"/>
                <w:sz w:val="24"/>
                <w:szCs w:val="24"/>
                <w:highlight w:val="none"/>
                <w:lang w:val="en-US" w:eastAsia="zh-CN"/>
              </w:rPr>
            </w:pPr>
            <w:r>
              <w:rPr>
                <w:rFonts w:hint="default" w:ascii="Times New Roman" w:hAnsi="Times New Roman" w:cs="Times New Roman"/>
                <w:b w:val="0"/>
                <w:bCs/>
                <w:color w:val="auto"/>
                <w:spacing w:val="-10"/>
                <w:sz w:val="24"/>
                <w:szCs w:val="24"/>
                <w:highlight w:val="none"/>
                <w:lang w:val="en-US" w:eastAsia="zh-CN"/>
              </w:rPr>
              <w:t>本项目废气排放口基本情况见下表。</w:t>
            </w:r>
          </w:p>
          <w:p w14:paraId="0F729F9C">
            <w:pPr>
              <w:numPr>
                <w:ilvl w:val="0"/>
                <w:numId w:val="0"/>
              </w:numPr>
              <w:adjustRightInd w:val="0"/>
              <w:snapToGrid w:val="0"/>
              <w:spacing w:line="240" w:lineRule="auto"/>
              <w:jc w:val="center"/>
              <w:rPr>
                <w:rFonts w:hint="default" w:ascii="Times New Roman" w:hAnsi="Times New Roman" w:cs="Times New Roman"/>
                <w:b/>
                <w:bCs w:val="0"/>
                <w:color w:val="auto"/>
                <w:spacing w:val="-10"/>
                <w:sz w:val="21"/>
                <w:szCs w:val="21"/>
                <w:highlight w:val="none"/>
                <w:lang w:val="en-US" w:eastAsia="zh-CN"/>
              </w:rPr>
            </w:pPr>
            <w:r>
              <w:rPr>
                <w:rFonts w:hint="default" w:ascii="Times New Roman" w:hAnsi="Times New Roman" w:cs="Times New Roman"/>
                <w:b/>
                <w:bCs w:val="0"/>
                <w:color w:val="auto"/>
                <w:spacing w:val="-10"/>
                <w:sz w:val="21"/>
                <w:szCs w:val="21"/>
                <w:highlight w:val="none"/>
                <w:lang w:val="en-US" w:eastAsia="zh-CN"/>
              </w:rPr>
              <w:t>表4-</w:t>
            </w:r>
            <w:r>
              <w:rPr>
                <w:rFonts w:hint="eastAsia" w:ascii="Times New Roman" w:hAnsi="Times New Roman" w:cs="Times New Roman"/>
                <w:b/>
                <w:bCs w:val="0"/>
                <w:color w:val="auto"/>
                <w:spacing w:val="-10"/>
                <w:sz w:val="21"/>
                <w:szCs w:val="21"/>
                <w:highlight w:val="none"/>
                <w:lang w:val="en-US" w:eastAsia="zh-CN"/>
              </w:rPr>
              <w:t>3</w:t>
            </w:r>
            <w:r>
              <w:rPr>
                <w:rFonts w:hint="default" w:ascii="Times New Roman" w:hAnsi="Times New Roman" w:cs="Times New Roman"/>
                <w:b/>
                <w:bCs w:val="0"/>
                <w:color w:val="auto"/>
                <w:spacing w:val="-10"/>
                <w:sz w:val="21"/>
                <w:szCs w:val="21"/>
                <w:highlight w:val="none"/>
                <w:lang w:val="en-US" w:eastAsia="zh-CN"/>
              </w:rPr>
              <w:t xml:space="preserve"> 废气排放口基本情况一览表</w:t>
            </w:r>
          </w:p>
          <w:tbl>
            <w:tblPr>
              <w:tblStyle w:val="25"/>
              <w:tblW w:w="8521" w:type="dxa"/>
              <w:tblInd w:w="-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4"/>
              <w:gridCol w:w="1318"/>
              <w:gridCol w:w="705"/>
              <w:gridCol w:w="1425"/>
              <w:gridCol w:w="1287"/>
              <w:gridCol w:w="733"/>
              <w:gridCol w:w="840"/>
              <w:gridCol w:w="811"/>
              <w:gridCol w:w="698"/>
            </w:tblGrid>
            <w:tr w14:paraId="07CB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0" w:hRule="atLeast"/>
                <w:tblHeader/>
              </w:trPr>
              <w:tc>
                <w:tcPr>
                  <w:tcW w:w="704" w:type="dxa"/>
                  <w:vMerge w:val="restart"/>
                  <w:noWrap w:val="0"/>
                  <w:vAlign w:val="center"/>
                </w:tcPr>
                <w:p w14:paraId="437E9C56">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排放口编号</w:t>
                  </w:r>
                </w:p>
              </w:tc>
              <w:tc>
                <w:tcPr>
                  <w:tcW w:w="1318" w:type="dxa"/>
                  <w:vMerge w:val="restart"/>
                  <w:noWrap w:val="0"/>
                  <w:vAlign w:val="center"/>
                </w:tcPr>
                <w:p w14:paraId="5523ECD4">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w:t>
                  </w:r>
                </w:p>
                <w:p w14:paraId="231AF9CB">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名称</w:t>
                  </w:r>
                </w:p>
              </w:tc>
              <w:tc>
                <w:tcPr>
                  <w:tcW w:w="705" w:type="dxa"/>
                  <w:vMerge w:val="restart"/>
                  <w:noWrap w:val="0"/>
                  <w:vAlign w:val="center"/>
                </w:tcPr>
                <w:p w14:paraId="5AD77CDF">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p w14:paraId="4099626E">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种类</w:t>
                  </w:r>
                </w:p>
              </w:tc>
              <w:tc>
                <w:tcPr>
                  <w:tcW w:w="2712" w:type="dxa"/>
                  <w:gridSpan w:val="2"/>
                  <w:noWrap w:val="0"/>
                  <w:vAlign w:val="center"/>
                </w:tcPr>
                <w:p w14:paraId="48E70E12">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排放口地理坐标</w:t>
                  </w:r>
                </w:p>
              </w:tc>
              <w:tc>
                <w:tcPr>
                  <w:tcW w:w="733" w:type="dxa"/>
                  <w:vMerge w:val="restart"/>
                  <w:noWrap w:val="0"/>
                  <w:vAlign w:val="center"/>
                </w:tcPr>
                <w:p w14:paraId="6E4E6787">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排气筒高度（m）</w:t>
                  </w:r>
                </w:p>
              </w:tc>
              <w:tc>
                <w:tcPr>
                  <w:tcW w:w="840" w:type="dxa"/>
                  <w:vMerge w:val="restart"/>
                  <w:noWrap w:val="0"/>
                  <w:vAlign w:val="center"/>
                </w:tcPr>
                <w:p w14:paraId="75C9CEF5">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排气筒</w:t>
                  </w:r>
                </w:p>
                <w:p w14:paraId="293C22FD">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出口内径（m）</w:t>
                  </w:r>
                </w:p>
              </w:tc>
              <w:tc>
                <w:tcPr>
                  <w:tcW w:w="811" w:type="dxa"/>
                  <w:vMerge w:val="restart"/>
                  <w:noWrap w:val="0"/>
                  <w:vAlign w:val="center"/>
                </w:tcPr>
                <w:p w14:paraId="1EC24BF3">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排气温度（℃）</w:t>
                  </w:r>
                </w:p>
              </w:tc>
              <w:tc>
                <w:tcPr>
                  <w:tcW w:w="698" w:type="dxa"/>
                  <w:vMerge w:val="restart"/>
                  <w:noWrap w:val="0"/>
                  <w:vAlign w:val="center"/>
                </w:tcPr>
                <w:p w14:paraId="27CF5062">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排放口类型</w:t>
                  </w:r>
                </w:p>
              </w:tc>
            </w:tr>
            <w:tr w14:paraId="4AB5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blHeader/>
              </w:trPr>
              <w:tc>
                <w:tcPr>
                  <w:tcW w:w="704" w:type="dxa"/>
                  <w:vMerge w:val="continue"/>
                  <w:noWrap w:val="0"/>
                  <w:vAlign w:val="center"/>
                </w:tcPr>
                <w:p w14:paraId="2DF2ACFF">
                  <w:pPr>
                    <w:adjustRightInd w:val="0"/>
                    <w:snapToGrid w:val="0"/>
                    <w:jc w:val="center"/>
                    <w:rPr>
                      <w:rFonts w:hint="default" w:ascii="Times New Roman" w:hAnsi="Times New Roman" w:cs="Times New Roman"/>
                      <w:color w:val="auto"/>
                      <w:sz w:val="21"/>
                      <w:szCs w:val="21"/>
                      <w:highlight w:val="none"/>
                    </w:rPr>
                  </w:pPr>
                </w:p>
              </w:tc>
              <w:tc>
                <w:tcPr>
                  <w:tcW w:w="1318" w:type="dxa"/>
                  <w:vMerge w:val="continue"/>
                  <w:noWrap w:val="0"/>
                  <w:vAlign w:val="center"/>
                </w:tcPr>
                <w:p w14:paraId="680A283D">
                  <w:pPr>
                    <w:adjustRightInd w:val="0"/>
                    <w:snapToGrid w:val="0"/>
                    <w:jc w:val="center"/>
                    <w:rPr>
                      <w:rFonts w:hint="default" w:ascii="Times New Roman" w:hAnsi="Times New Roman" w:cs="Times New Roman"/>
                      <w:color w:val="auto"/>
                      <w:sz w:val="21"/>
                      <w:szCs w:val="21"/>
                      <w:highlight w:val="none"/>
                    </w:rPr>
                  </w:pPr>
                </w:p>
              </w:tc>
              <w:tc>
                <w:tcPr>
                  <w:tcW w:w="705" w:type="dxa"/>
                  <w:vMerge w:val="continue"/>
                  <w:noWrap w:val="0"/>
                  <w:vAlign w:val="center"/>
                </w:tcPr>
                <w:p w14:paraId="0A3CD6F0">
                  <w:pPr>
                    <w:adjustRightInd w:val="0"/>
                    <w:snapToGrid w:val="0"/>
                    <w:jc w:val="center"/>
                    <w:rPr>
                      <w:rFonts w:hint="default" w:ascii="Times New Roman" w:hAnsi="Times New Roman" w:cs="Times New Roman"/>
                      <w:color w:val="auto"/>
                      <w:sz w:val="21"/>
                      <w:szCs w:val="21"/>
                      <w:highlight w:val="none"/>
                    </w:rPr>
                  </w:pPr>
                </w:p>
              </w:tc>
              <w:tc>
                <w:tcPr>
                  <w:tcW w:w="1425" w:type="dxa"/>
                  <w:noWrap w:val="0"/>
                  <w:vAlign w:val="center"/>
                </w:tcPr>
                <w:p w14:paraId="5C2552E4">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经度/°</w:t>
                  </w:r>
                </w:p>
              </w:tc>
              <w:tc>
                <w:tcPr>
                  <w:tcW w:w="1287" w:type="dxa"/>
                  <w:noWrap w:val="0"/>
                  <w:vAlign w:val="center"/>
                </w:tcPr>
                <w:p w14:paraId="0B0BF668">
                  <w:pPr>
                    <w:adjustRightInd w:val="0"/>
                    <w:snapToGrid w:val="0"/>
                    <w:jc w:val="center"/>
                    <w:rPr>
                      <w:rFonts w:hint="default" w:ascii="Times New Roman" w:hAnsi="Times New Roman" w:cs="Times New Roman"/>
                      <w:b/>
                      <w:bCs/>
                      <w:snapToGrid w:val="0"/>
                      <w:color w:val="auto"/>
                      <w:kern w:val="20"/>
                      <w:sz w:val="21"/>
                      <w:szCs w:val="21"/>
                      <w:highlight w:val="none"/>
                    </w:rPr>
                  </w:pPr>
                  <w:r>
                    <w:rPr>
                      <w:rFonts w:hint="default" w:ascii="Times New Roman" w:hAnsi="Times New Roman" w:cs="Times New Roman"/>
                      <w:b/>
                      <w:bCs/>
                      <w:color w:val="auto"/>
                      <w:sz w:val="21"/>
                      <w:szCs w:val="21"/>
                      <w:highlight w:val="none"/>
                    </w:rPr>
                    <w:t>纬度/°</w:t>
                  </w:r>
                </w:p>
              </w:tc>
              <w:tc>
                <w:tcPr>
                  <w:tcW w:w="733" w:type="dxa"/>
                  <w:vMerge w:val="continue"/>
                  <w:noWrap w:val="0"/>
                  <w:vAlign w:val="center"/>
                </w:tcPr>
                <w:p w14:paraId="6785C753">
                  <w:pPr>
                    <w:adjustRightInd w:val="0"/>
                    <w:snapToGrid w:val="0"/>
                    <w:jc w:val="center"/>
                    <w:rPr>
                      <w:rFonts w:hint="default" w:ascii="Times New Roman" w:hAnsi="Times New Roman" w:cs="Times New Roman"/>
                      <w:color w:val="auto"/>
                      <w:sz w:val="21"/>
                      <w:szCs w:val="21"/>
                      <w:highlight w:val="none"/>
                    </w:rPr>
                  </w:pPr>
                </w:p>
              </w:tc>
              <w:tc>
                <w:tcPr>
                  <w:tcW w:w="840" w:type="dxa"/>
                  <w:vMerge w:val="continue"/>
                  <w:noWrap w:val="0"/>
                  <w:vAlign w:val="center"/>
                </w:tcPr>
                <w:p w14:paraId="62899CE2">
                  <w:pPr>
                    <w:adjustRightInd w:val="0"/>
                    <w:snapToGrid w:val="0"/>
                    <w:jc w:val="center"/>
                    <w:rPr>
                      <w:rFonts w:hint="default" w:ascii="Times New Roman" w:hAnsi="Times New Roman" w:cs="Times New Roman"/>
                      <w:color w:val="auto"/>
                      <w:sz w:val="21"/>
                      <w:szCs w:val="21"/>
                      <w:highlight w:val="none"/>
                    </w:rPr>
                  </w:pPr>
                </w:p>
              </w:tc>
              <w:tc>
                <w:tcPr>
                  <w:tcW w:w="811" w:type="dxa"/>
                  <w:vMerge w:val="continue"/>
                  <w:noWrap w:val="0"/>
                  <w:vAlign w:val="center"/>
                </w:tcPr>
                <w:p w14:paraId="01F954B5">
                  <w:pPr>
                    <w:adjustRightInd w:val="0"/>
                    <w:snapToGrid w:val="0"/>
                    <w:jc w:val="center"/>
                    <w:rPr>
                      <w:rFonts w:hint="default" w:ascii="Times New Roman" w:hAnsi="Times New Roman" w:cs="Times New Roman"/>
                      <w:color w:val="auto"/>
                      <w:sz w:val="21"/>
                      <w:szCs w:val="21"/>
                      <w:highlight w:val="none"/>
                    </w:rPr>
                  </w:pPr>
                </w:p>
              </w:tc>
              <w:tc>
                <w:tcPr>
                  <w:tcW w:w="698" w:type="dxa"/>
                  <w:vMerge w:val="continue"/>
                  <w:noWrap w:val="0"/>
                  <w:vAlign w:val="center"/>
                </w:tcPr>
                <w:p w14:paraId="28B440C2">
                  <w:pPr>
                    <w:adjustRightInd w:val="0"/>
                    <w:snapToGrid w:val="0"/>
                    <w:jc w:val="center"/>
                    <w:rPr>
                      <w:rFonts w:hint="default" w:ascii="Times New Roman" w:hAnsi="Times New Roman" w:cs="Times New Roman"/>
                      <w:color w:val="auto"/>
                      <w:sz w:val="21"/>
                      <w:szCs w:val="21"/>
                      <w:highlight w:val="none"/>
                    </w:rPr>
                  </w:pPr>
                </w:p>
              </w:tc>
            </w:tr>
            <w:tr w14:paraId="40C2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blHeader/>
              </w:trPr>
              <w:tc>
                <w:tcPr>
                  <w:tcW w:w="704" w:type="dxa"/>
                  <w:noWrap w:val="0"/>
                  <w:vAlign w:val="center"/>
                </w:tcPr>
                <w:p w14:paraId="2AF3FEB6">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DA001</w:t>
                  </w:r>
                </w:p>
              </w:tc>
              <w:tc>
                <w:tcPr>
                  <w:tcW w:w="1318" w:type="dxa"/>
                  <w:noWrap w:val="0"/>
                  <w:vAlign w:val="center"/>
                </w:tcPr>
                <w:p w14:paraId="4F02DCCC">
                  <w:pPr>
                    <w:adjustRightInd w:val="0"/>
                    <w:snapToGrid w:val="0"/>
                    <w:jc w:val="center"/>
                    <w:rPr>
                      <w:rFonts w:hint="default" w:ascii="Times New Roman" w:hAnsi="Times New Roman" w:cs="Times New Roman"/>
                      <w:color w:val="auto"/>
                      <w:sz w:val="21"/>
                      <w:szCs w:val="21"/>
                      <w:highlight w:val="none"/>
                      <w:lang w:val="en-US"/>
                    </w:rPr>
                  </w:pPr>
                  <w:r>
                    <w:rPr>
                      <w:rFonts w:hint="eastAsia" w:cs="Times New Roman"/>
                      <w:color w:val="auto"/>
                      <w:sz w:val="21"/>
                      <w:szCs w:val="21"/>
                      <w:highlight w:val="none"/>
                      <w:lang w:val="en-US" w:eastAsia="zh-CN"/>
                    </w:rPr>
                    <w:t>上料、破碎和打包</w:t>
                  </w:r>
                  <w:r>
                    <w:rPr>
                      <w:rFonts w:hint="eastAsia" w:ascii="Times New Roman" w:hAnsi="Times New Roman" w:eastAsia="宋体" w:cs="Times New Roman"/>
                      <w:color w:val="auto"/>
                      <w:sz w:val="21"/>
                      <w:szCs w:val="21"/>
                      <w:highlight w:val="none"/>
                      <w:lang w:val="en-US" w:eastAsia="zh-CN"/>
                    </w:rPr>
                    <w:t>工序废气排放口</w:t>
                  </w:r>
                </w:p>
              </w:tc>
              <w:tc>
                <w:tcPr>
                  <w:tcW w:w="705" w:type="dxa"/>
                  <w:noWrap w:val="0"/>
                  <w:vAlign w:val="center"/>
                </w:tcPr>
                <w:p w14:paraId="389C5570">
                  <w:pPr>
                    <w:adjustRightInd w:val="0"/>
                    <w:snapToGrid w:val="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颗粒物</w:t>
                  </w:r>
                </w:p>
              </w:tc>
              <w:tc>
                <w:tcPr>
                  <w:tcW w:w="1425" w:type="dxa"/>
                  <w:noWrap w:val="0"/>
                  <w:vAlign w:val="center"/>
                </w:tcPr>
                <w:p w14:paraId="505DCB4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108°56′56.020″</w:t>
                  </w:r>
                </w:p>
              </w:tc>
              <w:tc>
                <w:tcPr>
                  <w:tcW w:w="1287" w:type="dxa"/>
                  <w:noWrap w:val="0"/>
                  <w:vAlign w:val="center"/>
                </w:tcPr>
                <w:p w14:paraId="51C56E18">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34°32′24.699″</w:t>
                  </w:r>
                </w:p>
              </w:tc>
              <w:tc>
                <w:tcPr>
                  <w:tcW w:w="733" w:type="dxa"/>
                  <w:noWrap w:val="0"/>
                  <w:vAlign w:val="center"/>
                </w:tcPr>
                <w:p w14:paraId="5205204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18</w:t>
                  </w:r>
                </w:p>
              </w:tc>
              <w:tc>
                <w:tcPr>
                  <w:tcW w:w="840" w:type="dxa"/>
                  <w:noWrap w:val="0"/>
                  <w:vAlign w:val="center"/>
                </w:tcPr>
                <w:p w14:paraId="30D55A3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0.</w:t>
                  </w:r>
                  <w:r>
                    <w:rPr>
                      <w:rFonts w:hint="default" w:ascii="Times New Roman" w:hAnsi="Times New Roman" w:cs="Times New Roman"/>
                      <w:color w:val="auto"/>
                      <w:sz w:val="21"/>
                      <w:szCs w:val="21"/>
                      <w:highlight w:val="none"/>
                      <w:lang w:val="en-US" w:eastAsia="zh-CN"/>
                    </w:rPr>
                    <w:t>5</w:t>
                  </w:r>
                </w:p>
              </w:tc>
              <w:tc>
                <w:tcPr>
                  <w:tcW w:w="811" w:type="dxa"/>
                  <w:noWrap w:val="0"/>
                  <w:vAlign w:val="center"/>
                </w:tcPr>
                <w:p w14:paraId="54BAF8F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常温</w:t>
                  </w:r>
                </w:p>
              </w:tc>
              <w:tc>
                <w:tcPr>
                  <w:tcW w:w="698" w:type="dxa"/>
                  <w:noWrap w:val="0"/>
                  <w:vAlign w:val="center"/>
                </w:tcPr>
                <w:p w14:paraId="577525ED">
                  <w:pPr>
                    <w:adjustRightInd w:val="0"/>
                    <w:snapToGrid w:val="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一般</w:t>
                  </w:r>
                </w:p>
                <w:p w14:paraId="0811D999">
                  <w:pPr>
                    <w:adjustRightInd w:val="0"/>
                    <w:snapToGrid w:val="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排放口</w:t>
                  </w:r>
                </w:p>
              </w:tc>
            </w:tr>
          </w:tbl>
          <w:p w14:paraId="55815F9B">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排气筒设置合理性分析</w:t>
            </w:r>
          </w:p>
          <w:p w14:paraId="419F81B6">
            <w:pPr>
              <w:numPr>
                <w:ilvl w:val="0"/>
                <w:numId w:val="0"/>
              </w:numPr>
              <w:adjustRightInd w:val="0"/>
              <w:snapToGrid w:val="0"/>
              <w:spacing w:line="360" w:lineRule="auto"/>
              <w:ind w:leftChars="0"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
              </w:rPr>
              <w:t>根据</w:t>
            </w:r>
            <w:r>
              <w:rPr>
                <w:rFonts w:hint="eastAsia" w:ascii="Times New Roman" w:hAnsi="Times New Roman" w:eastAsia="宋体" w:cs="Times New Roman"/>
                <w:color w:val="auto"/>
                <w:w w:val="100"/>
                <w:kern w:val="2"/>
                <w:sz w:val="24"/>
                <w:szCs w:val="24"/>
                <w:highlight w:val="none"/>
                <w:lang w:val="en-US" w:eastAsia="zh-CN" w:bidi="ar-SA"/>
              </w:rPr>
              <w:t>《大气污染物综合排放标准》（GB16297-1996）</w:t>
            </w:r>
            <w:r>
              <w:rPr>
                <w:rFonts w:hint="default" w:ascii="Times New Roman" w:hAnsi="Times New Roman" w:eastAsia="宋体" w:cs="Times New Roman"/>
                <w:color w:val="auto"/>
                <w:kern w:val="0"/>
                <w:sz w:val="24"/>
                <w:szCs w:val="24"/>
                <w:highlight w:val="none"/>
                <w:lang w:val="en-US" w:eastAsia="zh-CN" w:bidi="ar"/>
              </w:rPr>
              <w:t>中</w:t>
            </w:r>
            <w:r>
              <w:rPr>
                <w:rFonts w:hint="eastAsia" w:ascii="Times New Roman" w:hAnsi="Times New Roman" w:eastAsia="宋体" w:cs="Times New Roman"/>
                <w:color w:val="auto"/>
                <w:kern w:val="0"/>
                <w:sz w:val="24"/>
                <w:szCs w:val="24"/>
                <w:highlight w:val="none"/>
                <w:lang w:val="en-US" w:eastAsia="zh-CN" w:bidi="ar"/>
              </w:rPr>
              <w:t>“7.1</w:t>
            </w:r>
            <w:r>
              <w:rPr>
                <w:rFonts w:hint="default" w:ascii="Times New Roman" w:hAnsi="Times New Roman" w:eastAsia="宋体" w:cs="Times New Roman"/>
                <w:color w:val="auto"/>
                <w:kern w:val="0"/>
                <w:sz w:val="24"/>
                <w:szCs w:val="24"/>
                <w:highlight w:val="none"/>
                <w:lang w:val="en-US" w:eastAsia="zh-CN" w:bidi="ar"/>
              </w:rPr>
              <w:t xml:space="preserve"> 排气</w:t>
            </w:r>
            <w:r>
              <w:rPr>
                <w:rFonts w:hint="eastAsia" w:ascii="Times New Roman" w:hAnsi="Times New Roman" w:eastAsia="宋体" w:cs="Times New Roman"/>
                <w:color w:val="auto"/>
                <w:kern w:val="0"/>
                <w:sz w:val="24"/>
                <w:szCs w:val="24"/>
                <w:highlight w:val="none"/>
                <w:lang w:val="en-US" w:eastAsia="zh-CN" w:bidi="ar"/>
              </w:rPr>
              <w:t>筒</w:t>
            </w:r>
            <w:r>
              <w:rPr>
                <w:rFonts w:hint="default" w:ascii="Times New Roman" w:hAnsi="Times New Roman" w:eastAsia="宋体" w:cs="Times New Roman"/>
                <w:color w:val="auto"/>
                <w:kern w:val="0"/>
                <w:sz w:val="24"/>
                <w:szCs w:val="24"/>
                <w:highlight w:val="none"/>
                <w:lang w:val="en-US" w:eastAsia="zh-CN" w:bidi="ar"/>
              </w:rPr>
              <w:t>高度除须遵守表列排放速率标准值外</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还应高出周围200m半径范围的建筑5m以上</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不能达到该要求的排气</w:t>
            </w:r>
            <w:r>
              <w:rPr>
                <w:rFonts w:hint="eastAsia" w:ascii="Times New Roman" w:hAnsi="Times New Roman" w:eastAsia="宋体" w:cs="Times New Roman"/>
                <w:color w:val="auto"/>
                <w:kern w:val="0"/>
                <w:sz w:val="24"/>
                <w:szCs w:val="24"/>
                <w:highlight w:val="none"/>
                <w:lang w:val="en-US" w:eastAsia="zh-CN" w:bidi="ar"/>
              </w:rPr>
              <w:t>筒，</w:t>
            </w:r>
            <w:r>
              <w:rPr>
                <w:rFonts w:hint="default" w:ascii="Times New Roman" w:hAnsi="Times New Roman" w:eastAsia="宋体" w:cs="Times New Roman"/>
                <w:color w:val="auto"/>
                <w:kern w:val="0"/>
                <w:sz w:val="24"/>
                <w:szCs w:val="24"/>
                <w:highlight w:val="none"/>
                <w:lang w:val="en-US" w:eastAsia="zh-CN" w:bidi="ar"/>
              </w:rPr>
              <w:t>应按其高度对应的表列排放速率标准值严格50%执行。</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本项目所在厂房</w:t>
            </w:r>
            <w:r>
              <w:rPr>
                <w:rFonts w:hint="eastAsia" w:cs="Times New Roman"/>
                <w:color w:val="auto"/>
                <w:kern w:val="0"/>
                <w:sz w:val="24"/>
                <w:szCs w:val="24"/>
                <w:highlight w:val="none"/>
                <w:lang w:val="en-US" w:eastAsia="zh-CN" w:bidi="ar"/>
              </w:rPr>
              <w:t>高为12.5m，是</w:t>
            </w:r>
            <w:r>
              <w:rPr>
                <w:rFonts w:hint="default" w:ascii="Times New Roman" w:hAnsi="Times New Roman" w:eastAsia="宋体" w:cs="Times New Roman"/>
                <w:color w:val="auto"/>
                <w:kern w:val="0"/>
                <w:sz w:val="24"/>
                <w:szCs w:val="24"/>
                <w:highlight w:val="none"/>
                <w:lang w:val="en-US" w:eastAsia="zh-CN" w:bidi="ar"/>
              </w:rPr>
              <w:t>半径200m范围</w:t>
            </w:r>
            <w:r>
              <w:rPr>
                <w:rFonts w:hint="eastAsia" w:cs="Times New Roman"/>
                <w:color w:val="auto"/>
                <w:kern w:val="0"/>
                <w:sz w:val="24"/>
                <w:szCs w:val="24"/>
                <w:highlight w:val="none"/>
                <w:lang w:val="en-US" w:eastAsia="zh-CN" w:bidi="ar"/>
              </w:rPr>
              <w:t>内最高建筑</w:t>
            </w:r>
            <w:r>
              <w:rPr>
                <w:rFonts w:hint="default" w:ascii="Times New Roman" w:hAnsi="Times New Roman" w:eastAsia="宋体" w:cs="Times New Roman"/>
                <w:color w:val="auto"/>
                <w:kern w:val="0"/>
                <w:sz w:val="24"/>
                <w:szCs w:val="24"/>
                <w:highlight w:val="none"/>
                <w:lang w:val="en-US" w:eastAsia="zh-CN" w:bidi="ar"/>
              </w:rPr>
              <w:t>，本项目设置</w:t>
            </w:r>
            <w:r>
              <w:rPr>
                <w:rFonts w:hint="eastAsia" w:cs="Times New Roman"/>
                <w:color w:val="auto"/>
                <w:kern w:val="0"/>
                <w:sz w:val="24"/>
                <w:szCs w:val="24"/>
                <w:highlight w:val="none"/>
                <w:lang w:val="en-US" w:eastAsia="zh-CN" w:bidi="ar"/>
              </w:rPr>
              <w:t>18</w:t>
            </w:r>
            <w:r>
              <w:rPr>
                <w:rFonts w:hint="default" w:ascii="Times New Roman" w:hAnsi="Times New Roman" w:eastAsia="宋体" w:cs="Times New Roman"/>
                <w:color w:val="auto"/>
                <w:kern w:val="0"/>
                <w:sz w:val="24"/>
                <w:szCs w:val="24"/>
                <w:highlight w:val="none"/>
                <w:lang w:val="en-US" w:eastAsia="zh-CN" w:bidi="ar"/>
              </w:rPr>
              <w:t>m</w:t>
            </w:r>
            <w:r>
              <w:rPr>
                <w:rFonts w:hint="eastAsia" w:ascii="Times New Roman" w:hAnsi="Times New Roman" w:eastAsia="宋体" w:cs="Times New Roman"/>
                <w:color w:val="auto"/>
                <w:kern w:val="0"/>
                <w:sz w:val="24"/>
                <w:szCs w:val="24"/>
                <w:highlight w:val="none"/>
                <w:lang w:val="en-US" w:eastAsia="zh-CN" w:bidi="ar"/>
              </w:rPr>
              <w:t>高</w:t>
            </w:r>
            <w:r>
              <w:rPr>
                <w:rFonts w:hint="default" w:ascii="Times New Roman" w:hAnsi="Times New Roman" w:eastAsia="宋体" w:cs="Times New Roman"/>
                <w:color w:val="auto"/>
                <w:kern w:val="0"/>
                <w:sz w:val="24"/>
                <w:szCs w:val="24"/>
                <w:highlight w:val="none"/>
                <w:lang w:val="en-US" w:eastAsia="zh-CN" w:bidi="ar"/>
              </w:rPr>
              <w:t>排气筒，故排气筒设置合理。</w:t>
            </w:r>
          </w:p>
          <w:p w14:paraId="14FF12CF">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废气监测计划</w:t>
            </w:r>
          </w:p>
          <w:p w14:paraId="1989ECFF">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根据《排污单位自行监测技术指南 工业固体废物和危险废物治理》（HJ</w:t>
            </w:r>
            <w:r>
              <w:rPr>
                <w:rFonts w:hint="eastAsia" w:ascii="Times New Roman" w:hAnsi="Times New Roman" w:eastAsia="宋体" w:cs="Times New Roman"/>
                <w:color w:val="auto"/>
                <w:sz w:val="24"/>
                <w:highlight w:val="none"/>
                <w:lang w:val="en-US" w:eastAsia="zh-CN"/>
              </w:rPr>
              <w:t xml:space="preserve"> 1250-2022</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和《排污许可证申请与核发技术规范 废弃资源加工工业》（HJ 1034-2019）</w:t>
            </w:r>
            <w:r>
              <w:rPr>
                <w:rFonts w:hint="default" w:ascii="Times New Roman" w:hAnsi="Times New Roman" w:eastAsia="宋体" w:cs="Times New Roman"/>
                <w:color w:val="auto"/>
                <w:sz w:val="24"/>
                <w:highlight w:val="none"/>
                <w:lang w:val="en-US" w:eastAsia="zh-CN"/>
              </w:rPr>
              <w:t>，本项目运营期废气监测计划见下表。</w:t>
            </w:r>
          </w:p>
          <w:p w14:paraId="08D11235">
            <w:pPr>
              <w:numPr>
                <w:ilvl w:val="0"/>
                <w:numId w:val="0"/>
              </w:num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表4-</w:t>
            </w:r>
            <w:r>
              <w:rPr>
                <w:rFonts w:hint="eastAsia" w:ascii="Times New Roman" w:hAnsi="Times New Roman"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lang w:val="en-US" w:eastAsia="zh-CN"/>
              </w:rPr>
              <w:t xml:space="preserve"> 废气监测计划一览表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04"/>
              <w:gridCol w:w="2160"/>
              <w:gridCol w:w="1312"/>
              <w:gridCol w:w="1073"/>
              <w:gridCol w:w="2463"/>
            </w:tblGrid>
            <w:tr w14:paraId="6BA56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84" w:type="pct"/>
                  <w:noWrap w:val="0"/>
                  <w:vAlign w:val="center"/>
                </w:tcPr>
                <w:p w14:paraId="37D13EB9">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排放口编号/监测点位</w:t>
                  </w:r>
                </w:p>
              </w:tc>
              <w:tc>
                <w:tcPr>
                  <w:tcW w:w="1299" w:type="pct"/>
                  <w:noWrap w:val="0"/>
                  <w:vAlign w:val="center"/>
                </w:tcPr>
                <w:p w14:paraId="1B9FE02A">
                  <w:pPr>
                    <w:adjustRightInd w:val="0"/>
                    <w:snapToGrid w:val="0"/>
                    <w:jc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排放口名称</w:t>
                  </w:r>
                  <w:r>
                    <w:rPr>
                      <w:rFonts w:hint="eastAsia" w:cs="Times New Roman"/>
                      <w:b/>
                      <w:bCs/>
                      <w:color w:val="auto"/>
                      <w:sz w:val="21"/>
                      <w:szCs w:val="21"/>
                      <w:highlight w:val="none"/>
                      <w:lang w:val="en-US" w:eastAsia="zh-CN"/>
                    </w:rPr>
                    <w:t>/</w:t>
                  </w:r>
                </w:p>
                <w:p w14:paraId="105308B4">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监测点位名称</w:t>
                  </w:r>
                </w:p>
              </w:tc>
              <w:tc>
                <w:tcPr>
                  <w:tcW w:w="789" w:type="pct"/>
                  <w:noWrap w:val="0"/>
                  <w:vAlign w:val="center"/>
                </w:tcPr>
                <w:p w14:paraId="61EE9CEE">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污染物名称</w:t>
                  </w:r>
                </w:p>
              </w:tc>
              <w:tc>
                <w:tcPr>
                  <w:tcW w:w="645" w:type="pct"/>
                  <w:noWrap w:val="0"/>
                  <w:vAlign w:val="center"/>
                </w:tcPr>
                <w:p w14:paraId="5038FCE7">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手工监测频次</w:t>
                  </w:r>
                </w:p>
              </w:tc>
              <w:tc>
                <w:tcPr>
                  <w:tcW w:w="1481" w:type="pct"/>
                  <w:noWrap w:val="0"/>
                  <w:vAlign w:val="center"/>
                </w:tcPr>
                <w:p w14:paraId="1B1B61C6">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排放</w:t>
                  </w:r>
                  <w:r>
                    <w:rPr>
                      <w:rFonts w:hint="default" w:ascii="Times New Roman" w:hAnsi="Times New Roman" w:cs="Times New Roman"/>
                      <w:b/>
                      <w:bCs/>
                      <w:color w:val="auto"/>
                      <w:sz w:val="21"/>
                      <w:szCs w:val="21"/>
                      <w:highlight w:val="none"/>
                    </w:rPr>
                    <w:t>标准</w:t>
                  </w:r>
                </w:p>
              </w:tc>
            </w:tr>
            <w:tr w14:paraId="5AA6C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84" w:type="pct"/>
                  <w:noWrap w:val="0"/>
                  <w:vAlign w:val="center"/>
                </w:tcPr>
                <w:p w14:paraId="1BF38CA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DA001</w:t>
                  </w:r>
                </w:p>
              </w:tc>
              <w:tc>
                <w:tcPr>
                  <w:tcW w:w="1299" w:type="pct"/>
                  <w:noWrap w:val="0"/>
                  <w:vAlign w:val="center"/>
                </w:tcPr>
                <w:p w14:paraId="658E5551">
                  <w:pPr>
                    <w:adjustRightInd w:val="0"/>
                    <w:snapToGrid w:val="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上料、破碎和打包</w:t>
                  </w:r>
                  <w:r>
                    <w:rPr>
                      <w:rFonts w:hint="eastAsia" w:ascii="Times New Roman" w:hAnsi="Times New Roman" w:eastAsia="宋体" w:cs="Times New Roman"/>
                      <w:color w:val="auto"/>
                      <w:sz w:val="21"/>
                      <w:szCs w:val="21"/>
                      <w:highlight w:val="none"/>
                      <w:lang w:val="en-US" w:eastAsia="zh-CN"/>
                    </w:rPr>
                    <w:t>工序废气排放口</w:t>
                  </w:r>
                </w:p>
              </w:tc>
              <w:tc>
                <w:tcPr>
                  <w:tcW w:w="789" w:type="pct"/>
                  <w:noWrap w:val="0"/>
                  <w:vAlign w:val="center"/>
                </w:tcPr>
                <w:p w14:paraId="2A7C4481">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颗粒物</w:t>
                  </w:r>
                </w:p>
              </w:tc>
              <w:tc>
                <w:tcPr>
                  <w:tcW w:w="645" w:type="pct"/>
                  <w:noWrap w:val="0"/>
                  <w:vAlign w:val="center"/>
                </w:tcPr>
                <w:p w14:paraId="6FE26AA0">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1次/</w:t>
                  </w:r>
                  <w:r>
                    <w:rPr>
                      <w:rFonts w:hint="eastAsia" w:cs="Times New Roman"/>
                      <w:color w:val="auto"/>
                      <w:sz w:val="21"/>
                      <w:szCs w:val="21"/>
                      <w:highlight w:val="none"/>
                      <w:lang w:val="en-US" w:eastAsia="zh-CN"/>
                    </w:rPr>
                    <w:t>半</w:t>
                  </w:r>
                  <w:r>
                    <w:rPr>
                      <w:rFonts w:hint="default" w:ascii="Times New Roman" w:hAnsi="Times New Roman" w:cs="Times New Roman"/>
                      <w:color w:val="auto"/>
                      <w:sz w:val="21"/>
                      <w:szCs w:val="21"/>
                      <w:highlight w:val="none"/>
                    </w:rPr>
                    <w:t>年</w:t>
                  </w:r>
                </w:p>
              </w:tc>
              <w:tc>
                <w:tcPr>
                  <w:tcW w:w="1481" w:type="pct"/>
                  <w:noWrap w:val="0"/>
                  <w:vAlign w:val="center"/>
                </w:tcPr>
                <w:p w14:paraId="151A0C13">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《大气污染物综合排放</w:t>
                  </w:r>
                </w:p>
                <w:p w14:paraId="12A7EF04">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标准》（GB16297-1996）</w:t>
                  </w:r>
                </w:p>
                <w:p w14:paraId="5060CE3A">
                  <w:pPr>
                    <w:adjustRightInd w:val="0"/>
                    <w:snapToGrid w:val="0"/>
                    <w:jc w:val="center"/>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表2中</w:t>
                  </w:r>
                  <w:r>
                    <w:rPr>
                      <w:rFonts w:hint="default" w:ascii="Times New Roman" w:hAnsi="Times New Roman" w:eastAsia="宋体" w:cs="Times New Roman"/>
                      <w:color w:val="auto"/>
                      <w:sz w:val="21"/>
                      <w:szCs w:val="21"/>
                      <w:highlight w:val="none"/>
                      <w:lang w:val="en-US" w:eastAsia="zh-CN"/>
                    </w:rPr>
                    <w:t>相关标准限值</w:t>
                  </w:r>
                </w:p>
              </w:tc>
            </w:tr>
            <w:tr w14:paraId="59364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84" w:type="pct"/>
                  <w:noWrap w:val="0"/>
                  <w:vAlign w:val="center"/>
                </w:tcPr>
                <w:p w14:paraId="1068B74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p>
              </w:tc>
              <w:tc>
                <w:tcPr>
                  <w:tcW w:w="1299" w:type="pct"/>
                  <w:noWrap w:val="0"/>
                  <w:vAlign w:val="center"/>
                </w:tcPr>
                <w:p w14:paraId="0FD48262">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厂界上风向1个、</w:t>
                  </w:r>
                </w:p>
                <w:p w14:paraId="50745B96">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下风向3个</w:t>
                  </w:r>
                </w:p>
              </w:tc>
              <w:tc>
                <w:tcPr>
                  <w:tcW w:w="789" w:type="pct"/>
                  <w:noWrap w:val="0"/>
                  <w:vAlign w:val="center"/>
                </w:tcPr>
                <w:p w14:paraId="6621148D">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颗粒物</w:t>
                  </w:r>
                </w:p>
              </w:tc>
              <w:tc>
                <w:tcPr>
                  <w:tcW w:w="645" w:type="pct"/>
                  <w:noWrap w:val="0"/>
                  <w:vAlign w:val="center"/>
                </w:tcPr>
                <w:p w14:paraId="77163BD3">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1次/</w:t>
                  </w:r>
                  <w:r>
                    <w:rPr>
                      <w:rFonts w:hint="eastAsia" w:cs="Times New Roman"/>
                      <w:color w:val="auto"/>
                      <w:sz w:val="21"/>
                      <w:szCs w:val="21"/>
                      <w:highlight w:val="none"/>
                      <w:lang w:val="en-US" w:eastAsia="zh-CN"/>
                    </w:rPr>
                    <w:t>半年</w:t>
                  </w:r>
                </w:p>
              </w:tc>
              <w:tc>
                <w:tcPr>
                  <w:tcW w:w="1481" w:type="pct"/>
                  <w:noWrap w:val="0"/>
                  <w:vAlign w:val="center"/>
                </w:tcPr>
                <w:p w14:paraId="751C4D8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《大气污染物综合排放</w:t>
                  </w:r>
                </w:p>
                <w:p w14:paraId="02FE316B">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标准》（GB16297-1996）</w:t>
                  </w:r>
                </w:p>
                <w:p w14:paraId="10C530F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无组织排放监控浓度限值</w:t>
                  </w:r>
                </w:p>
              </w:tc>
            </w:tr>
          </w:tbl>
          <w:p w14:paraId="035C9AD9">
            <w:pPr>
              <w:numPr>
                <w:ilvl w:val="1"/>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非正常排放情况</w:t>
            </w:r>
          </w:p>
          <w:p w14:paraId="51390425">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非正常工况下大气污染物核算：非正常工况包括生产设备开停、局部设备故障及检修等工况。本项目非正常工况主要为设备检验、维修。</w:t>
            </w:r>
          </w:p>
          <w:p w14:paraId="220DEFC1">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（1）发生频次</w:t>
            </w:r>
          </w:p>
          <w:p w14:paraId="5E913339">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由于本项目采用的废气治理设施原理及设备结构简单，技术相对成熟，检修频次按1年/次考虑。</w:t>
            </w:r>
          </w:p>
          <w:p w14:paraId="6753BD9C">
            <w:pPr>
              <w:keepNext w:val="0"/>
              <w:keepLines w:val="0"/>
              <w:pageBreakBefore w:val="0"/>
              <w:numPr>
                <w:ilvl w:val="0"/>
                <w:numId w:val="0"/>
              </w:numPr>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（2）非正常废气污染物排放量核算</w:t>
            </w:r>
          </w:p>
          <w:p w14:paraId="483040AA">
            <w:pPr>
              <w:keepNext w:val="0"/>
              <w:keepLines w:val="0"/>
              <w:pageBreakBefore w:val="0"/>
              <w:widowControl/>
              <w:wordWrap/>
              <w:overflowPunct/>
              <w:topLinePunct w:val="0"/>
              <w:autoSpaceDE w:val="0"/>
              <w:autoSpaceDN w:val="0"/>
              <w:bidi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表4-</w:t>
            </w:r>
            <w:r>
              <w:rPr>
                <w:rFonts w:hint="eastAsia" w:ascii="Times New Roman" w:hAnsi="Times New Roman" w:cs="Times New Roman"/>
                <w:b/>
                <w:bCs/>
                <w:color w:val="auto"/>
                <w:sz w:val="21"/>
                <w:szCs w:val="21"/>
                <w:highlight w:val="none"/>
                <w:lang w:val="en-US" w:eastAsia="zh-CN"/>
              </w:rPr>
              <w:t>5</w:t>
            </w:r>
            <w:r>
              <w:rPr>
                <w:rFonts w:hint="eastAsia"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非正常工况下废气污染物排放情况一览表</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8"/>
              <w:gridCol w:w="836"/>
              <w:gridCol w:w="1209"/>
              <w:gridCol w:w="737"/>
              <w:gridCol w:w="638"/>
              <w:gridCol w:w="589"/>
              <w:gridCol w:w="737"/>
              <w:gridCol w:w="690"/>
              <w:gridCol w:w="805"/>
              <w:gridCol w:w="1716"/>
            </w:tblGrid>
            <w:tr w14:paraId="2FA00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9" w:type="pct"/>
                  <w:tcBorders>
                    <w:tl2br w:val="nil"/>
                    <w:tr2bl w:val="nil"/>
                  </w:tcBorders>
                  <w:noWrap w:val="0"/>
                  <w:tcMar>
                    <w:left w:w="28" w:type="dxa"/>
                    <w:right w:w="28" w:type="dxa"/>
                  </w:tcMar>
                  <w:vAlign w:val="center"/>
                </w:tcPr>
                <w:p w14:paraId="462AAB7C">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503" w:type="pct"/>
                  <w:tcBorders>
                    <w:tl2br w:val="nil"/>
                    <w:tr2bl w:val="nil"/>
                  </w:tcBorders>
                  <w:noWrap w:val="0"/>
                  <w:tcMar>
                    <w:left w:w="28" w:type="dxa"/>
                    <w:right w:w="28" w:type="dxa"/>
                  </w:tcMar>
                  <w:vAlign w:val="center"/>
                </w:tcPr>
                <w:p w14:paraId="73AD6314">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非正常排放源</w:t>
                  </w:r>
                </w:p>
              </w:tc>
              <w:tc>
                <w:tcPr>
                  <w:tcW w:w="727" w:type="pct"/>
                  <w:tcBorders>
                    <w:tl2br w:val="nil"/>
                    <w:tr2bl w:val="nil"/>
                  </w:tcBorders>
                  <w:noWrap w:val="0"/>
                  <w:tcMar>
                    <w:left w:w="28" w:type="dxa"/>
                    <w:right w:w="28" w:type="dxa"/>
                  </w:tcMar>
                  <w:vAlign w:val="center"/>
                </w:tcPr>
                <w:p w14:paraId="0D1F1BBE">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非正常</w:t>
                  </w:r>
                </w:p>
                <w:p w14:paraId="2E7D7316">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排放原因</w:t>
                  </w:r>
                </w:p>
              </w:tc>
              <w:tc>
                <w:tcPr>
                  <w:tcW w:w="443" w:type="pct"/>
                  <w:tcBorders>
                    <w:tl2br w:val="nil"/>
                    <w:tr2bl w:val="nil"/>
                  </w:tcBorders>
                  <w:noWrap w:val="0"/>
                  <w:tcMar>
                    <w:left w:w="28" w:type="dxa"/>
                    <w:right w:w="28" w:type="dxa"/>
                  </w:tcMar>
                  <w:vAlign w:val="center"/>
                </w:tcPr>
                <w:p w14:paraId="415EC237">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384" w:type="pct"/>
                  <w:tcBorders>
                    <w:tl2br w:val="nil"/>
                    <w:tr2bl w:val="nil"/>
                  </w:tcBorders>
                  <w:noWrap w:val="0"/>
                  <w:tcMar>
                    <w:left w:w="28" w:type="dxa"/>
                    <w:right w:w="28" w:type="dxa"/>
                  </w:tcMar>
                  <w:vAlign w:val="center"/>
                </w:tcPr>
                <w:p w14:paraId="14837FE8">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浓度mg/m</w:t>
                  </w:r>
                  <w:r>
                    <w:rPr>
                      <w:rFonts w:hint="default" w:ascii="Times New Roman" w:hAnsi="Times New Roman" w:eastAsia="宋体" w:cs="Times New Roman"/>
                      <w:b/>
                      <w:bCs/>
                      <w:color w:val="auto"/>
                      <w:sz w:val="21"/>
                      <w:szCs w:val="21"/>
                      <w:highlight w:val="none"/>
                      <w:vertAlign w:val="superscript"/>
                    </w:rPr>
                    <w:t>3</w:t>
                  </w:r>
                </w:p>
              </w:tc>
              <w:tc>
                <w:tcPr>
                  <w:tcW w:w="354" w:type="pct"/>
                  <w:tcBorders>
                    <w:tl2br w:val="nil"/>
                    <w:tr2bl w:val="nil"/>
                  </w:tcBorders>
                  <w:noWrap w:val="0"/>
                  <w:tcMar>
                    <w:left w:w="28" w:type="dxa"/>
                    <w:right w:w="28" w:type="dxa"/>
                  </w:tcMar>
                  <w:vAlign w:val="center"/>
                </w:tcPr>
                <w:p w14:paraId="0CD7D6A4">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速率kg/h</w:t>
                  </w:r>
                </w:p>
              </w:tc>
              <w:tc>
                <w:tcPr>
                  <w:tcW w:w="443" w:type="pct"/>
                  <w:tcBorders>
                    <w:tl2br w:val="nil"/>
                    <w:tr2bl w:val="nil"/>
                  </w:tcBorders>
                  <w:noWrap w:val="0"/>
                  <w:tcMar>
                    <w:left w:w="28" w:type="dxa"/>
                    <w:right w:w="28" w:type="dxa"/>
                  </w:tcMar>
                  <w:vAlign w:val="center"/>
                </w:tcPr>
                <w:p w14:paraId="48426BC7">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排放量</w:t>
                  </w:r>
                  <w:r>
                    <w:rPr>
                      <w:rFonts w:hint="eastAsia" w:cs="Times New Roman"/>
                      <w:b/>
                      <w:bCs/>
                      <w:color w:val="auto"/>
                      <w:sz w:val="21"/>
                      <w:szCs w:val="21"/>
                      <w:highlight w:val="none"/>
                      <w:lang w:val="en-US" w:eastAsia="zh-CN"/>
                    </w:rPr>
                    <w:t>t</w:t>
                  </w:r>
                </w:p>
              </w:tc>
              <w:tc>
                <w:tcPr>
                  <w:tcW w:w="415" w:type="pct"/>
                  <w:tcBorders>
                    <w:tl2br w:val="nil"/>
                    <w:tr2bl w:val="nil"/>
                  </w:tcBorders>
                  <w:noWrap w:val="0"/>
                  <w:tcMar>
                    <w:left w:w="28" w:type="dxa"/>
                    <w:right w:w="28" w:type="dxa"/>
                  </w:tcMar>
                  <w:vAlign w:val="center"/>
                </w:tcPr>
                <w:p w14:paraId="29D01796">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单次持续时间/h</w:t>
                  </w:r>
                </w:p>
              </w:tc>
              <w:tc>
                <w:tcPr>
                  <w:tcW w:w="484" w:type="pct"/>
                  <w:tcBorders>
                    <w:tl2br w:val="nil"/>
                    <w:tr2bl w:val="nil"/>
                  </w:tcBorders>
                  <w:noWrap w:val="0"/>
                  <w:tcMar>
                    <w:left w:w="28" w:type="dxa"/>
                    <w:right w:w="28" w:type="dxa"/>
                  </w:tcMar>
                  <w:vAlign w:val="center"/>
                </w:tcPr>
                <w:p w14:paraId="17F7916F">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年发生频次/次</w:t>
                  </w:r>
                </w:p>
              </w:tc>
              <w:tc>
                <w:tcPr>
                  <w:tcW w:w="1033" w:type="pct"/>
                  <w:tcBorders>
                    <w:tl2br w:val="nil"/>
                    <w:tr2bl w:val="nil"/>
                  </w:tcBorders>
                  <w:noWrap w:val="0"/>
                  <w:tcMar>
                    <w:left w:w="28" w:type="dxa"/>
                    <w:right w:w="28" w:type="dxa"/>
                  </w:tcMar>
                  <w:vAlign w:val="center"/>
                </w:tcPr>
                <w:p w14:paraId="1F008AEF">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采取措施</w:t>
                  </w:r>
                </w:p>
              </w:tc>
            </w:tr>
            <w:tr w14:paraId="4E2DE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9" w:type="pct"/>
                  <w:tcBorders>
                    <w:tl2br w:val="nil"/>
                    <w:tr2bl w:val="nil"/>
                  </w:tcBorders>
                  <w:noWrap w:val="0"/>
                  <w:tcMar>
                    <w:left w:w="28" w:type="dxa"/>
                    <w:right w:w="28" w:type="dxa"/>
                  </w:tcMar>
                  <w:vAlign w:val="center"/>
                </w:tcPr>
                <w:p w14:paraId="20D7A508">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503" w:type="pct"/>
                  <w:tcBorders>
                    <w:tl2br w:val="nil"/>
                    <w:tr2bl w:val="nil"/>
                  </w:tcBorders>
                  <w:noWrap w:val="0"/>
                  <w:tcMar>
                    <w:left w:w="28" w:type="dxa"/>
                    <w:right w:w="28" w:type="dxa"/>
                  </w:tcMar>
                  <w:vAlign w:val="center"/>
                </w:tcPr>
                <w:p w14:paraId="7B498DBA">
                  <w:pPr>
                    <w:keepNext w:val="0"/>
                    <w:keepLines w:val="0"/>
                    <w:pageBreakBefore w:val="0"/>
                    <w:kinsoku/>
                    <w:wordWrap/>
                    <w:overflowPunct/>
                    <w:topLinePunct w:val="0"/>
                    <w:autoSpaceDE/>
                    <w:autoSpaceDN/>
                    <w:bidi w:val="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DA00</w:t>
                  </w:r>
                  <w:r>
                    <w:rPr>
                      <w:rFonts w:hint="default" w:ascii="Times New Roman" w:hAnsi="Times New Roman" w:cs="Times New Roman"/>
                      <w:b w:val="0"/>
                      <w:bCs/>
                      <w:color w:val="auto"/>
                      <w:sz w:val="21"/>
                      <w:szCs w:val="21"/>
                      <w:highlight w:val="none"/>
                      <w:lang w:val="en-US" w:eastAsia="zh-CN"/>
                    </w:rPr>
                    <w:t>1</w:t>
                  </w:r>
                </w:p>
              </w:tc>
              <w:tc>
                <w:tcPr>
                  <w:tcW w:w="727" w:type="pct"/>
                  <w:tcBorders>
                    <w:tl2br w:val="nil"/>
                    <w:tr2bl w:val="nil"/>
                  </w:tcBorders>
                  <w:noWrap w:val="0"/>
                  <w:tcMar>
                    <w:left w:w="28" w:type="dxa"/>
                    <w:right w:w="28" w:type="dxa"/>
                  </w:tcMar>
                  <w:vAlign w:val="center"/>
                </w:tcPr>
                <w:p w14:paraId="51BA7025">
                  <w:pPr>
                    <w:pStyle w:val="12"/>
                    <w:keepNext w:val="0"/>
                    <w:keepLines w:val="0"/>
                    <w:pageBreakBefore w:val="0"/>
                    <w:numPr>
                      <w:ilvl w:val="0"/>
                      <w:numId w:val="0"/>
                    </w:numPr>
                    <w:tabs>
                      <w:tab w:val="left" w:pos="6855"/>
                    </w:tabs>
                    <w:kinsoku/>
                    <w:wordWrap/>
                    <w:overflowPunct/>
                    <w:topLinePunct w:val="0"/>
                    <w:autoSpaceDE/>
                    <w:autoSpaceDN/>
                    <w:bidi w:val="0"/>
                    <w:adjustRightInd/>
                    <w:snapToGrid/>
                    <w:spacing w:after="0" w:line="240" w:lineRule="auto"/>
                    <w:ind w:left="0" w:leftChars="0" w:firstLine="0" w:firstLineChars="0"/>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eastAsia" w:ascii="Times New Roman" w:hAnsi="Times New Roman" w:eastAsia="宋体" w:cs="Times New Roman"/>
                      <w:b w:val="0"/>
                      <w:bCs/>
                      <w:color w:val="auto"/>
                      <w:kern w:val="2"/>
                      <w:sz w:val="21"/>
                      <w:szCs w:val="21"/>
                      <w:highlight w:val="none"/>
                      <w:vertAlign w:val="baseline"/>
                      <w:lang w:val="en-US" w:eastAsia="zh-CN" w:bidi="ar-SA"/>
                    </w:rPr>
                    <w:t>布袋除尘器</w:t>
                  </w:r>
                  <w:r>
                    <w:rPr>
                      <w:rFonts w:hint="default" w:ascii="Times New Roman" w:hAnsi="Times New Roman" w:eastAsia="宋体" w:cs="Times New Roman"/>
                      <w:b w:val="0"/>
                      <w:bCs/>
                      <w:color w:val="auto"/>
                      <w:kern w:val="2"/>
                      <w:sz w:val="21"/>
                      <w:szCs w:val="21"/>
                      <w:highlight w:val="none"/>
                      <w:vertAlign w:val="baseline"/>
                      <w:lang w:val="en-US" w:eastAsia="zh-CN" w:bidi="ar-SA"/>
                    </w:rPr>
                    <w:t>或风机故障</w:t>
                  </w:r>
                  <w:r>
                    <w:rPr>
                      <w:rFonts w:hint="eastAsia" w:cs="Times New Roman"/>
                      <w:b w:val="0"/>
                      <w:bCs/>
                      <w:color w:val="auto"/>
                      <w:kern w:val="2"/>
                      <w:sz w:val="21"/>
                      <w:szCs w:val="21"/>
                      <w:highlight w:val="none"/>
                      <w:vertAlign w:val="baseline"/>
                      <w:lang w:val="en-US" w:eastAsia="zh-CN" w:bidi="ar-SA"/>
                    </w:rPr>
                    <w:t>，收集效率为10%</w:t>
                  </w:r>
                </w:p>
              </w:tc>
              <w:tc>
                <w:tcPr>
                  <w:tcW w:w="443" w:type="pct"/>
                  <w:tcBorders>
                    <w:tl2br w:val="nil"/>
                    <w:tr2bl w:val="nil"/>
                  </w:tcBorders>
                  <w:noWrap w:val="0"/>
                  <w:tcMar>
                    <w:left w:w="28" w:type="dxa"/>
                    <w:right w:w="28" w:type="dxa"/>
                  </w:tcMar>
                  <w:vAlign w:val="center"/>
                </w:tcPr>
                <w:p w14:paraId="416B8D4C">
                  <w:pPr>
                    <w:pStyle w:val="23"/>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auto"/>
                      <w:kern w:val="0"/>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颗粒物</w:t>
                  </w:r>
                </w:p>
              </w:tc>
              <w:tc>
                <w:tcPr>
                  <w:tcW w:w="638" w:type="dxa"/>
                  <w:tcBorders>
                    <w:tl2br w:val="nil"/>
                    <w:tr2bl w:val="nil"/>
                  </w:tcBorders>
                  <w:noWrap w:val="0"/>
                  <w:tcMar>
                    <w:left w:w="28" w:type="dxa"/>
                    <w:right w:w="28" w:type="dxa"/>
                  </w:tcMar>
                  <w:vAlign w:val="center"/>
                </w:tcPr>
                <w:p w14:paraId="463D827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374.82</w:t>
                  </w:r>
                </w:p>
              </w:tc>
              <w:tc>
                <w:tcPr>
                  <w:tcW w:w="589" w:type="dxa"/>
                  <w:tcBorders>
                    <w:tl2br w:val="nil"/>
                    <w:tr2bl w:val="nil"/>
                  </w:tcBorders>
                  <w:noWrap w:val="0"/>
                  <w:tcMar>
                    <w:left w:w="28" w:type="dxa"/>
                    <w:right w:w="28" w:type="dxa"/>
                  </w:tcMar>
                  <w:vAlign w:val="center"/>
                </w:tcPr>
                <w:p w14:paraId="6CE854B5">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5.622</w:t>
                  </w:r>
                </w:p>
              </w:tc>
              <w:tc>
                <w:tcPr>
                  <w:tcW w:w="443" w:type="pct"/>
                  <w:tcBorders>
                    <w:tl2br w:val="nil"/>
                    <w:tr2bl w:val="nil"/>
                  </w:tcBorders>
                  <w:noWrap w:val="0"/>
                  <w:tcMar>
                    <w:left w:w="28" w:type="dxa"/>
                    <w:right w:w="28" w:type="dxa"/>
                  </w:tcMar>
                  <w:vAlign w:val="center"/>
                </w:tcPr>
                <w:p w14:paraId="4FE902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5.622</w:t>
                  </w:r>
                </w:p>
              </w:tc>
              <w:tc>
                <w:tcPr>
                  <w:tcW w:w="415" w:type="pct"/>
                  <w:tcBorders>
                    <w:tl2br w:val="nil"/>
                    <w:tr2bl w:val="nil"/>
                  </w:tcBorders>
                  <w:noWrap w:val="0"/>
                  <w:tcMar>
                    <w:left w:w="28" w:type="dxa"/>
                    <w:right w:w="28" w:type="dxa"/>
                  </w:tcMar>
                  <w:vAlign w:val="center"/>
                </w:tcPr>
                <w:p w14:paraId="51974B53">
                  <w:pPr>
                    <w:pStyle w:val="23"/>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1</w:t>
                  </w:r>
                </w:p>
              </w:tc>
              <w:tc>
                <w:tcPr>
                  <w:tcW w:w="484" w:type="pct"/>
                  <w:tcBorders>
                    <w:tl2br w:val="nil"/>
                    <w:tr2bl w:val="nil"/>
                  </w:tcBorders>
                  <w:noWrap w:val="0"/>
                  <w:tcMar>
                    <w:left w:w="28" w:type="dxa"/>
                    <w:right w:w="28" w:type="dxa"/>
                  </w:tcMar>
                  <w:vAlign w:val="center"/>
                </w:tcPr>
                <w:p w14:paraId="1A5A592C">
                  <w:pPr>
                    <w:pStyle w:val="23"/>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auto"/>
                      <w:kern w:val="0"/>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1</w:t>
                  </w:r>
                </w:p>
              </w:tc>
              <w:tc>
                <w:tcPr>
                  <w:tcW w:w="1033" w:type="pct"/>
                  <w:tcBorders>
                    <w:tl2br w:val="nil"/>
                    <w:tr2bl w:val="nil"/>
                  </w:tcBorders>
                  <w:noWrap w:val="0"/>
                  <w:tcMar>
                    <w:left w:w="28" w:type="dxa"/>
                    <w:right w:w="28" w:type="dxa"/>
                  </w:tcMar>
                  <w:vAlign w:val="center"/>
                </w:tcPr>
                <w:p w14:paraId="3C5A3EB7">
                  <w:pPr>
                    <w:pStyle w:val="23"/>
                    <w:keepNext w:val="0"/>
                    <w:keepLines w:val="0"/>
                    <w:pageBreakBefore w:val="0"/>
                    <w:kinsoku/>
                    <w:wordWrap/>
                    <w:overflowPunct/>
                    <w:topLinePunct w:val="0"/>
                    <w:autoSpaceDE/>
                    <w:autoSpaceDN/>
                    <w:bidi w:val="0"/>
                    <w:spacing w:before="0" w:after="0" w:line="240" w:lineRule="auto"/>
                    <w:ind w:right="0" w:firstLine="0" w:firstLineChars="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加强维护</w:t>
                  </w:r>
                  <w:r>
                    <w:rPr>
                      <w:rFonts w:hint="eastAsia" w:ascii="Times New Roman" w:hAnsi="Times New Roman" w:eastAsia="宋体" w:cs="Times New Roman"/>
                      <w:b w:val="0"/>
                      <w:bCs/>
                      <w:color w:val="auto"/>
                      <w:sz w:val="21"/>
                      <w:szCs w:val="21"/>
                      <w:highlight w:val="none"/>
                      <w:vertAlign w:val="baseline"/>
                      <w:lang w:val="en-US" w:eastAsia="zh-CN"/>
                    </w:rPr>
                    <w:t>管理</w:t>
                  </w:r>
                  <w:r>
                    <w:rPr>
                      <w:rFonts w:hint="default" w:ascii="Times New Roman" w:hAnsi="Times New Roman" w:eastAsia="宋体" w:cs="Times New Roman"/>
                      <w:b w:val="0"/>
                      <w:bCs/>
                      <w:color w:val="auto"/>
                      <w:sz w:val="21"/>
                      <w:szCs w:val="21"/>
                      <w:highlight w:val="none"/>
                      <w:vertAlign w:val="baseline"/>
                      <w:lang w:val="en-US" w:eastAsia="zh-CN"/>
                    </w:rPr>
                    <w:t>，选用可靠设备，废气日常监测与记录</w:t>
                  </w:r>
                </w:p>
              </w:tc>
            </w:tr>
          </w:tbl>
          <w:p w14:paraId="5C2744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14:paraId="494EE3DB">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 1 \* GB3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t>安排专人负责环保设备的日常维护和管理，</w:t>
            </w:r>
            <w:r>
              <w:rPr>
                <w:rFonts w:hint="default" w:ascii="Times New Roman" w:hAnsi="Times New Roman" w:cs="Times New Roman"/>
                <w:color w:val="auto"/>
                <w:sz w:val="24"/>
                <w:szCs w:val="24"/>
                <w:highlight w:val="none"/>
                <w:lang w:eastAsia="zh-CN"/>
              </w:rPr>
              <w:t>每隔</w:t>
            </w:r>
            <w:r>
              <w:rPr>
                <w:rFonts w:hint="default" w:ascii="Times New Roman" w:hAnsi="Times New Roman" w:eastAsia="宋体" w:cs="Times New Roman"/>
                <w:color w:val="auto"/>
                <w:sz w:val="24"/>
                <w:szCs w:val="24"/>
                <w:highlight w:val="none"/>
              </w:rPr>
              <w:t>固定时间检查、汇报情况，及时发现废气处理设备的隐患，确保废气处理系统正常运行；</w:t>
            </w:r>
          </w:p>
          <w:p w14:paraId="697C57C6">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②建立健全的环保管理机构，对环保管理人员和技术人员进行岗位培训，委托具有专业资质的</w:t>
            </w:r>
            <w:r>
              <w:rPr>
                <w:rFonts w:hint="default" w:ascii="Times New Roman" w:hAnsi="Times New Roman" w:eastAsia="宋体" w:cs="Times New Roman"/>
                <w:color w:val="auto"/>
                <w:sz w:val="24"/>
                <w:szCs w:val="24"/>
                <w:highlight w:val="none"/>
                <w:lang w:eastAsia="zh-CN"/>
              </w:rPr>
              <w:t>环境监测</w:t>
            </w:r>
            <w:r>
              <w:rPr>
                <w:rFonts w:hint="default" w:ascii="Times New Roman" w:hAnsi="Times New Roman" w:eastAsia="宋体" w:cs="Times New Roman"/>
                <w:color w:val="auto"/>
                <w:sz w:val="24"/>
                <w:szCs w:val="24"/>
                <w:highlight w:val="none"/>
              </w:rPr>
              <w:t>单位对项目排放的各类污染物进行定期检测；</w:t>
            </w:r>
          </w:p>
          <w:p w14:paraId="48F67829">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③应定期维护、检修废气净化装置，以保持废气处理装置净化能力和净化容量。</w:t>
            </w:r>
          </w:p>
          <w:p w14:paraId="2C61679E">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sz w:val="24"/>
                <w:szCs w:val="24"/>
                <w:highlight w:val="none"/>
              </w:rPr>
              <w:t>④每班次开工前，确认废气处理设备开启并正常运行。若有需要停产检修的情况，需要关闭生产设备一段时间后再关闭废气处理设备，不存在废气突然排放情况。</w:t>
            </w:r>
          </w:p>
          <w:p w14:paraId="6497C170">
            <w:pPr>
              <w:numPr>
                <w:ilvl w:val="0"/>
                <w:numId w:val="8"/>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废水</w:t>
            </w:r>
          </w:p>
          <w:p w14:paraId="175EB1C0">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2.1废水源强核算</w:t>
            </w:r>
          </w:p>
          <w:p w14:paraId="53B6516D">
            <w:pPr>
              <w:adjustRightInd w:val="0"/>
              <w:snapToGrid w:val="0"/>
              <w:spacing w:line="360" w:lineRule="auto"/>
              <w:ind w:firstLine="480" w:firstLineChars="200"/>
              <w:textAlignment w:val="baseline"/>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本项目运营期主要废水为生活污水，废水</w:t>
            </w:r>
            <w:r>
              <w:rPr>
                <w:rFonts w:hint="default" w:ascii="Times New Roman" w:hAnsi="Times New Roman" w:cs="Times New Roman"/>
                <w:color w:val="auto"/>
                <w:sz w:val="24"/>
                <w:highlight w:val="none"/>
              </w:rPr>
              <w:t>产生量约</w:t>
            </w:r>
            <w:r>
              <w:rPr>
                <w:rFonts w:hint="eastAsia" w:cs="Times New Roman"/>
                <w:color w:val="auto"/>
                <w:sz w:val="24"/>
                <w:highlight w:val="none"/>
                <w:lang w:val="en-US" w:eastAsia="zh-CN"/>
              </w:rPr>
              <w:t>400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/a。生活污水经</w:t>
            </w:r>
            <w:r>
              <w:rPr>
                <w:rFonts w:hint="eastAsia" w:ascii="Times New Roman" w:hAnsi="Times New Roman" w:cs="Times New Roman"/>
                <w:color w:val="auto"/>
                <w:sz w:val="24"/>
                <w:highlight w:val="none"/>
                <w:lang w:val="en-US" w:eastAsia="zh-CN"/>
              </w:rPr>
              <w:t>陕西国坤时代科技有限公司化粪池</w:t>
            </w:r>
            <w:r>
              <w:rPr>
                <w:rFonts w:hint="default" w:ascii="Times New Roman" w:hAnsi="Times New Roman" w:cs="Times New Roman"/>
                <w:color w:val="auto"/>
                <w:sz w:val="24"/>
                <w:highlight w:val="none"/>
              </w:rPr>
              <w:t>处理后排入市政污水管网，流向</w:t>
            </w:r>
            <w:r>
              <w:rPr>
                <w:rFonts w:hint="default" w:ascii="Times New Roman" w:hAnsi="Times New Roman" w:eastAsia="宋体" w:cs="Times New Roman"/>
                <w:color w:val="auto"/>
                <w:kern w:val="2"/>
                <w:sz w:val="24"/>
                <w:szCs w:val="24"/>
                <w:highlight w:val="none"/>
                <w:lang w:val="en-US" w:eastAsia="zh-CN" w:bidi="ar-SA"/>
              </w:rPr>
              <w:t>泾河新城第二污水处理厂</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szCs w:val="24"/>
                <w:highlight w:val="none"/>
                <w:lang w:val="en-US" w:eastAsia="zh-CN"/>
              </w:rPr>
              <w:t>根据《给排水设计手册》第5册中生活污水水质数据，本项目生活污水水污染物浓度最大取值为COD</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eastAsia="宋体" w:cs="Times New Roman"/>
                <w:color w:val="auto"/>
                <w:sz w:val="24"/>
                <w:szCs w:val="24"/>
                <w:highlight w:val="none"/>
                <w:lang w:val="en-US" w:eastAsia="zh-CN"/>
              </w:rPr>
              <w:t>350mg/L</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BOD</w:t>
            </w:r>
            <w:r>
              <w:rPr>
                <w:rFonts w:hint="default" w:ascii="Times New Roman" w:hAnsi="Times New Roman"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280mg/L、SS</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300 mg/L、NH</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-N</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40mg/L</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项目废水生产、排放一览表见</w:t>
            </w:r>
            <w:r>
              <w:rPr>
                <w:rFonts w:hint="default" w:ascii="Times New Roman" w:hAnsi="Times New Roman" w:cs="Times New Roman"/>
                <w:color w:val="auto"/>
                <w:sz w:val="24"/>
                <w:highlight w:val="none"/>
                <w:lang w:eastAsia="zh-CN"/>
              </w:rPr>
              <w:t>下表</w:t>
            </w:r>
            <w:r>
              <w:rPr>
                <w:rFonts w:hint="default" w:ascii="Times New Roman" w:hAnsi="Times New Roman" w:cs="Times New Roman"/>
                <w:color w:val="auto"/>
                <w:sz w:val="24"/>
                <w:highlight w:val="none"/>
              </w:rPr>
              <w:t>。</w:t>
            </w:r>
          </w:p>
          <w:p w14:paraId="14F51CA9">
            <w:pPr>
              <w:tabs>
                <w:tab w:val="left" w:pos="709"/>
              </w:tabs>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w:t>
            </w:r>
            <w:r>
              <w:rPr>
                <w:rFonts w:hint="default" w:ascii="Times New Roman" w:hAnsi="Times New Roman" w:cs="Times New Roman"/>
                <w:b/>
                <w:bCs/>
                <w:color w:val="auto"/>
                <w:szCs w:val="21"/>
                <w:highlight w:val="none"/>
                <w:lang w:val="en-US" w:eastAsia="zh-CN"/>
              </w:rPr>
              <w:t>4-</w:t>
            </w:r>
            <w:r>
              <w:rPr>
                <w:rFonts w:hint="eastAsia" w:ascii="Times New Roman" w:hAnsi="Times New Roman" w:cs="Times New Roman"/>
                <w:b/>
                <w:bCs/>
                <w:color w:val="auto"/>
                <w:szCs w:val="21"/>
                <w:highlight w:val="none"/>
                <w:lang w:val="en-US" w:eastAsia="zh-CN"/>
              </w:rPr>
              <w:t xml:space="preserve">6 </w:t>
            </w:r>
            <w:r>
              <w:rPr>
                <w:rFonts w:hint="default" w:ascii="Times New Roman" w:hAnsi="Times New Roman" w:eastAsia="宋体" w:cs="Times New Roman"/>
                <w:b/>
                <w:bCs/>
                <w:color w:val="auto"/>
                <w:szCs w:val="21"/>
                <w:highlight w:val="none"/>
              </w:rPr>
              <w:t>项目废水产生、排放一览表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3368"/>
              <w:gridCol w:w="975"/>
              <w:gridCol w:w="990"/>
              <w:gridCol w:w="975"/>
              <w:gridCol w:w="939"/>
            </w:tblGrid>
            <w:tr w14:paraId="6190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noWrap w:val="0"/>
                  <w:vAlign w:val="center"/>
                </w:tcPr>
                <w:p w14:paraId="5D13EAFA">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val="en-US" w:eastAsia="zh-CN"/>
                    </w:rPr>
                    <w:t>类别</w:t>
                  </w:r>
                </w:p>
              </w:tc>
              <w:tc>
                <w:tcPr>
                  <w:tcW w:w="2026" w:type="pct"/>
                  <w:noWrap w:val="0"/>
                  <w:vAlign w:val="center"/>
                </w:tcPr>
                <w:p w14:paraId="7B99B2D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类别</w:t>
                  </w:r>
                </w:p>
              </w:tc>
              <w:tc>
                <w:tcPr>
                  <w:tcW w:w="586" w:type="pct"/>
                  <w:noWrap w:val="0"/>
                  <w:vAlign w:val="center"/>
                </w:tcPr>
                <w:p w14:paraId="4FE25259">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COD</w:t>
                  </w:r>
                </w:p>
              </w:tc>
              <w:tc>
                <w:tcPr>
                  <w:tcW w:w="595" w:type="pct"/>
                  <w:noWrap w:val="0"/>
                  <w:vAlign w:val="center"/>
                </w:tcPr>
                <w:p w14:paraId="60FD7F0E">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BOD</w:t>
                  </w:r>
                  <w:r>
                    <w:rPr>
                      <w:rFonts w:hint="default" w:ascii="Times New Roman" w:hAnsi="Times New Roman" w:cs="Times New Roman"/>
                      <w:b/>
                      <w:bCs/>
                      <w:color w:val="auto"/>
                      <w:sz w:val="21"/>
                      <w:szCs w:val="21"/>
                      <w:highlight w:val="none"/>
                      <w:vertAlign w:val="subscript"/>
                      <w:lang w:val="en-US" w:eastAsia="zh-CN"/>
                    </w:rPr>
                    <w:t>5</w:t>
                  </w:r>
                </w:p>
              </w:tc>
              <w:tc>
                <w:tcPr>
                  <w:tcW w:w="586" w:type="pct"/>
                  <w:noWrap w:val="0"/>
                  <w:vAlign w:val="center"/>
                </w:tcPr>
                <w:p w14:paraId="232F09F5">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SS</w:t>
                  </w:r>
                </w:p>
              </w:tc>
              <w:tc>
                <w:tcPr>
                  <w:tcW w:w="565" w:type="pct"/>
                  <w:noWrap w:val="0"/>
                  <w:vAlign w:val="center"/>
                </w:tcPr>
                <w:p w14:paraId="4B0B4FC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氨氮</w:t>
                  </w:r>
                </w:p>
              </w:tc>
            </w:tr>
            <w:tr w14:paraId="0AFE9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Merge w:val="restart"/>
                  <w:noWrap w:val="0"/>
                  <w:vAlign w:val="center"/>
                </w:tcPr>
                <w:p w14:paraId="6F9F36DF">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生活废水</w:t>
                  </w:r>
                </w:p>
              </w:tc>
              <w:tc>
                <w:tcPr>
                  <w:tcW w:w="2026" w:type="pct"/>
                  <w:noWrap w:val="0"/>
                  <w:vAlign w:val="center"/>
                </w:tcPr>
                <w:p w14:paraId="1BBC6AD0">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产生浓度mg/L</w:t>
                  </w:r>
                </w:p>
              </w:tc>
              <w:tc>
                <w:tcPr>
                  <w:tcW w:w="586" w:type="pct"/>
                  <w:noWrap w:val="0"/>
                  <w:vAlign w:val="center"/>
                </w:tcPr>
                <w:p w14:paraId="4AC2EB2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350</w:t>
                  </w:r>
                </w:p>
              </w:tc>
              <w:tc>
                <w:tcPr>
                  <w:tcW w:w="595" w:type="pct"/>
                  <w:noWrap w:val="0"/>
                  <w:vAlign w:val="center"/>
                </w:tcPr>
                <w:p w14:paraId="358260A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280</w:t>
                  </w:r>
                </w:p>
              </w:tc>
              <w:tc>
                <w:tcPr>
                  <w:tcW w:w="586" w:type="pct"/>
                  <w:noWrap w:val="0"/>
                  <w:vAlign w:val="center"/>
                </w:tcPr>
                <w:p w14:paraId="1FDB469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300</w:t>
                  </w:r>
                </w:p>
              </w:tc>
              <w:tc>
                <w:tcPr>
                  <w:tcW w:w="565" w:type="pct"/>
                  <w:noWrap w:val="0"/>
                  <w:vAlign w:val="center"/>
                </w:tcPr>
                <w:p w14:paraId="0B6827B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40</w:t>
                  </w:r>
                </w:p>
              </w:tc>
            </w:tr>
            <w:tr w14:paraId="72CF1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Merge w:val="continue"/>
                  <w:noWrap w:val="0"/>
                  <w:vAlign w:val="center"/>
                </w:tcPr>
                <w:p w14:paraId="4FB23441">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rPr>
                  </w:pPr>
                </w:p>
              </w:tc>
              <w:tc>
                <w:tcPr>
                  <w:tcW w:w="2026" w:type="pct"/>
                  <w:noWrap w:val="0"/>
                  <w:vAlign w:val="center"/>
                </w:tcPr>
                <w:p w14:paraId="228A7054">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产生量t/a</w:t>
                  </w:r>
                </w:p>
              </w:tc>
              <w:tc>
                <w:tcPr>
                  <w:tcW w:w="975" w:type="dxa"/>
                  <w:noWrap w:val="0"/>
                  <w:vAlign w:val="center"/>
                </w:tcPr>
                <w:p w14:paraId="55FC36F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0.14</w:t>
                  </w:r>
                </w:p>
              </w:tc>
              <w:tc>
                <w:tcPr>
                  <w:tcW w:w="990" w:type="dxa"/>
                  <w:noWrap w:val="0"/>
                  <w:vAlign w:val="center"/>
                </w:tcPr>
                <w:p w14:paraId="00AF01C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0.112</w:t>
                  </w:r>
                </w:p>
              </w:tc>
              <w:tc>
                <w:tcPr>
                  <w:tcW w:w="975" w:type="dxa"/>
                  <w:noWrap w:val="0"/>
                  <w:vAlign w:val="center"/>
                </w:tcPr>
                <w:p w14:paraId="0ACA77C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0.12</w:t>
                  </w:r>
                </w:p>
              </w:tc>
              <w:tc>
                <w:tcPr>
                  <w:tcW w:w="939" w:type="dxa"/>
                  <w:noWrap w:val="0"/>
                  <w:vAlign w:val="center"/>
                </w:tcPr>
                <w:p w14:paraId="298098D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0.016</w:t>
                  </w:r>
                </w:p>
              </w:tc>
            </w:tr>
            <w:tr w14:paraId="78DC2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5" w:type="pct"/>
                  <w:gridSpan w:val="2"/>
                  <w:noWrap w:val="0"/>
                  <w:vAlign w:val="center"/>
                </w:tcPr>
                <w:p w14:paraId="0F090C4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《污水综合排放标准》（GB8978-1996）三级标准</w:t>
                  </w:r>
                  <w:r>
                    <w:rPr>
                      <w:rFonts w:hint="default" w:ascii="Times New Roman" w:hAnsi="Times New Roman" w:eastAsia="宋体" w:cs="Times New Roman"/>
                      <w:b w:val="0"/>
                      <w:bCs w:val="0"/>
                      <w:color w:val="auto"/>
                      <w:sz w:val="21"/>
                      <w:szCs w:val="21"/>
                      <w:highlight w:val="none"/>
                      <w:lang w:val="en-US" w:eastAsia="zh-CN"/>
                    </w:rPr>
                    <w:t>及</w:t>
                  </w:r>
                  <w:r>
                    <w:rPr>
                      <w:rFonts w:hint="default" w:ascii="Times New Roman" w:hAnsi="Times New Roman" w:eastAsia="宋体" w:cs="Times New Roman"/>
                      <w:b w:val="0"/>
                      <w:bCs w:val="0"/>
                      <w:color w:val="auto"/>
                      <w:sz w:val="21"/>
                      <w:szCs w:val="21"/>
                      <w:highlight w:val="none"/>
                    </w:rPr>
                    <w:t>《污水排入城镇下水道水质标准》（GB/T31962-2015）表1</w:t>
                  </w:r>
                  <w:r>
                    <w:rPr>
                      <w:rFonts w:hint="default" w:ascii="Times New Roman" w:hAnsi="Times New Roman" w:eastAsia="宋体" w:cs="Times New Roman"/>
                      <w:b w:val="0"/>
                      <w:bCs w:val="0"/>
                      <w:color w:val="auto"/>
                      <w:sz w:val="21"/>
                      <w:szCs w:val="21"/>
                      <w:highlight w:val="none"/>
                      <w:lang w:val="en-US" w:eastAsia="zh-CN"/>
                    </w:rPr>
                    <w:t>中B级</w:t>
                  </w:r>
                  <w:r>
                    <w:rPr>
                      <w:rFonts w:hint="default" w:ascii="Times New Roman" w:hAnsi="Times New Roman" w:eastAsia="宋体" w:cs="Times New Roman"/>
                      <w:b w:val="0"/>
                      <w:bCs w:val="0"/>
                      <w:color w:val="auto"/>
                      <w:sz w:val="21"/>
                      <w:szCs w:val="21"/>
                      <w:highlight w:val="none"/>
                    </w:rPr>
                    <w:t>标准</w:t>
                  </w:r>
                </w:p>
              </w:tc>
              <w:tc>
                <w:tcPr>
                  <w:tcW w:w="586" w:type="pct"/>
                  <w:noWrap w:val="0"/>
                  <w:vAlign w:val="center"/>
                </w:tcPr>
                <w:p w14:paraId="687AC8C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c>
                <w:tcPr>
                  <w:tcW w:w="595" w:type="pct"/>
                  <w:noWrap w:val="0"/>
                  <w:vAlign w:val="center"/>
                </w:tcPr>
                <w:p w14:paraId="5722DFC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300</w:t>
                  </w:r>
                </w:p>
              </w:tc>
              <w:tc>
                <w:tcPr>
                  <w:tcW w:w="586" w:type="pct"/>
                  <w:noWrap w:val="0"/>
                  <w:vAlign w:val="center"/>
                </w:tcPr>
                <w:p w14:paraId="016DA2F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400</w:t>
                  </w:r>
                </w:p>
              </w:tc>
              <w:tc>
                <w:tcPr>
                  <w:tcW w:w="565" w:type="pct"/>
                  <w:noWrap w:val="0"/>
                  <w:vAlign w:val="center"/>
                </w:tcPr>
                <w:p w14:paraId="132FF50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r>
          </w:tbl>
          <w:p w14:paraId="69C18B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val="en-US" w:eastAsia="zh-CN"/>
              </w:rPr>
              <w:t>由上表可知，项目</w:t>
            </w:r>
            <w:r>
              <w:rPr>
                <w:rFonts w:hint="default" w:ascii="Times New Roman" w:hAnsi="Times New Roman" w:cs="Times New Roman"/>
                <w:color w:val="auto"/>
                <w:sz w:val="24"/>
                <w:highlight w:val="none"/>
              </w:rPr>
              <w:t>污水排放浓度可满足《污水综合排放标准》（GB8978-1996）三级标准</w:t>
            </w:r>
            <w:r>
              <w:rPr>
                <w:rFonts w:hint="default" w:ascii="Times New Roman" w:hAnsi="Times New Roman" w:cs="Times New Roman"/>
                <w:color w:val="auto"/>
                <w:sz w:val="24"/>
                <w:highlight w:val="none"/>
                <w:lang w:val="en-US" w:eastAsia="zh-CN"/>
              </w:rPr>
              <w:t>及</w:t>
            </w:r>
            <w:r>
              <w:rPr>
                <w:rFonts w:hint="default" w:ascii="Times New Roman" w:hAnsi="Times New Roman" w:cs="Times New Roman"/>
                <w:color w:val="auto"/>
                <w:sz w:val="24"/>
                <w:highlight w:val="none"/>
              </w:rPr>
              <w:t>《污水排入城镇下水道水质标准》（GB/T31962-2015）表1</w:t>
            </w:r>
            <w:r>
              <w:rPr>
                <w:rFonts w:hint="default" w:ascii="Times New Roman" w:hAnsi="Times New Roman" w:cs="Times New Roman"/>
                <w:color w:val="auto"/>
                <w:sz w:val="24"/>
                <w:highlight w:val="none"/>
                <w:lang w:val="en-US" w:eastAsia="zh-CN"/>
              </w:rPr>
              <w:t>中B级</w:t>
            </w:r>
            <w:r>
              <w:rPr>
                <w:rFonts w:hint="default" w:ascii="Times New Roman" w:hAnsi="Times New Roman" w:cs="Times New Roman"/>
                <w:color w:val="auto"/>
                <w:sz w:val="24"/>
                <w:highlight w:val="none"/>
              </w:rPr>
              <w:t>标准</w:t>
            </w:r>
            <w:r>
              <w:rPr>
                <w:rFonts w:hint="default" w:ascii="Times New Roman" w:hAnsi="Times New Roman" w:cs="Times New Roman"/>
                <w:color w:val="auto"/>
                <w:sz w:val="24"/>
                <w:highlight w:val="none"/>
                <w:lang w:eastAsia="zh-CN"/>
              </w:rPr>
              <w:t>。</w:t>
            </w:r>
          </w:p>
          <w:p w14:paraId="2E16FD0E">
            <w:pPr>
              <w:numPr>
                <w:ilvl w:val="0"/>
                <w:numId w:val="0"/>
              </w:numPr>
              <w:adjustRightInd w:val="0"/>
              <w:snapToGrid w:val="0"/>
              <w:spacing w:line="360" w:lineRule="auto"/>
              <w:rPr>
                <w:rFonts w:hint="eastAsia" w:ascii="Times New Roman" w:hAnsi="Times New Roman" w:eastAsia="宋体" w:cs="Times New Roman"/>
                <w:b/>
                <w:bCs w:val="0"/>
                <w:color w:val="auto"/>
                <w:spacing w:val="-10"/>
                <w:sz w:val="24"/>
                <w:szCs w:val="24"/>
                <w:highlight w:val="none"/>
                <w:lang w:val="en-US" w:eastAsia="zh-CN"/>
              </w:rPr>
            </w:pPr>
            <w:r>
              <w:rPr>
                <w:rFonts w:hint="eastAsia" w:ascii="Times New Roman" w:hAnsi="Times New Roman" w:eastAsia="宋体" w:cs="Times New Roman"/>
                <w:b/>
                <w:bCs w:val="0"/>
                <w:color w:val="auto"/>
                <w:spacing w:val="-10"/>
                <w:sz w:val="24"/>
                <w:szCs w:val="24"/>
                <w:highlight w:val="none"/>
                <w:lang w:val="en-US" w:eastAsia="zh-CN"/>
              </w:rPr>
              <w:t>2.2废水监测计划</w:t>
            </w:r>
          </w:p>
          <w:p w14:paraId="5BC1328C">
            <w:pPr>
              <w:pStyle w:val="4"/>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本项目产生的废水主要为生活污水，废水依托园区化粪池处理后排入市政污水管网，园区内有多家企业进行生产运营，故项目运营期产生的废水统一由园区进行监测。</w:t>
            </w:r>
          </w:p>
          <w:p w14:paraId="4B73CFF1">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2.</w:t>
            </w:r>
            <w:r>
              <w:rPr>
                <w:rFonts w:hint="eastAsia" w:ascii="Times New Roman" w:hAnsi="Times New Roman" w:cs="Times New Roman"/>
                <w:b/>
                <w:bCs w:val="0"/>
                <w:color w:val="auto"/>
                <w:spacing w:val="-10"/>
                <w:sz w:val="24"/>
                <w:szCs w:val="24"/>
                <w:highlight w:val="none"/>
                <w:lang w:val="en-US" w:eastAsia="zh-CN"/>
              </w:rPr>
              <w:t>3</w:t>
            </w:r>
            <w:r>
              <w:rPr>
                <w:rFonts w:hint="default" w:ascii="Times New Roman" w:hAnsi="Times New Roman" w:cs="Times New Roman"/>
                <w:b/>
                <w:bCs w:val="0"/>
                <w:color w:val="auto"/>
                <w:spacing w:val="-10"/>
                <w:sz w:val="24"/>
                <w:szCs w:val="24"/>
                <w:highlight w:val="none"/>
                <w:lang w:val="en-US" w:eastAsia="zh-CN"/>
              </w:rPr>
              <w:t>依托可行性分析</w:t>
            </w:r>
          </w:p>
          <w:p w14:paraId="73B32D38">
            <w:pPr>
              <w:numPr>
                <w:ilvl w:val="0"/>
                <w:numId w:val="0"/>
              </w:numPr>
              <w:adjustRightInd w:val="0"/>
              <w:snapToGrid w:val="0"/>
              <w:spacing w:line="360" w:lineRule="auto"/>
              <w:ind w:firstLine="440" w:firstLineChars="200"/>
              <w:rPr>
                <w:rFonts w:hint="default" w:ascii="Times New Roman" w:hAnsi="Times New Roman" w:cs="Times New Roman"/>
                <w:b w:val="0"/>
                <w:bCs/>
                <w:color w:val="auto"/>
                <w:spacing w:val="-10"/>
                <w:sz w:val="24"/>
                <w:szCs w:val="24"/>
                <w:highlight w:val="none"/>
                <w:lang w:val="en-US" w:eastAsia="zh-CN"/>
              </w:rPr>
            </w:pPr>
            <w:r>
              <w:rPr>
                <w:rFonts w:hint="default" w:ascii="Times New Roman" w:hAnsi="Times New Roman" w:cs="Times New Roman"/>
                <w:b w:val="0"/>
                <w:bCs/>
                <w:color w:val="auto"/>
                <w:spacing w:val="-10"/>
                <w:kern w:val="2"/>
                <w:sz w:val="24"/>
                <w:szCs w:val="24"/>
                <w:highlight w:val="none"/>
                <w:lang w:val="en-US" w:eastAsia="zh-CN" w:bidi="ar-SA"/>
              </w:rPr>
              <w:t>（1）</w:t>
            </w:r>
            <w:r>
              <w:rPr>
                <w:rFonts w:hint="default" w:ascii="Times New Roman" w:hAnsi="Times New Roman" w:cs="Times New Roman"/>
                <w:b w:val="0"/>
                <w:bCs/>
                <w:color w:val="auto"/>
                <w:spacing w:val="-10"/>
                <w:sz w:val="24"/>
                <w:szCs w:val="24"/>
                <w:highlight w:val="none"/>
                <w:lang w:val="en-US" w:eastAsia="zh-CN"/>
              </w:rPr>
              <w:t>化粪池依托可行性分析</w:t>
            </w:r>
          </w:p>
          <w:p w14:paraId="325BCA7F">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b w:val="0"/>
                <w:bCs/>
                <w:color w:val="auto"/>
                <w:spacing w:val="-10"/>
                <w:sz w:val="24"/>
                <w:szCs w:val="24"/>
                <w:highlight w:val="none"/>
                <w:lang w:val="en-US" w:eastAsia="zh-CN"/>
              </w:rPr>
            </w:pPr>
            <w:r>
              <w:rPr>
                <w:rFonts w:hint="default" w:ascii="Times New Roman" w:hAnsi="Times New Roman" w:eastAsia="宋体" w:cs="Times New Roman"/>
                <w:b w:val="0"/>
                <w:bCs/>
                <w:color w:val="auto"/>
                <w:sz w:val="24"/>
                <w:highlight w:val="none"/>
                <w:lang w:val="en-US" w:eastAsia="zh-CN"/>
              </w:rPr>
              <w:t>本项目位于</w:t>
            </w:r>
            <w:r>
              <w:rPr>
                <w:rFonts w:hint="eastAsia" w:ascii="Times New Roman" w:hAnsi="Times New Roman" w:eastAsia="宋体" w:cs="Times New Roman"/>
                <w:color w:val="auto"/>
                <w:sz w:val="24"/>
                <w:szCs w:val="24"/>
                <w:highlight w:val="none"/>
                <w:lang w:eastAsia="zh-CN"/>
              </w:rPr>
              <w:t>陕西省西咸新区泾河新城永乐工业园</w:t>
            </w:r>
            <w:r>
              <w:rPr>
                <w:rFonts w:hint="eastAsia" w:ascii="Times New Roman" w:hAnsi="Times New Roman" w:eastAsia="宋体" w:cs="Times New Roman"/>
                <w:b w:val="0"/>
                <w:bCs/>
                <w:color w:val="auto"/>
                <w:sz w:val="24"/>
                <w:highlight w:val="none"/>
                <w:lang w:val="en-US" w:eastAsia="zh-CN"/>
              </w:rPr>
              <w:t>陕西国坤时代科技有限公司2号厂房</w:t>
            </w:r>
            <w:r>
              <w:rPr>
                <w:rFonts w:hint="default" w:ascii="Times New Roman" w:hAnsi="Times New Roman" w:eastAsia="宋体" w:cs="Times New Roman"/>
                <w:b w:val="0"/>
                <w:bCs/>
                <w:color w:val="auto"/>
                <w:sz w:val="24"/>
                <w:highlight w:val="none"/>
                <w:lang w:val="en-US" w:eastAsia="zh-CN"/>
              </w:rPr>
              <w:t>，</w:t>
            </w:r>
            <w:r>
              <w:rPr>
                <w:rFonts w:hint="default" w:ascii="Times New Roman" w:hAnsi="Times New Roman" w:cs="Times New Roman"/>
                <w:b w:val="0"/>
                <w:bCs/>
                <w:color w:val="auto"/>
                <w:sz w:val="24"/>
                <w:highlight w:val="none"/>
              </w:rPr>
              <w:t>生活污水产生量约为</w:t>
            </w:r>
            <w:r>
              <w:rPr>
                <w:rFonts w:hint="eastAsia" w:ascii="Times New Roman" w:hAnsi="Times New Roman" w:cs="Times New Roman"/>
                <w:color w:val="auto"/>
                <w:sz w:val="24"/>
                <w:highlight w:val="none"/>
                <w:lang w:val="en-US" w:eastAsia="zh-CN"/>
              </w:rPr>
              <w:t>1.212</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hint="eastAsia" w:ascii="Times New Roman" w:hAnsi="Times New Roman" w:cs="Times New Roman"/>
                <w:color w:val="auto"/>
                <w:sz w:val="24"/>
                <w:highlight w:val="none"/>
                <w:lang w:eastAsia="zh-CN"/>
              </w:rPr>
              <w:t>（</w:t>
            </w:r>
            <w:r>
              <w:rPr>
                <w:rFonts w:hint="eastAsia" w:cs="Times New Roman"/>
                <w:color w:val="auto"/>
                <w:sz w:val="24"/>
                <w:highlight w:val="none"/>
                <w:lang w:val="en-US" w:eastAsia="zh-CN"/>
              </w:rPr>
              <w:t>400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r>
              <w:rPr>
                <w:rFonts w:hint="default" w:ascii="Times New Roman" w:hAnsi="Times New Roman" w:cs="Times New Roman"/>
                <w:b w:val="0"/>
                <w:bCs/>
                <w:color w:val="auto"/>
                <w:sz w:val="24"/>
                <w:highlight w:val="none"/>
                <w:lang w:eastAsia="zh-CN"/>
              </w:rPr>
              <w:t>，</w:t>
            </w:r>
            <w:r>
              <w:rPr>
                <w:rFonts w:hint="default" w:ascii="Times New Roman" w:hAnsi="Times New Roman" w:eastAsia="宋体" w:cs="Times New Roman"/>
                <w:b w:val="0"/>
                <w:bCs/>
                <w:color w:val="auto"/>
                <w:sz w:val="24"/>
                <w:highlight w:val="none"/>
                <w:lang w:val="en-US" w:eastAsia="zh-CN"/>
              </w:rPr>
              <w:t>项目废水依托</w:t>
            </w:r>
            <w:r>
              <w:rPr>
                <w:rFonts w:hint="eastAsia" w:ascii="Times New Roman" w:hAnsi="Times New Roman" w:eastAsia="宋体" w:cs="Times New Roman"/>
                <w:b w:val="0"/>
                <w:bCs/>
                <w:color w:val="auto"/>
                <w:sz w:val="24"/>
                <w:highlight w:val="none"/>
                <w:lang w:val="en-US" w:eastAsia="zh-CN"/>
              </w:rPr>
              <w:t>陕西国坤时代科技有限化粪池</w:t>
            </w:r>
            <w:r>
              <w:rPr>
                <w:rFonts w:hint="default" w:ascii="Times New Roman" w:hAnsi="Times New Roman" w:eastAsia="宋体" w:cs="Times New Roman"/>
                <w:b w:val="0"/>
                <w:bCs/>
                <w:color w:val="auto"/>
                <w:sz w:val="24"/>
                <w:highlight w:val="none"/>
                <w:lang w:val="en-US" w:eastAsia="zh-CN"/>
              </w:rPr>
              <w:t>处理。根据建设单位提供资料，</w:t>
            </w:r>
            <w:r>
              <w:rPr>
                <w:rFonts w:hint="eastAsia" w:ascii="Times New Roman" w:hAnsi="Times New Roman" w:eastAsia="宋体" w:cs="Times New Roman"/>
                <w:b w:val="0"/>
                <w:bCs/>
                <w:color w:val="auto"/>
                <w:sz w:val="24"/>
                <w:highlight w:val="none"/>
                <w:lang w:val="en-US" w:eastAsia="zh-CN"/>
              </w:rPr>
              <w:t>陕西国坤时代科技有限化粪池</w:t>
            </w:r>
            <w:r>
              <w:rPr>
                <w:rFonts w:hint="default" w:ascii="Times New Roman" w:hAnsi="Times New Roman" w:eastAsia="宋体" w:cs="Times New Roman"/>
                <w:b w:val="0"/>
                <w:bCs/>
                <w:color w:val="auto"/>
                <w:sz w:val="24"/>
                <w:highlight w:val="none"/>
                <w:lang w:val="en-US" w:eastAsia="zh-CN"/>
              </w:rPr>
              <w:t>容积</w:t>
            </w:r>
            <w:r>
              <w:rPr>
                <w:rFonts w:hint="eastAsia" w:ascii="Times New Roman" w:hAnsi="Times New Roman" w:eastAsia="宋体" w:cs="Times New Roman"/>
                <w:b w:val="0"/>
                <w:bCs/>
                <w:color w:val="auto"/>
                <w:sz w:val="24"/>
                <w:highlight w:val="none"/>
                <w:lang w:val="en-US" w:eastAsia="zh-CN"/>
              </w:rPr>
              <w:t>为38</w:t>
            </w:r>
            <w:r>
              <w:rPr>
                <w:rFonts w:hint="default" w:ascii="Times New Roman" w:hAnsi="Times New Roman" w:eastAsia="宋体" w:cs="Times New Roman"/>
                <w:b w:val="0"/>
                <w:bCs/>
                <w:color w:val="auto"/>
                <w:sz w:val="24"/>
                <w:highlight w:val="none"/>
                <w:lang w:val="en-US" w:eastAsia="zh-CN"/>
              </w:rPr>
              <w:t>m</w:t>
            </w:r>
            <w:r>
              <w:rPr>
                <w:rFonts w:hint="default" w:ascii="Times New Roman" w:hAnsi="Times New Roman" w:eastAsia="宋体" w:cs="Times New Roman"/>
                <w:b w:val="0"/>
                <w:bCs/>
                <w:color w:val="auto"/>
                <w:sz w:val="24"/>
                <w:highlight w:val="none"/>
                <w:vertAlign w:val="superscript"/>
                <w:lang w:val="en-US" w:eastAsia="zh-CN"/>
              </w:rPr>
              <w:t>3</w:t>
            </w:r>
            <w:r>
              <w:rPr>
                <w:rFonts w:hint="default" w:ascii="Times New Roman" w:hAnsi="Times New Roman" w:eastAsia="宋体" w:cs="Times New Roman"/>
                <w:b w:val="0"/>
                <w:bCs/>
                <w:color w:val="auto"/>
                <w:sz w:val="24"/>
                <w:highlight w:val="none"/>
                <w:lang w:val="en-US" w:eastAsia="zh-CN"/>
              </w:rPr>
              <w:t>，本项目生活污水经</w:t>
            </w:r>
            <w:r>
              <w:rPr>
                <w:rFonts w:hint="eastAsia" w:ascii="Times New Roman" w:hAnsi="Times New Roman" w:eastAsia="宋体" w:cs="Times New Roman"/>
                <w:b w:val="0"/>
                <w:bCs/>
                <w:color w:val="auto"/>
                <w:sz w:val="24"/>
                <w:highlight w:val="none"/>
                <w:lang w:val="en-US" w:eastAsia="zh-CN"/>
              </w:rPr>
              <w:t>陕西国坤时代科技有限公司化粪池</w:t>
            </w:r>
            <w:r>
              <w:rPr>
                <w:rFonts w:hint="default" w:ascii="Times New Roman" w:hAnsi="Times New Roman" w:eastAsia="宋体" w:cs="Times New Roman"/>
                <w:b w:val="0"/>
                <w:bCs/>
                <w:color w:val="auto"/>
                <w:sz w:val="24"/>
                <w:highlight w:val="none"/>
                <w:lang w:val="en-US" w:eastAsia="zh-CN"/>
              </w:rPr>
              <w:t>处理后进入市政污水管网。目前其他企业废水为</w:t>
            </w:r>
            <w:r>
              <w:rPr>
                <w:rFonts w:hint="eastAsia" w:ascii="Times New Roman" w:hAnsi="Times New Roman" w:eastAsia="宋体" w:cs="Times New Roman"/>
                <w:b w:val="0"/>
                <w:bCs/>
                <w:color w:val="auto"/>
                <w:sz w:val="24"/>
                <w:highlight w:val="none"/>
                <w:lang w:val="en-US" w:eastAsia="zh-CN"/>
              </w:rPr>
              <w:t>26</w:t>
            </w:r>
            <w:r>
              <w:rPr>
                <w:rFonts w:hint="default" w:ascii="Times New Roman" w:hAnsi="Times New Roman" w:eastAsia="宋体" w:cs="Times New Roman"/>
                <w:b w:val="0"/>
                <w:bCs/>
                <w:color w:val="auto"/>
                <w:sz w:val="24"/>
                <w:highlight w:val="none"/>
                <w:lang w:val="en-US" w:eastAsia="zh-CN"/>
              </w:rPr>
              <w:t>m</w:t>
            </w:r>
            <w:r>
              <w:rPr>
                <w:rFonts w:hint="default" w:ascii="Times New Roman" w:hAnsi="Times New Roman" w:eastAsia="宋体" w:cs="Times New Roman"/>
                <w:b w:val="0"/>
                <w:bCs/>
                <w:color w:val="auto"/>
                <w:sz w:val="24"/>
                <w:highlight w:val="none"/>
                <w:vertAlign w:val="superscript"/>
                <w:lang w:val="en-US" w:eastAsia="zh-CN"/>
              </w:rPr>
              <w:t>3</w:t>
            </w:r>
            <w:r>
              <w:rPr>
                <w:rFonts w:hint="default" w:ascii="Times New Roman" w:hAnsi="Times New Roman" w:eastAsia="宋体" w:cs="Times New Roman"/>
                <w:b w:val="0"/>
                <w:bCs/>
                <w:color w:val="auto"/>
                <w:sz w:val="24"/>
                <w:highlight w:val="none"/>
                <w:lang w:val="en-US" w:eastAsia="zh-CN"/>
              </w:rPr>
              <w:t>/d，化粪池废水剩余处理容量</w:t>
            </w:r>
            <w:r>
              <w:rPr>
                <w:rFonts w:hint="eastAsia" w:ascii="Times New Roman" w:hAnsi="Times New Roman" w:eastAsia="宋体" w:cs="Times New Roman"/>
                <w:b w:val="0"/>
                <w:bCs/>
                <w:color w:val="auto"/>
                <w:sz w:val="24"/>
                <w:highlight w:val="none"/>
                <w:lang w:val="en-US" w:eastAsia="zh-CN"/>
              </w:rPr>
              <w:t>（12</w:t>
            </w:r>
            <w:r>
              <w:rPr>
                <w:rFonts w:hint="default" w:ascii="Times New Roman" w:hAnsi="Times New Roman" w:eastAsia="宋体" w:cs="Times New Roman"/>
                <w:b w:val="0"/>
                <w:bCs/>
                <w:color w:val="auto"/>
                <w:sz w:val="24"/>
                <w:highlight w:val="none"/>
                <w:lang w:val="en-US" w:eastAsia="zh-CN"/>
              </w:rPr>
              <w:t>m</w:t>
            </w:r>
            <w:r>
              <w:rPr>
                <w:rFonts w:hint="default" w:ascii="Times New Roman" w:hAnsi="Times New Roman" w:eastAsia="宋体" w:cs="Times New Roman"/>
                <w:b w:val="0"/>
                <w:bCs/>
                <w:color w:val="auto"/>
                <w:sz w:val="24"/>
                <w:highlight w:val="none"/>
                <w:vertAlign w:val="superscript"/>
                <w:lang w:val="en-US" w:eastAsia="zh-CN"/>
              </w:rPr>
              <w:t>3</w:t>
            </w:r>
            <w:r>
              <w:rPr>
                <w:rFonts w:hint="eastAsia" w:ascii="Times New Roman" w:hAnsi="Times New Roman" w:eastAsia="宋体" w:cs="Times New Roman"/>
                <w:b w:val="0"/>
                <w:bCs/>
                <w:color w:val="auto"/>
                <w:sz w:val="24"/>
                <w:highlight w:val="none"/>
                <w:lang w:val="en-US" w:eastAsia="zh-CN"/>
              </w:rPr>
              <w:t>），</w:t>
            </w:r>
            <w:r>
              <w:rPr>
                <w:rFonts w:hint="default" w:ascii="Times New Roman" w:hAnsi="Times New Roman" w:eastAsia="宋体" w:cs="Times New Roman"/>
                <w:b w:val="0"/>
                <w:bCs/>
                <w:color w:val="auto"/>
                <w:sz w:val="24"/>
                <w:highlight w:val="none"/>
                <w:lang w:val="en-US" w:eastAsia="zh-CN"/>
              </w:rPr>
              <w:t>可满足本项目水力停留时间24h要求，因此废水依托化粪池可行。</w:t>
            </w:r>
          </w:p>
          <w:p w14:paraId="58B51E19">
            <w:pPr>
              <w:numPr>
                <w:ilvl w:val="0"/>
                <w:numId w:val="0"/>
              </w:numPr>
              <w:adjustRightInd w:val="0"/>
              <w:snapToGrid w:val="0"/>
              <w:spacing w:line="360" w:lineRule="auto"/>
              <w:ind w:firstLine="440" w:firstLineChars="200"/>
              <w:rPr>
                <w:rFonts w:hint="default" w:ascii="Times New Roman" w:hAnsi="Times New Roman" w:cs="Times New Roman"/>
                <w:b w:val="0"/>
                <w:bCs/>
                <w:color w:val="auto"/>
                <w:spacing w:val="-10"/>
                <w:sz w:val="24"/>
                <w:szCs w:val="24"/>
                <w:highlight w:val="none"/>
                <w:lang w:val="en-US" w:eastAsia="zh-CN"/>
              </w:rPr>
            </w:pPr>
            <w:r>
              <w:rPr>
                <w:rFonts w:hint="default" w:ascii="Times New Roman" w:hAnsi="Times New Roman" w:cs="Times New Roman"/>
                <w:b w:val="0"/>
                <w:bCs/>
                <w:color w:val="auto"/>
                <w:spacing w:val="-10"/>
                <w:kern w:val="2"/>
                <w:sz w:val="24"/>
                <w:szCs w:val="24"/>
                <w:highlight w:val="none"/>
                <w:lang w:val="en-US" w:eastAsia="zh-CN" w:bidi="ar-SA"/>
              </w:rPr>
              <w:t>（2）</w:t>
            </w:r>
            <w:r>
              <w:rPr>
                <w:rFonts w:hint="default" w:ascii="Times New Roman" w:hAnsi="Times New Roman" w:cs="Times New Roman"/>
                <w:b w:val="0"/>
                <w:bCs/>
                <w:color w:val="auto"/>
                <w:spacing w:val="-10"/>
                <w:sz w:val="24"/>
                <w:szCs w:val="24"/>
                <w:highlight w:val="none"/>
                <w:lang w:val="en-US" w:eastAsia="zh-CN"/>
              </w:rPr>
              <w:t>污水处理厂依托可行性分析</w:t>
            </w:r>
          </w:p>
          <w:p w14:paraId="574A95DB">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highlight w:val="none"/>
                <w:lang w:bidi="ar"/>
              </w:rPr>
            </w:pPr>
            <w:r>
              <w:rPr>
                <w:rFonts w:hint="default" w:ascii="Times New Roman" w:hAnsi="Times New Roman" w:eastAsia="宋体" w:cs="Times New Roman"/>
                <w:color w:val="auto"/>
                <w:sz w:val="24"/>
                <w:highlight w:val="none"/>
                <w:lang w:bidi="ar"/>
              </w:rPr>
              <w:t>泾河新城第二污水处理厂位于泾河新城西安工业资产经营有限公司南侧，建设规模为40000m</w:t>
            </w:r>
            <w:r>
              <w:rPr>
                <w:rFonts w:hint="eastAsia" w:ascii="Times New Roman" w:hAnsi="Times New Roman" w:eastAsia="宋体" w:cs="Times New Roman"/>
                <w:color w:val="auto"/>
                <w:sz w:val="24"/>
                <w:highlight w:val="none"/>
                <w:vertAlign w:val="superscript"/>
                <w:lang w:val="en-US" w:eastAsia="zh-CN" w:bidi="ar"/>
              </w:rPr>
              <w:t>3</w:t>
            </w:r>
            <w:r>
              <w:rPr>
                <w:rFonts w:hint="default" w:ascii="Times New Roman" w:hAnsi="Times New Roman" w:eastAsia="宋体" w:cs="Times New Roman"/>
                <w:color w:val="auto"/>
                <w:sz w:val="24"/>
                <w:highlight w:val="none"/>
                <w:lang w:bidi="ar"/>
              </w:rPr>
              <w:t>/d，</w:t>
            </w:r>
            <w:r>
              <w:rPr>
                <w:rFonts w:hint="eastAsia" w:ascii="Times New Roman" w:hAnsi="Times New Roman" w:eastAsia="宋体" w:cs="Times New Roman"/>
                <w:color w:val="auto"/>
                <w:sz w:val="24"/>
                <w:highlight w:val="none"/>
                <w:lang w:val="en-US" w:eastAsia="zh-CN" w:bidi="ar"/>
              </w:rPr>
              <w:t>目前最大处理量为32000m</w:t>
            </w:r>
            <w:r>
              <w:rPr>
                <w:rFonts w:hint="eastAsia" w:ascii="Times New Roman" w:hAnsi="Times New Roman" w:eastAsia="宋体" w:cs="Times New Roman"/>
                <w:color w:val="auto"/>
                <w:sz w:val="24"/>
                <w:highlight w:val="none"/>
                <w:vertAlign w:val="superscript"/>
                <w:lang w:val="en-US" w:eastAsia="zh-CN" w:bidi="ar"/>
              </w:rPr>
              <w:t>3</w:t>
            </w:r>
            <w:r>
              <w:rPr>
                <w:rFonts w:hint="eastAsia" w:ascii="Times New Roman" w:hAnsi="Times New Roman" w:eastAsia="宋体" w:cs="Times New Roman"/>
                <w:color w:val="auto"/>
                <w:sz w:val="24"/>
                <w:highlight w:val="none"/>
                <w:lang w:val="en-US" w:eastAsia="zh-CN" w:bidi="ar"/>
              </w:rPr>
              <w:t>/d，</w:t>
            </w:r>
            <w:r>
              <w:rPr>
                <w:rFonts w:hint="default" w:ascii="Times New Roman" w:hAnsi="Times New Roman" w:eastAsia="宋体" w:cs="Times New Roman"/>
                <w:color w:val="auto"/>
                <w:sz w:val="24"/>
                <w:highlight w:val="none"/>
                <w:lang w:bidi="ar"/>
              </w:rPr>
              <w:t>采用</w:t>
            </w:r>
            <w:r>
              <w:rPr>
                <w:rFonts w:hint="eastAsia" w:ascii="Times New Roman" w:hAnsi="Times New Roman" w:eastAsia="宋体" w:cs="Times New Roman"/>
                <w:color w:val="auto"/>
                <w:sz w:val="24"/>
                <w:highlight w:val="none"/>
                <w:lang w:eastAsia="zh-CN" w:bidi="ar"/>
              </w:rPr>
              <w:t>“</w:t>
            </w:r>
            <w:r>
              <w:rPr>
                <w:rFonts w:hint="default" w:ascii="Times New Roman" w:hAnsi="Times New Roman" w:eastAsia="宋体" w:cs="Times New Roman"/>
                <w:color w:val="auto"/>
                <w:sz w:val="24"/>
                <w:highlight w:val="none"/>
                <w:lang w:bidi="ar"/>
              </w:rPr>
              <w:t>粗格栅及提升泵房+细格栅+沉砂池+MBR复合工艺+二沉池+超效沉淀池+次氯酸钠消毒</w:t>
            </w:r>
            <w:r>
              <w:rPr>
                <w:rFonts w:hint="eastAsia" w:ascii="Times New Roman" w:hAnsi="Times New Roman" w:eastAsia="宋体" w:cs="Times New Roman"/>
                <w:color w:val="auto"/>
                <w:sz w:val="24"/>
                <w:highlight w:val="none"/>
                <w:lang w:eastAsia="zh-CN" w:bidi="ar"/>
              </w:rPr>
              <w:t>”</w:t>
            </w:r>
            <w:r>
              <w:rPr>
                <w:rFonts w:hint="default" w:ascii="Times New Roman" w:hAnsi="Times New Roman" w:eastAsia="宋体" w:cs="Times New Roman"/>
                <w:color w:val="auto"/>
                <w:sz w:val="24"/>
                <w:highlight w:val="none"/>
                <w:lang w:bidi="ar"/>
              </w:rPr>
              <w:t>，处理后尾水经消毒后排入泾河，出水水质执行《陕西省黄河流域污水综合排放标准》（DB61/224-2018）表1中A标准。</w:t>
            </w:r>
          </w:p>
          <w:p w14:paraId="70A71EA5">
            <w:pPr>
              <w:numPr>
                <w:ilvl w:val="0"/>
                <w:numId w:val="0"/>
              </w:numPr>
              <w:adjustRightInd w:val="0"/>
              <w:snapToGrid w:val="0"/>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sz w:val="24"/>
                <w:highlight w:val="none"/>
                <w:lang w:bidi="ar"/>
              </w:rPr>
              <w:t>本项目位于泾河新城第二污水处理厂收水范围内，废水主要是生活污水，水质简单，生活污水水量仅为</w:t>
            </w:r>
            <w:r>
              <w:rPr>
                <w:rFonts w:hint="eastAsia" w:ascii="Times New Roman" w:hAnsi="Times New Roman" w:eastAsia="宋体" w:cs="Times New Roman"/>
                <w:color w:val="auto"/>
                <w:sz w:val="24"/>
                <w:highlight w:val="none"/>
                <w:lang w:val="en-US" w:eastAsia="zh-CN" w:bidi="ar"/>
              </w:rPr>
              <w:t>1.212</w:t>
            </w:r>
            <w:r>
              <w:rPr>
                <w:rFonts w:hint="default" w:ascii="Times New Roman" w:hAnsi="Times New Roman" w:eastAsia="宋体" w:cs="Times New Roman"/>
                <w:color w:val="auto"/>
                <w:sz w:val="24"/>
                <w:highlight w:val="none"/>
                <w:lang w:bidi="ar"/>
              </w:rPr>
              <w:t>m</w:t>
            </w:r>
            <w:r>
              <w:rPr>
                <w:rFonts w:hint="default" w:ascii="Times New Roman" w:hAnsi="Times New Roman" w:eastAsia="宋体" w:cs="Times New Roman"/>
                <w:color w:val="auto"/>
                <w:sz w:val="24"/>
                <w:highlight w:val="none"/>
                <w:vertAlign w:val="superscript"/>
                <w:lang w:bidi="ar"/>
              </w:rPr>
              <w:t>3</w:t>
            </w:r>
            <w:r>
              <w:rPr>
                <w:rFonts w:hint="default" w:ascii="Times New Roman" w:hAnsi="Times New Roman" w:eastAsia="宋体" w:cs="Times New Roman"/>
                <w:color w:val="auto"/>
                <w:sz w:val="24"/>
                <w:highlight w:val="none"/>
                <w:lang w:bidi="ar"/>
              </w:rPr>
              <w:t>/d，</w:t>
            </w:r>
            <w:r>
              <w:rPr>
                <w:rFonts w:hint="eastAsia" w:ascii="Times New Roman" w:hAnsi="Times New Roman" w:eastAsia="宋体" w:cs="Times New Roman"/>
                <w:color w:val="auto"/>
                <w:sz w:val="24"/>
                <w:highlight w:val="none"/>
                <w:lang w:val="en-US" w:eastAsia="zh-CN" w:bidi="ar"/>
              </w:rPr>
              <w:t>仅为污水处理厂剩余处理能力的0.004%，</w:t>
            </w:r>
            <w:r>
              <w:rPr>
                <w:rFonts w:hint="default" w:ascii="Times New Roman" w:hAnsi="Times New Roman" w:eastAsia="宋体" w:cs="Times New Roman"/>
                <w:color w:val="auto"/>
                <w:sz w:val="24"/>
                <w:highlight w:val="none"/>
                <w:lang w:bidi="ar"/>
              </w:rPr>
              <w:t>排放量较小，排入泾河新城第二污水处理厂后不会对其正常运行产生冲击，依托可行。</w:t>
            </w:r>
          </w:p>
          <w:p w14:paraId="7D869558">
            <w:pPr>
              <w:numPr>
                <w:ilvl w:val="0"/>
                <w:numId w:val="8"/>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噪声</w:t>
            </w:r>
          </w:p>
          <w:p w14:paraId="17117C86">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3.1噪声源强</w:t>
            </w:r>
          </w:p>
          <w:p w14:paraId="48645103">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0"/>
                <w:highlight w:val="none"/>
              </w:rPr>
              <w:t>项目生产过程的噪声源为生产设备</w:t>
            </w:r>
            <w:r>
              <w:rPr>
                <w:rFonts w:hint="default" w:ascii="Times New Roman" w:hAnsi="Times New Roman" w:eastAsia="宋体" w:cs="Times New Roman"/>
                <w:color w:val="auto"/>
                <w:kern w:val="0"/>
                <w:sz w:val="24"/>
                <w:szCs w:val="20"/>
                <w:highlight w:val="none"/>
                <w:lang w:val="en-US" w:eastAsia="zh-CN"/>
              </w:rPr>
              <w:t>、环保设备风机运行</w:t>
            </w:r>
            <w:r>
              <w:rPr>
                <w:rFonts w:hint="default" w:ascii="Times New Roman" w:hAnsi="Times New Roman" w:eastAsia="宋体" w:cs="Times New Roman"/>
                <w:color w:val="auto"/>
                <w:kern w:val="0"/>
                <w:sz w:val="24"/>
                <w:szCs w:val="20"/>
                <w:highlight w:val="none"/>
              </w:rPr>
              <w:t>噪声</w:t>
            </w:r>
            <w:r>
              <w:rPr>
                <w:rFonts w:hint="default" w:ascii="Times New Roman" w:hAnsi="Times New Roman" w:eastAsia="宋体" w:cs="Times New Roman"/>
                <w:color w:val="auto"/>
                <w:kern w:val="0"/>
                <w:sz w:val="24"/>
                <w:szCs w:val="20"/>
                <w:highlight w:val="none"/>
                <w:lang w:eastAsia="zh-CN"/>
              </w:rPr>
              <w:t>。</w:t>
            </w:r>
            <w:r>
              <w:rPr>
                <w:rFonts w:hint="default" w:ascii="Times New Roman" w:hAnsi="Times New Roman" w:eastAsia="宋体" w:cs="Times New Roman"/>
                <w:color w:val="auto"/>
                <w:kern w:val="0"/>
                <w:sz w:val="24"/>
                <w:szCs w:val="20"/>
                <w:highlight w:val="none"/>
              </w:rPr>
              <w:t>根据建设单位提供资料，</w:t>
            </w:r>
            <w:r>
              <w:rPr>
                <w:rFonts w:hint="default" w:ascii="Times New Roman" w:hAnsi="Times New Roman" w:eastAsia="宋体" w:cs="Times New Roman"/>
                <w:color w:val="auto"/>
                <w:kern w:val="0"/>
                <w:sz w:val="24"/>
                <w:szCs w:val="20"/>
                <w:highlight w:val="none"/>
                <w:lang w:val="en-US" w:eastAsia="zh-CN"/>
              </w:rPr>
              <w:t>设备噪声</w:t>
            </w:r>
            <w:r>
              <w:rPr>
                <w:rFonts w:hint="default" w:ascii="Times New Roman" w:hAnsi="Times New Roman" w:eastAsia="宋体" w:cs="Times New Roman"/>
                <w:color w:val="auto"/>
                <w:spacing w:val="-4"/>
                <w:kern w:val="0"/>
                <w:sz w:val="24"/>
                <w:szCs w:val="20"/>
                <w:highlight w:val="none"/>
              </w:rPr>
              <w:t>源强约为</w:t>
            </w:r>
            <w:r>
              <w:rPr>
                <w:rFonts w:hint="default" w:ascii="Times New Roman" w:hAnsi="Times New Roman" w:eastAsia="宋体" w:cs="Times New Roman"/>
                <w:color w:val="auto"/>
                <w:spacing w:val="-4"/>
                <w:kern w:val="0"/>
                <w:sz w:val="24"/>
                <w:szCs w:val="20"/>
                <w:highlight w:val="none"/>
                <w:lang w:val="en-US" w:eastAsia="zh-CN"/>
              </w:rPr>
              <w:t>75</w:t>
            </w:r>
            <w:r>
              <w:rPr>
                <w:rFonts w:hint="default" w:ascii="Times New Roman" w:hAnsi="Times New Roman" w:eastAsia="宋体" w:cs="Times New Roman"/>
                <w:color w:val="auto"/>
                <w:spacing w:val="-4"/>
                <w:kern w:val="0"/>
                <w:sz w:val="24"/>
                <w:szCs w:val="20"/>
                <w:highlight w:val="none"/>
              </w:rPr>
              <w:t>dB</w:t>
            </w:r>
            <w:r>
              <w:rPr>
                <w:rFonts w:hint="eastAsia"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spacing w:val="-4"/>
                <w:kern w:val="0"/>
                <w:sz w:val="24"/>
                <w:szCs w:val="20"/>
                <w:highlight w:val="none"/>
              </w:rPr>
              <w:t>A</w:t>
            </w:r>
            <w:r>
              <w:rPr>
                <w:rFonts w:hint="eastAsia"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spacing w:val="-4"/>
                <w:kern w:val="0"/>
                <w:sz w:val="24"/>
                <w:szCs w:val="20"/>
                <w:highlight w:val="none"/>
              </w:rPr>
              <w:t>~</w:t>
            </w:r>
            <w:r>
              <w:rPr>
                <w:rFonts w:hint="eastAsia" w:cs="Times New Roman"/>
                <w:color w:val="auto"/>
                <w:spacing w:val="-4"/>
                <w:kern w:val="0"/>
                <w:sz w:val="24"/>
                <w:szCs w:val="20"/>
                <w:highlight w:val="none"/>
                <w:lang w:val="en-US" w:eastAsia="zh-CN"/>
              </w:rPr>
              <w:t>85</w:t>
            </w:r>
            <w:r>
              <w:rPr>
                <w:rFonts w:hint="default" w:ascii="Times New Roman" w:hAnsi="Times New Roman" w:eastAsia="宋体" w:cs="Times New Roman"/>
                <w:color w:val="auto"/>
                <w:spacing w:val="-4"/>
                <w:kern w:val="0"/>
                <w:sz w:val="24"/>
                <w:szCs w:val="20"/>
                <w:highlight w:val="none"/>
              </w:rPr>
              <w:t>dB</w:t>
            </w:r>
            <w:r>
              <w:rPr>
                <w:rFonts w:hint="eastAsia"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spacing w:val="-4"/>
                <w:kern w:val="0"/>
                <w:sz w:val="24"/>
                <w:szCs w:val="20"/>
                <w:highlight w:val="none"/>
              </w:rPr>
              <w:t>A</w:t>
            </w:r>
            <w:r>
              <w:rPr>
                <w:rFonts w:hint="eastAsia"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kern w:val="0"/>
                <w:sz w:val="24"/>
                <w:szCs w:val="20"/>
                <w:highlight w:val="none"/>
              </w:rPr>
              <w:t>，项目设备及噪声源强见</w:t>
            </w:r>
            <w:r>
              <w:rPr>
                <w:rFonts w:hint="default" w:ascii="Times New Roman" w:hAnsi="Times New Roman" w:eastAsia="宋体" w:cs="Times New Roman"/>
                <w:color w:val="auto"/>
                <w:kern w:val="0"/>
                <w:sz w:val="24"/>
                <w:szCs w:val="20"/>
                <w:highlight w:val="none"/>
                <w:lang w:val="en-US" w:eastAsia="zh-CN"/>
              </w:rPr>
              <w:t>下表</w:t>
            </w:r>
            <w:r>
              <w:rPr>
                <w:rFonts w:hint="default" w:ascii="Times New Roman" w:hAnsi="Times New Roman" w:eastAsia="宋体" w:cs="Times New Roman"/>
                <w:color w:val="auto"/>
                <w:kern w:val="0"/>
                <w:sz w:val="24"/>
                <w:szCs w:val="20"/>
                <w:highlight w:val="none"/>
              </w:rPr>
              <w:t>。</w:t>
            </w:r>
          </w:p>
          <w:p w14:paraId="0836D9E9">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3.2预测模型</w:t>
            </w:r>
          </w:p>
          <w:p w14:paraId="3E08357A">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噪声预测按照《环境影响评价技术导则</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声环境》（HJ2.4-2021）中推荐的模式进行预测。</w:t>
            </w:r>
          </w:p>
          <w:p w14:paraId="6B5C5E40">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噪声衰减计算公式：</w:t>
            </w:r>
          </w:p>
          <w:p w14:paraId="25AC25B0">
            <w:pPr>
              <w:keepNext w:val="0"/>
              <w:keepLines w:val="0"/>
              <w:suppressLineNumbers w:val="0"/>
              <w:bidi w:val="0"/>
              <w:adjustRightInd w:val="0"/>
              <w:spacing w:before="0" w:beforeAutospacing="0" w:after="0" w:afterAutospacing="0" w:line="360" w:lineRule="auto"/>
              <w:ind w:left="0" w:leftChars="0" w:right="0" w:firstLine="1140" w:firstLineChars="4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p2</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p1</w:t>
            </w:r>
            <w:r>
              <w:rPr>
                <w:rFonts w:hint="default" w:ascii="Times New Roman" w:hAnsi="Times New Roman" w:eastAsia="宋体" w:cs="Times New Roman"/>
                <w:color w:val="auto"/>
                <w:sz w:val="24"/>
                <w:szCs w:val="24"/>
                <w:highlight w:val="none"/>
              </w:rPr>
              <w:t>-（TL+6）</w:t>
            </w:r>
          </w:p>
          <w:p w14:paraId="35204D5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式中：L</w:t>
            </w:r>
            <w:r>
              <w:rPr>
                <w:rFonts w:hint="default" w:ascii="Times New Roman" w:hAnsi="Times New Roman" w:eastAsia="宋体" w:cs="Times New Roman"/>
                <w:color w:val="auto"/>
                <w:sz w:val="24"/>
                <w:szCs w:val="24"/>
                <w:highlight w:val="none"/>
                <w:vertAlign w:val="subscript"/>
              </w:rPr>
              <w:t>p1</w:t>
            </w:r>
            <w:r>
              <w:rPr>
                <w:rFonts w:hint="default" w:ascii="Times New Roman" w:hAnsi="Times New Roman" w:eastAsia="宋体" w:cs="Times New Roman"/>
                <w:color w:val="auto"/>
                <w:sz w:val="24"/>
                <w:szCs w:val="24"/>
                <w:highlight w:val="none"/>
              </w:rPr>
              <w:t>—靠近开口处（或窗户）室内某倍频带的声压级或A声级，dB；</w:t>
            </w:r>
          </w:p>
          <w:p w14:paraId="72C5BA4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p2</w:t>
            </w:r>
            <w:r>
              <w:rPr>
                <w:rFonts w:hint="default" w:ascii="Times New Roman" w:hAnsi="Times New Roman" w:eastAsia="宋体" w:cs="Times New Roman"/>
                <w:color w:val="auto"/>
                <w:sz w:val="24"/>
                <w:szCs w:val="24"/>
                <w:highlight w:val="none"/>
              </w:rPr>
              <w:t>—靠近开口处（或窗户）室外某倍频带的声压级或A声级，dB；</w:t>
            </w:r>
          </w:p>
          <w:p w14:paraId="3EE98C7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TL—隔墙（或窗户）倍频带或A声级的隔声量，dB。</w:t>
            </w:r>
          </w:p>
          <w:p w14:paraId="560A99D6">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p(r)</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p(r0)</w:t>
            </w:r>
            <w:r>
              <w:rPr>
                <w:rFonts w:hint="default" w:ascii="Times New Roman" w:hAnsi="Times New Roman" w:eastAsia="宋体" w:cs="Times New Roman"/>
                <w:color w:val="auto"/>
                <w:sz w:val="24"/>
                <w:szCs w:val="24"/>
                <w:highlight w:val="none"/>
              </w:rPr>
              <w:t>-20lg（r/r</w:t>
            </w:r>
            <w:r>
              <w:rPr>
                <w:rFonts w:hint="default" w:ascii="Times New Roman" w:hAnsi="Times New Roman" w:eastAsia="宋体" w:cs="Times New Roman"/>
                <w:color w:val="auto"/>
                <w:sz w:val="24"/>
                <w:szCs w:val="24"/>
                <w:highlight w:val="none"/>
                <w:vertAlign w:val="subscript"/>
              </w:rPr>
              <w:t>0</w:t>
            </w:r>
            <w:r>
              <w:rPr>
                <w:rFonts w:hint="default" w:ascii="Times New Roman" w:hAnsi="Times New Roman" w:eastAsia="宋体" w:cs="Times New Roman"/>
                <w:color w:val="auto"/>
                <w:sz w:val="24"/>
                <w:szCs w:val="24"/>
                <w:highlight w:val="none"/>
              </w:rPr>
              <w:t>）</w:t>
            </w:r>
          </w:p>
          <w:p w14:paraId="4CDFF32D">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式中：L</w:t>
            </w:r>
            <w:r>
              <w:rPr>
                <w:rFonts w:hint="default" w:ascii="Times New Roman" w:hAnsi="Times New Roman" w:eastAsia="宋体" w:cs="Times New Roman"/>
                <w:color w:val="auto"/>
                <w:sz w:val="24"/>
                <w:szCs w:val="24"/>
                <w:highlight w:val="none"/>
                <w:vertAlign w:val="subscript"/>
              </w:rPr>
              <w:t>p(r)</w:t>
            </w:r>
            <w:r>
              <w:rPr>
                <w:rFonts w:hint="default" w:ascii="Times New Roman" w:hAnsi="Times New Roman" w:eastAsia="宋体" w:cs="Times New Roman"/>
                <w:color w:val="auto"/>
                <w:sz w:val="24"/>
                <w:szCs w:val="24"/>
                <w:highlight w:val="none"/>
              </w:rPr>
              <w:t>—预测点处声压级，dB；</w:t>
            </w:r>
          </w:p>
          <w:p w14:paraId="444DF8E1">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p(r0)</w:t>
            </w:r>
            <w:r>
              <w:rPr>
                <w:rFonts w:hint="default" w:ascii="Times New Roman" w:hAnsi="Times New Roman" w:eastAsia="宋体" w:cs="Times New Roman"/>
                <w:color w:val="auto"/>
                <w:sz w:val="24"/>
                <w:szCs w:val="24"/>
                <w:highlight w:val="none"/>
              </w:rPr>
              <w:t>—参考位置r</w:t>
            </w:r>
            <w:r>
              <w:rPr>
                <w:rFonts w:hint="default" w:ascii="Times New Roman" w:hAnsi="Times New Roman" w:eastAsia="宋体" w:cs="Times New Roman"/>
                <w:color w:val="auto"/>
                <w:sz w:val="24"/>
                <w:szCs w:val="24"/>
                <w:highlight w:val="none"/>
                <w:vertAlign w:val="subscript"/>
              </w:rPr>
              <w:t>0</w:t>
            </w:r>
            <w:r>
              <w:rPr>
                <w:rFonts w:hint="default" w:ascii="Times New Roman" w:hAnsi="Times New Roman" w:eastAsia="宋体" w:cs="Times New Roman"/>
                <w:color w:val="auto"/>
                <w:sz w:val="24"/>
                <w:szCs w:val="24"/>
                <w:highlight w:val="none"/>
              </w:rPr>
              <w:t>处的声压级，dB；</w:t>
            </w:r>
          </w:p>
          <w:p w14:paraId="25041DF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r—预测点距声源的距离；</w:t>
            </w:r>
          </w:p>
          <w:p w14:paraId="08904F3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color w:val="auto"/>
                <w:sz w:val="24"/>
                <w:szCs w:val="24"/>
                <w:highlight w:val="none"/>
              </w:rPr>
              <w:t>r</w:t>
            </w:r>
            <w:r>
              <w:rPr>
                <w:rFonts w:hint="default" w:ascii="Times New Roman" w:hAnsi="Times New Roman" w:eastAsia="宋体" w:cs="Times New Roman"/>
                <w:color w:val="auto"/>
                <w:sz w:val="24"/>
                <w:szCs w:val="24"/>
                <w:highlight w:val="none"/>
                <w:vertAlign w:val="subscript"/>
              </w:rPr>
              <w:t>0</w:t>
            </w:r>
            <w:r>
              <w:rPr>
                <w:rFonts w:hint="default" w:ascii="Times New Roman" w:hAnsi="Times New Roman" w:eastAsia="宋体" w:cs="Times New Roman"/>
                <w:color w:val="auto"/>
                <w:sz w:val="24"/>
                <w:szCs w:val="24"/>
                <w:highlight w:val="none"/>
              </w:rPr>
              <w:t>—参考位置距声源的距离。</w:t>
            </w:r>
          </w:p>
          <w:p w14:paraId="2285E512">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②噪声贡献值计算公式：</w:t>
            </w:r>
          </w:p>
          <w:p w14:paraId="08555631">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eqg</w:t>
            </w:r>
            <w:r>
              <w:rPr>
                <w:rFonts w:hint="default" w:ascii="Times New Roman" w:hAnsi="Times New Roman" w:eastAsia="宋体" w:cs="Times New Roman"/>
                <w:color w:val="auto"/>
                <w:sz w:val="24"/>
                <w:szCs w:val="24"/>
                <w:highlight w:val="none"/>
              </w:rPr>
              <w:t>=10lg（</w:t>
            </w:r>
            <w:r>
              <w:rPr>
                <w:rFonts w:hint="default" w:ascii="Times New Roman" w:hAnsi="Times New Roman" w:eastAsia="宋体" w:cs="Times New Roman"/>
                <w:color w:val="auto"/>
                <w:position w:val="-28"/>
                <w:sz w:val="24"/>
                <w:szCs w:val="24"/>
                <w:highlight w:val="none"/>
              </w:rPr>
              <w:object>
                <v:shape id="_x0000_i1025" o:spt="75" type="#_x0000_t75" style="height:33pt;width:33.75pt;" o:ole="t" filled="f" o:preferrelative="t" stroked="f" coordsize="21600,21600">
                  <v:path/>
                  <v:fill on="f" focussize="0,0"/>
                  <v:stroke on="f"/>
                  <v:imagedata r:id="rId13" o:title=""/>
                  <o:lock v:ext="edit" aspectratio="t"/>
                  <w10:wrap type="none"/>
                  <w10:anchorlock/>
                </v:shape>
                <o:OLEObject Type="Embed" ProgID="Equation.3" ShapeID="_x0000_i1025" DrawAspect="Content" ObjectID="_1468075725" r:id="rId12">
                  <o:LockedField>false</o:LockedField>
                </o:OLEObject>
              </w:object>
            </w:r>
            <w:r>
              <w:rPr>
                <w:rFonts w:hint="default" w:ascii="Times New Roman" w:hAnsi="Times New Roman" w:eastAsia="宋体" w:cs="Times New Roman"/>
                <w:color w:val="auto"/>
                <w:sz w:val="24"/>
                <w:szCs w:val="24"/>
                <w:highlight w:val="none"/>
              </w:rPr>
              <w:t>10</w:t>
            </w:r>
            <w:r>
              <w:rPr>
                <w:rFonts w:hint="default" w:ascii="Times New Roman" w:hAnsi="Times New Roman" w:eastAsia="宋体" w:cs="Times New Roman"/>
                <w:color w:val="auto"/>
                <w:sz w:val="24"/>
                <w:szCs w:val="24"/>
                <w:highlight w:val="none"/>
                <w:vertAlign w:val="superscript"/>
              </w:rPr>
              <w:t>0.1LAi</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rPr>
              <w:sym w:font="Times New Roman" w:char="F02B"/>
            </w:r>
            <w:r>
              <w:rPr>
                <w:rFonts w:hint="default" w:ascii="Times New Roman" w:hAnsi="Times New Roman" w:eastAsia="宋体" w:cs="Times New Roman"/>
                <w:color w:val="auto"/>
                <w:sz w:val="24"/>
                <w:szCs w:val="24"/>
                <w:highlight w:val="none"/>
              </w:rPr>
              <w:sym w:font="Times New Roman" w:char="F02D"/>
            </w:r>
            <w:r>
              <w:rPr>
                <w:rFonts w:hint="default" w:ascii="Times New Roman" w:hAnsi="Times New Roman" w:eastAsia="宋体" w:cs="Times New Roman"/>
                <w:color w:val="auto"/>
                <w:sz w:val="24"/>
                <w:szCs w:val="24"/>
                <w:highlight w:val="none"/>
              </w:rPr>
              <w:sym w:font="Times New Roman" w:char="F03D"/>
            </w:r>
          </w:p>
          <w:p w14:paraId="1FEAFD0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式中：L</w:t>
            </w:r>
            <w:r>
              <w:rPr>
                <w:rFonts w:hint="default" w:ascii="Times New Roman" w:hAnsi="Times New Roman" w:eastAsia="宋体" w:cs="Times New Roman"/>
                <w:color w:val="auto"/>
                <w:sz w:val="24"/>
                <w:szCs w:val="24"/>
                <w:highlight w:val="none"/>
                <w:vertAlign w:val="subscript"/>
              </w:rPr>
              <w:t>eqg</w:t>
            </w:r>
            <w:r>
              <w:rPr>
                <w:rFonts w:hint="default" w:ascii="Times New Roman" w:hAnsi="Times New Roman" w:eastAsia="宋体" w:cs="Times New Roman"/>
                <w:color w:val="auto"/>
                <w:sz w:val="24"/>
                <w:szCs w:val="24"/>
                <w:highlight w:val="none"/>
              </w:rPr>
              <w:t>—噪声贡献值，dB；</w:t>
            </w:r>
          </w:p>
          <w:p w14:paraId="731C476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T——预测计算的时间段，s；</w:t>
            </w:r>
          </w:p>
          <w:p w14:paraId="3517D22F">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t</w:t>
            </w:r>
            <w:r>
              <w:rPr>
                <w:rFonts w:hint="default" w:ascii="Times New Roman" w:hAnsi="Times New Roman" w:eastAsia="宋体" w:cs="Times New Roman"/>
                <w:color w:val="auto"/>
                <w:sz w:val="24"/>
                <w:szCs w:val="24"/>
                <w:highlight w:val="none"/>
                <w:vertAlign w:val="subscript"/>
              </w:rPr>
              <w:t>i</w:t>
            </w:r>
            <w:r>
              <w:rPr>
                <w:rFonts w:hint="default" w:ascii="Times New Roman" w:hAnsi="Times New Roman" w:eastAsia="宋体" w:cs="Times New Roman"/>
                <w:color w:val="auto"/>
                <w:sz w:val="24"/>
                <w:szCs w:val="24"/>
                <w:highlight w:val="none"/>
              </w:rPr>
              <w:t>——i声源在T时段内的运行时间，s;</w:t>
            </w:r>
          </w:p>
          <w:p w14:paraId="0712035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Ai</w:t>
            </w:r>
            <w:r>
              <w:rPr>
                <w:rFonts w:hint="default" w:ascii="Times New Roman" w:hAnsi="Times New Roman" w:eastAsia="宋体" w:cs="Times New Roman"/>
                <w:color w:val="auto"/>
                <w:sz w:val="24"/>
                <w:szCs w:val="24"/>
                <w:highlight w:val="none"/>
              </w:rPr>
              <w:t>—i声源在预测点产生的等效连续A声级，dB。</w:t>
            </w:r>
          </w:p>
          <w:p w14:paraId="4892A17A">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③噪声预测计算公式：</w:t>
            </w:r>
          </w:p>
          <w:p w14:paraId="7B008914">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ep</w:t>
            </w:r>
            <w:r>
              <w:rPr>
                <w:rFonts w:hint="default" w:ascii="Times New Roman" w:hAnsi="Times New Roman" w:eastAsia="宋体" w:cs="Times New Roman"/>
                <w:color w:val="auto"/>
                <w:sz w:val="24"/>
                <w:szCs w:val="24"/>
                <w:highlight w:val="none"/>
              </w:rPr>
              <w:t>=10lg（10</w:t>
            </w:r>
            <w:r>
              <w:rPr>
                <w:rFonts w:hint="default" w:ascii="Times New Roman" w:hAnsi="Times New Roman" w:eastAsia="宋体" w:cs="Times New Roman"/>
                <w:color w:val="auto"/>
                <w:sz w:val="24"/>
                <w:szCs w:val="24"/>
                <w:highlight w:val="none"/>
                <w:vertAlign w:val="superscript"/>
              </w:rPr>
              <w:t>0.1Leqg</w:t>
            </w:r>
            <w:r>
              <w:rPr>
                <w:rFonts w:hint="default" w:ascii="Times New Roman" w:hAnsi="Times New Roman" w:eastAsia="宋体" w:cs="Times New Roman"/>
                <w:color w:val="auto"/>
                <w:sz w:val="24"/>
                <w:szCs w:val="24"/>
                <w:highlight w:val="none"/>
              </w:rPr>
              <w:t>+10</w:t>
            </w:r>
            <w:r>
              <w:rPr>
                <w:rFonts w:hint="default" w:ascii="Times New Roman" w:hAnsi="Times New Roman" w:eastAsia="宋体" w:cs="Times New Roman"/>
                <w:color w:val="auto"/>
                <w:sz w:val="24"/>
                <w:szCs w:val="24"/>
                <w:highlight w:val="none"/>
                <w:vertAlign w:val="superscript"/>
              </w:rPr>
              <w:t>0.1Leqb</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rPr>
              <w:sym w:font="Times New Roman" w:char="F02B"/>
            </w:r>
            <w:r>
              <w:rPr>
                <w:rFonts w:hint="default" w:ascii="Times New Roman" w:hAnsi="Times New Roman" w:eastAsia="宋体" w:cs="Times New Roman"/>
                <w:color w:val="auto"/>
                <w:sz w:val="24"/>
                <w:szCs w:val="24"/>
                <w:highlight w:val="none"/>
              </w:rPr>
              <w:sym w:font="Times New Roman" w:char="F02D"/>
            </w:r>
            <w:r>
              <w:rPr>
                <w:rFonts w:hint="default" w:ascii="Times New Roman" w:hAnsi="Times New Roman" w:eastAsia="宋体" w:cs="Times New Roman"/>
                <w:color w:val="auto"/>
                <w:sz w:val="24"/>
                <w:szCs w:val="24"/>
                <w:highlight w:val="none"/>
              </w:rPr>
              <w:sym w:font="Times New Roman" w:char="F03D"/>
            </w:r>
          </w:p>
          <w:p w14:paraId="444CF14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式中：L</w:t>
            </w:r>
            <w:r>
              <w:rPr>
                <w:rFonts w:hint="default" w:ascii="Times New Roman" w:hAnsi="Times New Roman" w:eastAsia="宋体" w:cs="Times New Roman"/>
                <w:color w:val="auto"/>
                <w:sz w:val="24"/>
                <w:szCs w:val="24"/>
                <w:highlight w:val="none"/>
                <w:vertAlign w:val="subscript"/>
              </w:rPr>
              <w:t>ep</w:t>
            </w:r>
            <w:r>
              <w:rPr>
                <w:rFonts w:hint="default" w:ascii="Times New Roman" w:hAnsi="Times New Roman" w:eastAsia="宋体" w:cs="Times New Roman"/>
                <w:color w:val="auto"/>
                <w:sz w:val="24"/>
                <w:szCs w:val="24"/>
                <w:highlight w:val="none"/>
              </w:rPr>
              <w:t>—预测点的噪声预测值，dB；</w:t>
            </w:r>
          </w:p>
          <w:p w14:paraId="56D3EFD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eqg</w:t>
            </w:r>
            <w:r>
              <w:rPr>
                <w:rFonts w:hint="default" w:ascii="Times New Roman" w:hAnsi="Times New Roman" w:eastAsia="宋体" w:cs="Times New Roman"/>
                <w:color w:val="auto"/>
                <w:sz w:val="24"/>
                <w:szCs w:val="24"/>
                <w:highlight w:val="none"/>
              </w:rPr>
              <w:t>——建设项目声源在预测点产生的噪声贡献值，dB；</w:t>
            </w:r>
          </w:p>
          <w:p w14:paraId="57C06A5F">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eqb</w:t>
            </w:r>
            <w:r>
              <w:rPr>
                <w:rFonts w:hint="default" w:ascii="Times New Roman" w:hAnsi="Times New Roman" w:eastAsia="宋体" w:cs="Times New Roman"/>
                <w:color w:val="auto"/>
                <w:sz w:val="24"/>
                <w:szCs w:val="24"/>
                <w:highlight w:val="none"/>
              </w:rPr>
              <w:t>—预测点的背景噪声值，dB。</w:t>
            </w:r>
          </w:p>
          <w:p w14:paraId="2A42C525">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p>
          <w:p w14:paraId="32C14DB0">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p>
          <w:p w14:paraId="3D979050">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p>
          <w:p w14:paraId="291C3BDD">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p>
          <w:p w14:paraId="3FDEC425">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p>
          <w:p w14:paraId="0E39A7CD">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p>
          <w:p w14:paraId="6B96C350">
            <w:pPr>
              <w:numPr>
                <w:ilvl w:val="0"/>
                <w:numId w:val="0"/>
              </w:numPr>
              <w:adjustRightInd w:val="0"/>
              <w:snapToGrid w:val="0"/>
              <w:spacing w:line="360" w:lineRule="auto"/>
              <w:rPr>
                <w:rFonts w:hint="default" w:ascii="Times New Roman" w:hAnsi="Times New Roman" w:eastAsia="宋体" w:cs="Times New Roman"/>
                <w:color w:val="auto"/>
                <w:sz w:val="24"/>
                <w:szCs w:val="24"/>
                <w:highlight w:val="none"/>
                <w:lang w:val="en-US" w:eastAsia="zh-CN"/>
              </w:rPr>
            </w:pPr>
          </w:p>
        </w:tc>
      </w:tr>
    </w:tbl>
    <w:p w14:paraId="3FC66F3F">
      <w:pPr>
        <w:adjustRightInd w:val="0"/>
        <w:snapToGrid w:val="0"/>
        <w:spacing w:line="360" w:lineRule="auto"/>
        <w:rPr>
          <w:rFonts w:hint="default" w:ascii="Times New Roman" w:hAnsi="Times New Roman" w:cs="Times New Roman"/>
          <w:b/>
          <w:color w:val="auto"/>
          <w:kern w:val="0"/>
          <w:sz w:val="28"/>
          <w:szCs w:val="28"/>
          <w:highlight w:val="none"/>
        </w:rPr>
        <w:sectPr>
          <w:pgSz w:w="11907" w:h="16840"/>
          <w:pgMar w:top="1701" w:right="1531" w:bottom="2127" w:left="1531" w:header="851" w:footer="851" w:gutter="0"/>
          <w:pgNumType w:fmt="decimal"/>
          <w:cols w:space="720" w:num="1"/>
          <w:docGrid w:linePitch="312" w:charSpace="0"/>
        </w:sectPr>
      </w:pPr>
    </w:p>
    <w:tbl>
      <w:tblPr>
        <w:tblStyle w:val="25"/>
        <w:tblW w:w="136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0"/>
        <w:gridCol w:w="13433"/>
      </w:tblGrid>
      <w:tr w14:paraId="38F89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1" w:hRule="atLeast"/>
          <w:jc w:val="center"/>
        </w:trPr>
        <w:tc>
          <w:tcPr>
            <w:tcW w:w="240" w:type="dxa"/>
            <w:noWrap w:val="0"/>
            <w:tcMar>
              <w:left w:w="28" w:type="dxa"/>
              <w:right w:w="28" w:type="dxa"/>
            </w:tcMar>
            <w:vAlign w:val="center"/>
          </w:tcPr>
          <w:p w14:paraId="6306DB60">
            <w:pPr>
              <w:pStyle w:val="21"/>
              <w:adjustRightInd w:val="0"/>
              <w:snapToGrid w:val="0"/>
              <w:spacing w:before="0" w:beforeAutospacing="0" w:after="0" w:afterAutospacing="0"/>
              <w:jc w:val="center"/>
              <w:rPr>
                <w:rFonts w:hint="default" w:ascii="Times New Roman" w:hAnsi="Times New Roman" w:cs="Times New Roman"/>
                <w:bCs/>
                <w:color w:val="auto"/>
                <w:kern w:val="2"/>
                <w:sz w:val="24"/>
                <w:szCs w:val="24"/>
                <w:highlight w:val="none"/>
              </w:rPr>
            </w:pPr>
          </w:p>
        </w:tc>
        <w:tc>
          <w:tcPr>
            <w:tcW w:w="13433" w:type="dxa"/>
            <w:noWrap w:val="0"/>
            <w:vAlign w:val="top"/>
          </w:tcPr>
          <w:p w14:paraId="1CC10A92">
            <w:pPr>
              <w:spacing w:line="240" w:lineRule="auto"/>
              <w:jc w:val="center"/>
              <w:rPr>
                <w:rFonts w:hint="default" w:ascii="Times New Roman" w:hAnsi="Times New Roman" w:eastAsia="宋体" w:cs="Times New Roman"/>
                <w:b/>
                <w:color w:val="auto"/>
                <w:kern w:val="0"/>
                <w:szCs w:val="21"/>
                <w:highlight w:val="none"/>
                <w:lang w:val="en-US" w:eastAsia="zh-CN"/>
              </w:rPr>
            </w:pPr>
            <w:r>
              <w:rPr>
                <w:rFonts w:hint="default" w:ascii="Times New Roman" w:hAnsi="Times New Roman" w:eastAsia="宋体" w:cs="Times New Roman"/>
                <w:b/>
                <w:color w:val="auto"/>
                <w:kern w:val="0"/>
                <w:szCs w:val="21"/>
                <w:highlight w:val="none"/>
              </w:rPr>
              <w:t>表</w:t>
            </w:r>
            <w:r>
              <w:rPr>
                <w:rFonts w:hint="default" w:ascii="Times New Roman" w:hAnsi="Times New Roman" w:eastAsia="宋体" w:cs="Times New Roman"/>
                <w:b/>
                <w:color w:val="auto"/>
                <w:kern w:val="0"/>
                <w:szCs w:val="21"/>
                <w:highlight w:val="none"/>
                <w:lang w:val="en-US" w:eastAsia="zh-CN"/>
              </w:rPr>
              <w:t>4-</w:t>
            </w:r>
            <w:r>
              <w:rPr>
                <w:rFonts w:hint="eastAsia" w:ascii="Times New Roman" w:hAnsi="Times New Roman" w:eastAsia="宋体" w:cs="Times New Roman"/>
                <w:b/>
                <w:color w:val="auto"/>
                <w:kern w:val="0"/>
                <w:szCs w:val="21"/>
                <w:highlight w:val="none"/>
                <w:lang w:val="en-US" w:eastAsia="zh-CN"/>
              </w:rPr>
              <w:t xml:space="preserve">7 </w:t>
            </w:r>
            <w:r>
              <w:rPr>
                <w:rFonts w:hint="default" w:ascii="Times New Roman" w:hAnsi="Times New Roman" w:eastAsia="宋体" w:cs="Times New Roman"/>
                <w:b/>
                <w:color w:val="auto"/>
                <w:kern w:val="0"/>
                <w:szCs w:val="21"/>
                <w:highlight w:val="none"/>
                <w:lang w:val="en-US" w:eastAsia="zh-CN"/>
              </w:rPr>
              <w:t>工业企业噪声源强调查清单（室内声源）</w:t>
            </w:r>
          </w:p>
          <w:tbl>
            <w:tblPr>
              <w:tblStyle w:val="25"/>
              <w:tblW w:w="131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900"/>
              <w:gridCol w:w="2259"/>
              <w:gridCol w:w="660"/>
              <w:gridCol w:w="1335"/>
              <w:gridCol w:w="673"/>
              <w:gridCol w:w="831"/>
              <w:gridCol w:w="717"/>
              <w:gridCol w:w="359"/>
              <w:gridCol w:w="735"/>
              <w:gridCol w:w="900"/>
              <w:gridCol w:w="705"/>
              <w:gridCol w:w="915"/>
              <w:gridCol w:w="885"/>
              <w:gridCol w:w="871"/>
            </w:tblGrid>
            <w:tr w14:paraId="032E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vMerge w:val="restart"/>
                  <w:noWrap w:val="0"/>
                  <w:vAlign w:val="center"/>
                </w:tcPr>
                <w:p w14:paraId="65052E53">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900" w:type="dxa"/>
                  <w:vMerge w:val="restart"/>
                  <w:noWrap w:val="0"/>
                  <w:vAlign w:val="center"/>
                </w:tcPr>
                <w:p w14:paraId="4764E0A2">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建筑物名称</w:t>
                  </w:r>
                </w:p>
              </w:tc>
              <w:tc>
                <w:tcPr>
                  <w:tcW w:w="2259" w:type="dxa"/>
                  <w:vMerge w:val="restart"/>
                  <w:noWrap w:val="0"/>
                  <w:vAlign w:val="center"/>
                </w:tcPr>
                <w:p w14:paraId="112B698A">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660" w:type="dxa"/>
                  <w:vMerge w:val="restart"/>
                  <w:noWrap w:val="0"/>
                  <w:vAlign w:val="center"/>
                </w:tcPr>
                <w:p w14:paraId="5C032029">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设备数量</w:t>
                  </w:r>
                </w:p>
              </w:tc>
              <w:tc>
                <w:tcPr>
                  <w:tcW w:w="1335" w:type="dxa"/>
                  <w:noWrap w:val="0"/>
                  <w:vAlign w:val="center"/>
                </w:tcPr>
                <w:p w14:paraId="45F03969">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声源源强</w:t>
                  </w:r>
                </w:p>
              </w:tc>
              <w:tc>
                <w:tcPr>
                  <w:tcW w:w="673" w:type="dxa"/>
                  <w:vMerge w:val="restart"/>
                  <w:noWrap w:val="0"/>
                  <w:vAlign w:val="center"/>
                </w:tcPr>
                <w:p w14:paraId="22704658">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声源控制措施</w:t>
                  </w:r>
                </w:p>
              </w:tc>
              <w:tc>
                <w:tcPr>
                  <w:tcW w:w="1907" w:type="dxa"/>
                  <w:gridSpan w:val="3"/>
                  <w:noWrap w:val="0"/>
                  <w:vAlign w:val="center"/>
                </w:tcPr>
                <w:p w14:paraId="0B0A9054">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空间相对位置/m</w:t>
                  </w:r>
                </w:p>
              </w:tc>
              <w:tc>
                <w:tcPr>
                  <w:tcW w:w="735" w:type="dxa"/>
                  <w:vMerge w:val="restart"/>
                  <w:noWrap w:val="0"/>
                  <w:vAlign w:val="center"/>
                </w:tcPr>
                <w:p w14:paraId="78179D09">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距室内边界距离/m</w:t>
                  </w:r>
                </w:p>
              </w:tc>
              <w:tc>
                <w:tcPr>
                  <w:tcW w:w="900" w:type="dxa"/>
                  <w:vMerge w:val="restart"/>
                  <w:noWrap w:val="0"/>
                  <w:vAlign w:val="center"/>
                </w:tcPr>
                <w:p w14:paraId="315AB7DF">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sz w:val="21"/>
                      <w:szCs w:val="21"/>
                      <w:highlight w:val="none"/>
                      <w:lang w:bidi="ar"/>
                    </w:rPr>
                    <w:t>室内边界声级/dB（A）</w:t>
                  </w:r>
                </w:p>
              </w:tc>
              <w:tc>
                <w:tcPr>
                  <w:tcW w:w="705" w:type="dxa"/>
                  <w:vMerge w:val="restart"/>
                  <w:noWrap w:val="0"/>
                  <w:vAlign w:val="center"/>
                </w:tcPr>
                <w:p w14:paraId="7C8CC57C">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运行时间</w:t>
                  </w:r>
                </w:p>
              </w:tc>
              <w:tc>
                <w:tcPr>
                  <w:tcW w:w="915" w:type="dxa"/>
                  <w:vMerge w:val="restart"/>
                  <w:noWrap w:val="0"/>
                  <w:vAlign w:val="center"/>
                </w:tcPr>
                <w:p w14:paraId="7E669AD5">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建筑物插入损失/dB（A）</w:t>
                  </w:r>
                </w:p>
              </w:tc>
              <w:tc>
                <w:tcPr>
                  <w:tcW w:w="1756" w:type="dxa"/>
                  <w:gridSpan w:val="2"/>
                  <w:noWrap w:val="0"/>
                  <w:vAlign w:val="center"/>
                </w:tcPr>
                <w:p w14:paraId="2C2F52F8">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建筑物外噪声</w:t>
                  </w:r>
                </w:p>
              </w:tc>
            </w:tr>
            <w:tr w14:paraId="7E63C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vMerge w:val="continue"/>
                  <w:noWrap w:val="0"/>
                  <w:vAlign w:val="center"/>
                </w:tcPr>
                <w:p w14:paraId="4F00F3C1">
                  <w:pPr>
                    <w:jc w:val="center"/>
                    <w:rPr>
                      <w:rFonts w:hint="default" w:ascii="Times New Roman" w:hAnsi="Times New Roman" w:eastAsia="宋体" w:cs="Times New Roman"/>
                      <w:b/>
                      <w:bCs/>
                      <w:color w:val="auto"/>
                      <w:sz w:val="21"/>
                      <w:szCs w:val="21"/>
                      <w:highlight w:val="none"/>
                    </w:rPr>
                  </w:pPr>
                </w:p>
              </w:tc>
              <w:tc>
                <w:tcPr>
                  <w:tcW w:w="900" w:type="dxa"/>
                  <w:vMerge w:val="continue"/>
                  <w:noWrap w:val="0"/>
                  <w:vAlign w:val="center"/>
                </w:tcPr>
                <w:p w14:paraId="3EB86360">
                  <w:pPr>
                    <w:jc w:val="center"/>
                    <w:rPr>
                      <w:rFonts w:hint="default" w:ascii="Times New Roman" w:hAnsi="Times New Roman" w:eastAsia="宋体" w:cs="Times New Roman"/>
                      <w:b/>
                      <w:bCs/>
                      <w:color w:val="auto"/>
                      <w:sz w:val="21"/>
                      <w:szCs w:val="21"/>
                      <w:highlight w:val="none"/>
                    </w:rPr>
                  </w:pPr>
                </w:p>
              </w:tc>
              <w:tc>
                <w:tcPr>
                  <w:tcW w:w="2259" w:type="dxa"/>
                  <w:vMerge w:val="continue"/>
                  <w:noWrap w:val="0"/>
                  <w:vAlign w:val="center"/>
                </w:tcPr>
                <w:p w14:paraId="5E2131C6">
                  <w:pPr>
                    <w:jc w:val="center"/>
                    <w:rPr>
                      <w:rFonts w:hint="default" w:ascii="Times New Roman" w:hAnsi="Times New Roman" w:eastAsia="宋体" w:cs="Times New Roman"/>
                      <w:b/>
                      <w:bCs/>
                      <w:color w:val="auto"/>
                      <w:sz w:val="21"/>
                      <w:szCs w:val="21"/>
                      <w:highlight w:val="none"/>
                    </w:rPr>
                  </w:pPr>
                </w:p>
              </w:tc>
              <w:tc>
                <w:tcPr>
                  <w:tcW w:w="660" w:type="dxa"/>
                  <w:vMerge w:val="continue"/>
                  <w:noWrap w:val="0"/>
                  <w:vAlign w:val="center"/>
                </w:tcPr>
                <w:p w14:paraId="36921F7D">
                  <w:pPr>
                    <w:jc w:val="center"/>
                    <w:rPr>
                      <w:rFonts w:hint="default" w:ascii="Times New Roman" w:hAnsi="Times New Roman" w:eastAsia="宋体" w:cs="Times New Roman"/>
                      <w:b/>
                      <w:bCs/>
                      <w:color w:val="auto"/>
                      <w:sz w:val="21"/>
                      <w:szCs w:val="21"/>
                      <w:highlight w:val="none"/>
                    </w:rPr>
                  </w:pPr>
                </w:p>
              </w:tc>
              <w:tc>
                <w:tcPr>
                  <w:tcW w:w="1335" w:type="dxa"/>
                  <w:noWrap w:val="0"/>
                  <w:vAlign w:val="center"/>
                </w:tcPr>
                <w:p w14:paraId="10790F1C">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声功率级/dB（A）</w:t>
                  </w:r>
                </w:p>
              </w:tc>
              <w:tc>
                <w:tcPr>
                  <w:tcW w:w="673" w:type="dxa"/>
                  <w:vMerge w:val="continue"/>
                  <w:noWrap w:val="0"/>
                  <w:vAlign w:val="center"/>
                </w:tcPr>
                <w:p w14:paraId="4CBDAA6A">
                  <w:pPr>
                    <w:jc w:val="center"/>
                    <w:rPr>
                      <w:rFonts w:hint="default" w:ascii="Times New Roman" w:hAnsi="Times New Roman" w:eastAsia="宋体" w:cs="Times New Roman"/>
                      <w:b/>
                      <w:bCs/>
                      <w:color w:val="auto"/>
                      <w:sz w:val="21"/>
                      <w:szCs w:val="21"/>
                      <w:highlight w:val="none"/>
                    </w:rPr>
                  </w:pPr>
                </w:p>
              </w:tc>
              <w:tc>
                <w:tcPr>
                  <w:tcW w:w="831" w:type="dxa"/>
                  <w:noWrap w:val="0"/>
                  <w:vAlign w:val="center"/>
                </w:tcPr>
                <w:p w14:paraId="052D5FF1">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X</w:t>
                  </w:r>
                </w:p>
              </w:tc>
              <w:tc>
                <w:tcPr>
                  <w:tcW w:w="717" w:type="dxa"/>
                  <w:noWrap w:val="0"/>
                  <w:vAlign w:val="center"/>
                </w:tcPr>
                <w:p w14:paraId="7F1A4425">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Y</w:t>
                  </w:r>
                </w:p>
              </w:tc>
              <w:tc>
                <w:tcPr>
                  <w:tcW w:w="359" w:type="dxa"/>
                  <w:noWrap w:val="0"/>
                  <w:vAlign w:val="center"/>
                </w:tcPr>
                <w:p w14:paraId="3FEAC17B">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Z</w:t>
                  </w:r>
                </w:p>
              </w:tc>
              <w:tc>
                <w:tcPr>
                  <w:tcW w:w="735" w:type="dxa"/>
                  <w:vMerge w:val="continue"/>
                  <w:noWrap w:val="0"/>
                  <w:vAlign w:val="center"/>
                </w:tcPr>
                <w:p w14:paraId="0033025F">
                  <w:pPr>
                    <w:widowControl/>
                    <w:adjustRightInd w:val="0"/>
                    <w:snapToGrid w:val="0"/>
                    <w:jc w:val="center"/>
                    <w:rPr>
                      <w:rFonts w:hint="default" w:ascii="Times New Roman" w:hAnsi="Times New Roman" w:eastAsia="宋体" w:cs="Times New Roman"/>
                      <w:b/>
                      <w:bCs/>
                      <w:color w:val="auto"/>
                      <w:kern w:val="0"/>
                      <w:sz w:val="21"/>
                      <w:szCs w:val="21"/>
                      <w:highlight w:val="none"/>
                    </w:rPr>
                  </w:pPr>
                </w:p>
              </w:tc>
              <w:tc>
                <w:tcPr>
                  <w:tcW w:w="900" w:type="dxa"/>
                  <w:vMerge w:val="continue"/>
                  <w:noWrap w:val="0"/>
                  <w:vAlign w:val="center"/>
                </w:tcPr>
                <w:p w14:paraId="2D78305F">
                  <w:pPr>
                    <w:widowControl/>
                    <w:adjustRightInd w:val="0"/>
                    <w:snapToGrid w:val="0"/>
                    <w:jc w:val="center"/>
                    <w:rPr>
                      <w:rFonts w:hint="default" w:ascii="Times New Roman" w:hAnsi="Times New Roman" w:eastAsia="宋体" w:cs="Times New Roman"/>
                      <w:b/>
                      <w:bCs/>
                      <w:color w:val="auto"/>
                      <w:kern w:val="0"/>
                      <w:sz w:val="21"/>
                      <w:szCs w:val="21"/>
                      <w:highlight w:val="none"/>
                    </w:rPr>
                  </w:pPr>
                </w:p>
              </w:tc>
              <w:tc>
                <w:tcPr>
                  <w:tcW w:w="705" w:type="dxa"/>
                  <w:vMerge w:val="continue"/>
                  <w:noWrap w:val="0"/>
                  <w:vAlign w:val="center"/>
                </w:tcPr>
                <w:p w14:paraId="554A4EA0">
                  <w:pPr>
                    <w:jc w:val="center"/>
                    <w:rPr>
                      <w:rFonts w:hint="default" w:ascii="Times New Roman" w:hAnsi="Times New Roman" w:eastAsia="宋体" w:cs="Times New Roman"/>
                      <w:b/>
                      <w:bCs/>
                      <w:color w:val="auto"/>
                      <w:sz w:val="21"/>
                      <w:szCs w:val="21"/>
                      <w:highlight w:val="none"/>
                    </w:rPr>
                  </w:pPr>
                </w:p>
              </w:tc>
              <w:tc>
                <w:tcPr>
                  <w:tcW w:w="915" w:type="dxa"/>
                  <w:vMerge w:val="continue"/>
                  <w:noWrap w:val="0"/>
                  <w:vAlign w:val="center"/>
                </w:tcPr>
                <w:p w14:paraId="588ACB41">
                  <w:pPr>
                    <w:jc w:val="center"/>
                    <w:rPr>
                      <w:rFonts w:hint="default" w:ascii="Times New Roman" w:hAnsi="Times New Roman" w:eastAsia="宋体" w:cs="Times New Roman"/>
                      <w:b/>
                      <w:bCs/>
                      <w:color w:val="auto"/>
                      <w:sz w:val="21"/>
                      <w:szCs w:val="21"/>
                      <w:highlight w:val="none"/>
                    </w:rPr>
                  </w:pPr>
                </w:p>
              </w:tc>
              <w:tc>
                <w:tcPr>
                  <w:tcW w:w="885" w:type="dxa"/>
                  <w:noWrap w:val="0"/>
                  <w:vAlign w:val="center"/>
                </w:tcPr>
                <w:p w14:paraId="7AC33467">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sz w:val="21"/>
                      <w:szCs w:val="21"/>
                      <w:highlight w:val="none"/>
                      <w:lang w:bidi="ar"/>
                    </w:rPr>
                    <w:t>声压级</w:t>
                  </w:r>
                </w:p>
                <w:p w14:paraId="06A64BE6">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sz w:val="21"/>
                      <w:szCs w:val="21"/>
                      <w:highlight w:val="none"/>
                      <w:lang w:bidi="ar"/>
                    </w:rPr>
                    <w:t>/dB（A）</w:t>
                  </w:r>
                </w:p>
              </w:tc>
              <w:tc>
                <w:tcPr>
                  <w:tcW w:w="871" w:type="dxa"/>
                  <w:noWrap w:val="0"/>
                  <w:vAlign w:val="center"/>
                </w:tcPr>
                <w:p w14:paraId="6A3B0433">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建筑物外距离/m</w:t>
                  </w:r>
                </w:p>
              </w:tc>
            </w:tr>
            <w:tr w14:paraId="7E15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55E6D59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900" w:type="dxa"/>
                  <w:vMerge w:val="restart"/>
                  <w:noWrap w:val="0"/>
                  <w:vAlign w:val="center"/>
                </w:tcPr>
                <w:p w14:paraId="4540435F">
                  <w:pPr>
                    <w:contextualSpacing/>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生产</w:t>
                  </w:r>
                </w:p>
                <w:p w14:paraId="60D3A45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车间</w:t>
                  </w:r>
                </w:p>
              </w:tc>
              <w:tc>
                <w:tcPr>
                  <w:tcW w:w="2259" w:type="dxa"/>
                  <w:noWrap w:val="0"/>
                  <w:vAlign w:val="center"/>
                </w:tcPr>
                <w:p w14:paraId="2F4F293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b w:val="0"/>
                      <w:bCs w:val="0"/>
                      <w:color w:val="auto"/>
                      <w:szCs w:val="21"/>
                      <w:highlight w:val="none"/>
                      <w:lang w:val="en-US" w:eastAsia="zh-CN"/>
                    </w:rPr>
                    <w:t>链板上料机</w:t>
                  </w:r>
                </w:p>
              </w:tc>
              <w:tc>
                <w:tcPr>
                  <w:tcW w:w="660" w:type="dxa"/>
                  <w:noWrap w:val="0"/>
                  <w:vAlign w:val="center"/>
                </w:tcPr>
                <w:p w14:paraId="284B225D">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1335" w:type="dxa"/>
                  <w:noWrap w:val="0"/>
                  <w:vAlign w:val="center"/>
                </w:tcPr>
                <w:p w14:paraId="45ECA4E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75</w:t>
                  </w:r>
                </w:p>
              </w:tc>
              <w:tc>
                <w:tcPr>
                  <w:tcW w:w="673" w:type="dxa"/>
                  <w:vMerge w:val="restart"/>
                  <w:noWrap w:val="0"/>
                  <w:vAlign w:val="center"/>
                </w:tcPr>
                <w:p w14:paraId="4B2EDCE2">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采用低噪声设备；</w:t>
                  </w:r>
                </w:p>
                <w:p w14:paraId="283007A9">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eastAsia="zh-CN"/>
                    </w:rPr>
                    <w:t>减振</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厂房</w:t>
                  </w:r>
                  <w:r>
                    <w:rPr>
                      <w:rFonts w:hint="default" w:ascii="Times New Roman" w:hAnsi="Times New Roman" w:eastAsia="宋体" w:cs="Times New Roman"/>
                      <w:color w:val="auto"/>
                      <w:sz w:val="21"/>
                      <w:szCs w:val="21"/>
                      <w:highlight w:val="none"/>
                      <w:lang w:val="en-US" w:eastAsia="zh-CN"/>
                    </w:rPr>
                    <w:t>隔声</w:t>
                  </w:r>
                </w:p>
              </w:tc>
              <w:tc>
                <w:tcPr>
                  <w:tcW w:w="831" w:type="dxa"/>
                  <w:noWrap w:val="0"/>
                  <w:vAlign w:val="center"/>
                </w:tcPr>
                <w:p w14:paraId="7AB4D17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28.47</w:t>
                  </w:r>
                </w:p>
              </w:tc>
              <w:tc>
                <w:tcPr>
                  <w:tcW w:w="717" w:type="dxa"/>
                  <w:noWrap w:val="0"/>
                  <w:vAlign w:val="center"/>
                </w:tcPr>
                <w:p w14:paraId="5218A39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30.79</w:t>
                  </w:r>
                </w:p>
              </w:tc>
              <w:tc>
                <w:tcPr>
                  <w:tcW w:w="359" w:type="dxa"/>
                  <w:noWrap w:val="0"/>
                  <w:vAlign w:val="center"/>
                </w:tcPr>
                <w:p w14:paraId="0CACCE6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735" w:type="dxa"/>
                  <w:noWrap w:val="0"/>
                  <w:vAlign w:val="center"/>
                </w:tcPr>
                <w:p w14:paraId="4FCF0633">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6.57</w:t>
                  </w:r>
                </w:p>
              </w:tc>
              <w:tc>
                <w:tcPr>
                  <w:tcW w:w="900" w:type="dxa"/>
                  <w:noWrap w:val="0"/>
                  <w:vAlign w:val="center"/>
                </w:tcPr>
                <w:p w14:paraId="1397349B">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75.20</w:t>
                  </w:r>
                </w:p>
              </w:tc>
              <w:tc>
                <w:tcPr>
                  <w:tcW w:w="705" w:type="dxa"/>
                  <w:vMerge w:val="restart"/>
                  <w:noWrap w:val="0"/>
                  <w:vAlign w:val="center"/>
                </w:tcPr>
                <w:p w14:paraId="0B063424">
                  <w:pPr>
                    <w:keepNext w:val="0"/>
                    <w:keepLines w:val="0"/>
                    <w:pageBreakBefore w:val="0"/>
                    <w:widowControl/>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昼间</w:t>
                  </w:r>
                </w:p>
                <w:p w14:paraId="6FE91DD0">
                  <w:pPr>
                    <w:keepNext w:val="0"/>
                    <w:keepLines w:val="0"/>
                    <w:pageBreakBefore w:val="0"/>
                    <w:widowControl/>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夜间</w:t>
                  </w:r>
                </w:p>
              </w:tc>
              <w:tc>
                <w:tcPr>
                  <w:tcW w:w="915" w:type="dxa"/>
                  <w:noWrap w:val="0"/>
                  <w:vAlign w:val="center"/>
                </w:tcPr>
                <w:p w14:paraId="1A1F74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21</w:t>
                  </w:r>
                </w:p>
              </w:tc>
              <w:tc>
                <w:tcPr>
                  <w:tcW w:w="885" w:type="dxa"/>
                  <w:noWrap w:val="0"/>
                  <w:vAlign w:val="center"/>
                </w:tcPr>
                <w:p w14:paraId="274B3576">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54.20</w:t>
                  </w:r>
                </w:p>
              </w:tc>
              <w:tc>
                <w:tcPr>
                  <w:tcW w:w="871" w:type="dxa"/>
                  <w:noWrap w:val="0"/>
                  <w:vAlign w:val="center"/>
                </w:tcPr>
                <w:p w14:paraId="084889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7351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1BDF564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900" w:type="dxa"/>
                  <w:vMerge w:val="continue"/>
                  <w:noWrap w:val="0"/>
                  <w:vAlign w:val="center"/>
                </w:tcPr>
                <w:p w14:paraId="40B5218C">
                  <w:pPr>
                    <w:jc w:val="center"/>
                    <w:rPr>
                      <w:rFonts w:hint="default" w:ascii="Times New Roman" w:hAnsi="Times New Roman" w:eastAsia="宋体" w:cs="Times New Roman"/>
                      <w:color w:val="auto"/>
                      <w:kern w:val="0"/>
                      <w:sz w:val="21"/>
                      <w:szCs w:val="21"/>
                      <w:highlight w:val="none"/>
                    </w:rPr>
                  </w:pPr>
                </w:p>
              </w:tc>
              <w:tc>
                <w:tcPr>
                  <w:tcW w:w="2259" w:type="dxa"/>
                  <w:noWrap w:val="0"/>
                  <w:vAlign w:val="center"/>
                </w:tcPr>
                <w:p w14:paraId="4E72EA6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b w:val="0"/>
                      <w:bCs w:val="0"/>
                      <w:color w:val="auto"/>
                      <w:szCs w:val="21"/>
                      <w:highlight w:val="none"/>
                      <w:lang w:val="en-US" w:eastAsia="zh-CN"/>
                    </w:rPr>
                    <w:t>一破撕碎机</w:t>
                  </w:r>
                </w:p>
              </w:tc>
              <w:tc>
                <w:tcPr>
                  <w:tcW w:w="660" w:type="dxa"/>
                  <w:noWrap w:val="0"/>
                  <w:vAlign w:val="center"/>
                </w:tcPr>
                <w:p w14:paraId="25F735D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1335" w:type="dxa"/>
                  <w:noWrap w:val="0"/>
                  <w:vAlign w:val="center"/>
                </w:tcPr>
                <w:p w14:paraId="3DCD9B5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85</w:t>
                  </w:r>
                </w:p>
              </w:tc>
              <w:tc>
                <w:tcPr>
                  <w:tcW w:w="673" w:type="dxa"/>
                  <w:vMerge w:val="continue"/>
                  <w:noWrap w:val="0"/>
                  <w:vAlign w:val="center"/>
                </w:tcPr>
                <w:p w14:paraId="4DA66B12">
                  <w:pPr>
                    <w:jc w:val="center"/>
                    <w:rPr>
                      <w:rFonts w:hint="default" w:ascii="Times New Roman" w:hAnsi="Times New Roman" w:eastAsia="宋体" w:cs="Times New Roman"/>
                      <w:color w:val="auto"/>
                      <w:kern w:val="0"/>
                      <w:sz w:val="21"/>
                      <w:szCs w:val="21"/>
                      <w:highlight w:val="none"/>
                    </w:rPr>
                  </w:pPr>
                </w:p>
              </w:tc>
              <w:tc>
                <w:tcPr>
                  <w:tcW w:w="831" w:type="dxa"/>
                  <w:noWrap w:val="0"/>
                  <w:vAlign w:val="center"/>
                </w:tcPr>
                <w:p w14:paraId="189CE80D">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33.56</w:t>
                  </w:r>
                </w:p>
              </w:tc>
              <w:tc>
                <w:tcPr>
                  <w:tcW w:w="717" w:type="dxa"/>
                  <w:noWrap w:val="0"/>
                  <w:vAlign w:val="center"/>
                </w:tcPr>
                <w:p w14:paraId="2863FD5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30.12</w:t>
                  </w:r>
                </w:p>
              </w:tc>
              <w:tc>
                <w:tcPr>
                  <w:tcW w:w="359" w:type="dxa"/>
                  <w:noWrap w:val="0"/>
                  <w:vAlign w:val="center"/>
                </w:tcPr>
                <w:p w14:paraId="39626A3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735" w:type="dxa"/>
                  <w:noWrap w:val="0"/>
                  <w:vAlign w:val="center"/>
                </w:tcPr>
                <w:p w14:paraId="2959A4E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6.59</w:t>
                  </w:r>
                </w:p>
              </w:tc>
              <w:tc>
                <w:tcPr>
                  <w:tcW w:w="900" w:type="dxa"/>
                  <w:noWrap w:val="0"/>
                  <w:vAlign w:val="center"/>
                </w:tcPr>
                <w:p w14:paraId="0D379271">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75.20</w:t>
                  </w:r>
                </w:p>
              </w:tc>
              <w:tc>
                <w:tcPr>
                  <w:tcW w:w="705" w:type="dxa"/>
                  <w:vMerge w:val="continue"/>
                  <w:noWrap w:val="0"/>
                  <w:vAlign w:val="center"/>
                </w:tcPr>
                <w:p w14:paraId="6213E4F3">
                  <w:pPr>
                    <w:widowControl/>
                    <w:adjustRightInd w:val="0"/>
                    <w:snapToGrid w:val="0"/>
                    <w:jc w:val="center"/>
                    <w:rPr>
                      <w:rFonts w:hint="default" w:ascii="Times New Roman" w:hAnsi="Times New Roman" w:eastAsia="宋体" w:cs="Times New Roman"/>
                      <w:color w:val="auto"/>
                      <w:kern w:val="0"/>
                      <w:sz w:val="21"/>
                      <w:szCs w:val="21"/>
                      <w:highlight w:val="none"/>
                      <w:lang w:val="en-US" w:eastAsia="zh-CN"/>
                    </w:rPr>
                  </w:pPr>
                </w:p>
              </w:tc>
              <w:tc>
                <w:tcPr>
                  <w:tcW w:w="915" w:type="dxa"/>
                  <w:noWrap w:val="0"/>
                  <w:vAlign w:val="center"/>
                </w:tcPr>
                <w:p w14:paraId="0BE197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21</w:t>
                  </w:r>
                </w:p>
              </w:tc>
              <w:tc>
                <w:tcPr>
                  <w:tcW w:w="885" w:type="dxa"/>
                  <w:noWrap w:val="0"/>
                  <w:vAlign w:val="center"/>
                </w:tcPr>
                <w:p w14:paraId="42C9524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54.20</w:t>
                  </w:r>
                </w:p>
              </w:tc>
              <w:tc>
                <w:tcPr>
                  <w:tcW w:w="871" w:type="dxa"/>
                  <w:noWrap w:val="0"/>
                  <w:vAlign w:val="center"/>
                </w:tcPr>
                <w:p w14:paraId="232F32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7E0E5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4CE5367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900" w:type="dxa"/>
                  <w:vMerge w:val="continue"/>
                  <w:noWrap w:val="0"/>
                  <w:vAlign w:val="center"/>
                </w:tcPr>
                <w:p w14:paraId="37F862A1">
                  <w:pPr>
                    <w:jc w:val="center"/>
                    <w:rPr>
                      <w:rFonts w:hint="default" w:ascii="Times New Roman" w:hAnsi="Times New Roman" w:eastAsia="宋体" w:cs="Times New Roman"/>
                      <w:color w:val="auto"/>
                      <w:kern w:val="0"/>
                      <w:sz w:val="21"/>
                      <w:szCs w:val="21"/>
                      <w:highlight w:val="none"/>
                    </w:rPr>
                  </w:pPr>
                </w:p>
              </w:tc>
              <w:tc>
                <w:tcPr>
                  <w:tcW w:w="2259" w:type="dxa"/>
                  <w:noWrap w:val="0"/>
                  <w:vAlign w:val="center"/>
                </w:tcPr>
                <w:p w14:paraId="6384732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b w:val="0"/>
                      <w:bCs w:val="0"/>
                      <w:color w:val="auto"/>
                      <w:szCs w:val="21"/>
                      <w:highlight w:val="none"/>
                    </w:rPr>
                    <w:t>二破撕碎机</w:t>
                  </w:r>
                </w:p>
              </w:tc>
              <w:tc>
                <w:tcPr>
                  <w:tcW w:w="660" w:type="dxa"/>
                  <w:noWrap w:val="0"/>
                  <w:vAlign w:val="center"/>
                </w:tcPr>
                <w:p w14:paraId="3069FA67">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1335" w:type="dxa"/>
                  <w:noWrap w:val="0"/>
                  <w:vAlign w:val="center"/>
                </w:tcPr>
                <w:p w14:paraId="1E2B887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85</w:t>
                  </w:r>
                </w:p>
              </w:tc>
              <w:tc>
                <w:tcPr>
                  <w:tcW w:w="673" w:type="dxa"/>
                  <w:vMerge w:val="continue"/>
                  <w:noWrap w:val="0"/>
                  <w:vAlign w:val="center"/>
                </w:tcPr>
                <w:p w14:paraId="01182953">
                  <w:pPr>
                    <w:jc w:val="center"/>
                    <w:rPr>
                      <w:rFonts w:hint="default" w:ascii="Times New Roman" w:hAnsi="Times New Roman" w:eastAsia="宋体" w:cs="Times New Roman"/>
                      <w:color w:val="auto"/>
                      <w:kern w:val="0"/>
                      <w:sz w:val="21"/>
                      <w:szCs w:val="21"/>
                      <w:highlight w:val="none"/>
                    </w:rPr>
                  </w:pPr>
                </w:p>
              </w:tc>
              <w:tc>
                <w:tcPr>
                  <w:tcW w:w="831" w:type="dxa"/>
                  <w:noWrap w:val="0"/>
                  <w:vAlign w:val="center"/>
                </w:tcPr>
                <w:p w14:paraId="39F65A3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53.79</w:t>
                  </w:r>
                </w:p>
              </w:tc>
              <w:tc>
                <w:tcPr>
                  <w:tcW w:w="717" w:type="dxa"/>
                  <w:noWrap w:val="0"/>
                  <w:vAlign w:val="center"/>
                </w:tcPr>
                <w:p w14:paraId="5249F5A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30.18</w:t>
                  </w:r>
                </w:p>
              </w:tc>
              <w:tc>
                <w:tcPr>
                  <w:tcW w:w="359" w:type="dxa"/>
                  <w:noWrap w:val="0"/>
                  <w:vAlign w:val="center"/>
                </w:tcPr>
                <w:p w14:paraId="6DF996F6">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735" w:type="dxa"/>
                  <w:noWrap w:val="0"/>
                  <w:vAlign w:val="center"/>
                </w:tcPr>
                <w:p w14:paraId="13C2E26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76.17</w:t>
                  </w:r>
                </w:p>
              </w:tc>
              <w:tc>
                <w:tcPr>
                  <w:tcW w:w="900" w:type="dxa"/>
                  <w:noWrap w:val="0"/>
                  <w:vAlign w:val="center"/>
                </w:tcPr>
                <w:p w14:paraId="0179AE4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75.13</w:t>
                  </w:r>
                </w:p>
              </w:tc>
              <w:tc>
                <w:tcPr>
                  <w:tcW w:w="705" w:type="dxa"/>
                  <w:vMerge w:val="continue"/>
                  <w:noWrap w:val="0"/>
                  <w:vAlign w:val="center"/>
                </w:tcPr>
                <w:p w14:paraId="2A18A936">
                  <w:pPr>
                    <w:widowControl/>
                    <w:adjustRightInd w:val="0"/>
                    <w:snapToGrid w:val="0"/>
                    <w:jc w:val="center"/>
                    <w:rPr>
                      <w:rFonts w:hint="default" w:ascii="Times New Roman" w:hAnsi="Times New Roman" w:eastAsia="宋体" w:cs="Times New Roman"/>
                      <w:color w:val="auto"/>
                      <w:kern w:val="0"/>
                      <w:sz w:val="21"/>
                      <w:szCs w:val="21"/>
                      <w:highlight w:val="none"/>
                      <w:lang w:val="en-US" w:eastAsia="zh-CN"/>
                    </w:rPr>
                  </w:pPr>
                </w:p>
              </w:tc>
              <w:tc>
                <w:tcPr>
                  <w:tcW w:w="915" w:type="dxa"/>
                  <w:noWrap w:val="0"/>
                  <w:vAlign w:val="center"/>
                </w:tcPr>
                <w:p w14:paraId="73DD4D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21</w:t>
                  </w:r>
                </w:p>
              </w:tc>
              <w:tc>
                <w:tcPr>
                  <w:tcW w:w="885" w:type="dxa"/>
                  <w:noWrap w:val="0"/>
                  <w:vAlign w:val="center"/>
                </w:tcPr>
                <w:p w14:paraId="6DAAE2AF">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54.13</w:t>
                  </w:r>
                </w:p>
              </w:tc>
              <w:tc>
                <w:tcPr>
                  <w:tcW w:w="871" w:type="dxa"/>
                  <w:noWrap w:val="0"/>
                  <w:vAlign w:val="center"/>
                </w:tcPr>
                <w:p w14:paraId="7BD8F0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5679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72A4DDA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900" w:type="dxa"/>
                  <w:vMerge w:val="continue"/>
                  <w:noWrap w:val="0"/>
                  <w:vAlign w:val="center"/>
                </w:tcPr>
                <w:p w14:paraId="7A6EAF80">
                  <w:pPr>
                    <w:jc w:val="center"/>
                    <w:rPr>
                      <w:rFonts w:hint="default" w:ascii="Times New Roman" w:hAnsi="Times New Roman" w:eastAsia="宋体" w:cs="Times New Roman"/>
                      <w:color w:val="auto"/>
                      <w:kern w:val="0"/>
                      <w:sz w:val="21"/>
                      <w:szCs w:val="21"/>
                      <w:highlight w:val="none"/>
                    </w:rPr>
                  </w:pPr>
                </w:p>
              </w:tc>
              <w:tc>
                <w:tcPr>
                  <w:tcW w:w="2259" w:type="dxa"/>
                  <w:noWrap w:val="0"/>
                  <w:vAlign w:val="center"/>
                </w:tcPr>
                <w:p w14:paraId="2FB529B4">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b w:val="0"/>
                      <w:bCs w:val="0"/>
                      <w:color w:val="auto"/>
                      <w:szCs w:val="21"/>
                      <w:highlight w:val="none"/>
                    </w:rPr>
                    <w:t>三破撕碎机</w:t>
                  </w:r>
                </w:p>
              </w:tc>
              <w:tc>
                <w:tcPr>
                  <w:tcW w:w="660" w:type="dxa"/>
                  <w:noWrap w:val="0"/>
                  <w:vAlign w:val="center"/>
                </w:tcPr>
                <w:p w14:paraId="66B0B5B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335" w:type="dxa"/>
                  <w:noWrap w:val="0"/>
                  <w:vAlign w:val="center"/>
                </w:tcPr>
                <w:p w14:paraId="0C901DB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85</w:t>
                  </w:r>
                </w:p>
              </w:tc>
              <w:tc>
                <w:tcPr>
                  <w:tcW w:w="673" w:type="dxa"/>
                  <w:vMerge w:val="continue"/>
                  <w:noWrap w:val="0"/>
                  <w:vAlign w:val="center"/>
                </w:tcPr>
                <w:p w14:paraId="1403DB6C">
                  <w:pPr>
                    <w:jc w:val="center"/>
                    <w:rPr>
                      <w:rFonts w:hint="default" w:ascii="Times New Roman" w:hAnsi="Times New Roman" w:eastAsia="宋体" w:cs="Times New Roman"/>
                      <w:color w:val="auto"/>
                      <w:kern w:val="0"/>
                      <w:sz w:val="21"/>
                      <w:szCs w:val="21"/>
                      <w:highlight w:val="none"/>
                    </w:rPr>
                  </w:pPr>
                </w:p>
              </w:tc>
              <w:tc>
                <w:tcPr>
                  <w:tcW w:w="831" w:type="dxa"/>
                  <w:noWrap w:val="0"/>
                  <w:vAlign w:val="center"/>
                </w:tcPr>
                <w:p w14:paraId="29AB8EC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76.33</w:t>
                  </w:r>
                </w:p>
              </w:tc>
              <w:tc>
                <w:tcPr>
                  <w:tcW w:w="717" w:type="dxa"/>
                  <w:noWrap w:val="0"/>
                  <w:vAlign w:val="center"/>
                </w:tcPr>
                <w:p w14:paraId="5FB7936B">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30.3</w:t>
                  </w:r>
                </w:p>
              </w:tc>
              <w:tc>
                <w:tcPr>
                  <w:tcW w:w="359" w:type="dxa"/>
                  <w:noWrap w:val="0"/>
                  <w:vAlign w:val="center"/>
                </w:tcPr>
                <w:p w14:paraId="590BD381">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735" w:type="dxa"/>
                  <w:noWrap w:val="0"/>
                  <w:vAlign w:val="center"/>
                </w:tcPr>
                <w:p w14:paraId="63CE6DC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2.16</w:t>
                  </w:r>
                </w:p>
              </w:tc>
              <w:tc>
                <w:tcPr>
                  <w:tcW w:w="900" w:type="dxa"/>
                  <w:noWrap w:val="0"/>
                  <w:vAlign w:val="center"/>
                </w:tcPr>
                <w:p w14:paraId="79BEE5F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75.79</w:t>
                  </w:r>
                </w:p>
              </w:tc>
              <w:tc>
                <w:tcPr>
                  <w:tcW w:w="705" w:type="dxa"/>
                  <w:vMerge w:val="continue"/>
                  <w:noWrap w:val="0"/>
                  <w:vAlign w:val="center"/>
                </w:tcPr>
                <w:p w14:paraId="08AFC8CF">
                  <w:pPr>
                    <w:widowControl/>
                    <w:adjustRightInd w:val="0"/>
                    <w:snapToGrid w:val="0"/>
                    <w:jc w:val="center"/>
                    <w:rPr>
                      <w:rFonts w:hint="default" w:ascii="Times New Roman" w:hAnsi="Times New Roman" w:eastAsia="宋体" w:cs="Times New Roman"/>
                      <w:color w:val="auto"/>
                      <w:kern w:val="0"/>
                      <w:sz w:val="21"/>
                      <w:szCs w:val="21"/>
                      <w:highlight w:val="none"/>
                      <w:lang w:val="en-US" w:eastAsia="zh-CN"/>
                    </w:rPr>
                  </w:pPr>
                </w:p>
              </w:tc>
              <w:tc>
                <w:tcPr>
                  <w:tcW w:w="915" w:type="dxa"/>
                  <w:noWrap w:val="0"/>
                  <w:vAlign w:val="center"/>
                </w:tcPr>
                <w:p w14:paraId="6A94BE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21</w:t>
                  </w:r>
                </w:p>
              </w:tc>
              <w:tc>
                <w:tcPr>
                  <w:tcW w:w="885" w:type="dxa"/>
                  <w:noWrap w:val="0"/>
                  <w:vAlign w:val="center"/>
                </w:tcPr>
                <w:p w14:paraId="14AC84E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54.79</w:t>
                  </w:r>
                </w:p>
              </w:tc>
              <w:tc>
                <w:tcPr>
                  <w:tcW w:w="871" w:type="dxa"/>
                  <w:noWrap w:val="0"/>
                  <w:vAlign w:val="center"/>
                </w:tcPr>
                <w:p w14:paraId="46CE21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24733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382A1F1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900" w:type="dxa"/>
                  <w:vMerge w:val="continue"/>
                  <w:noWrap w:val="0"/>
                  <w:vAlign w:val="center"/>
                </w:tcPr>
                <w:p w14:paraId="5F3458E0">
                  <w:pPr>
                    <w:jc w:val="center"/>
                    <w:rPr>
                      <w:rFonts w:hint="default" w:ascii="Times New Roman" w:hAnsi="Times New Roman" w:eastAsia="宋体" w:cs="Times New Roman"/>
                      <w:color w:val="auto"/>
                      <w:kern w:val="0"/>
                      <w:sz w:val="21"/>
                      <w:szCs w:val="21"/>
                      <w:highlight w:val="none"/>
                    </w:rPr>
                  </w:pPr>
                </w:p>
              </w:tc>
              <w:tc>
                <w:tcPr>
                  <w:tcW w:w="2259" w:type="dxa"/>
                  <w:noWrap w:val="0"/>
                  <w:vAlign w:val="center"/>
                </w:tcPr>
                <w:p w14:paraId="1D37F968">
                  <w:pPr>
                    <w:adjustRightInd w:val="0"/>
                    <w:snapToGrid w:val="0"/>
                    <w:jc w:val="center"/>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除尘器风机</w:t>
                  </w:r>
                </w:p>
              </w:tc>
              <w:tc>
                <w:tcPr>
                  <w:tcW w:w="660" w:type="dxa"/>
                  <w:noWrap w:val="0"/>
                  <w:vAlign w:val="center"/>
                </w:tcPr>
                <w:p w14:paraId="64C7C2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w:t>
                  </w:r>
                </w:p>
              </w:tc>
              <w:tc>
                <w:tcPr>
                  <w:tcW w:w="1335" w:type="dxa"/>
                  <w:noWrap w:val="0"/>
                  <w:vAlign w:val="center"/>
                </w:tcPr>
                <w:p w14:paraId="63F264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c>
                <w:tcPr>
                  <w:tcW w:w="673" w:type="dxa"/>
                  <w:vMerge w:val="continue"/>
                  <w:noWrap w:val="0"/>
                  <w:vAlign w:val="center"/>
                </w:tcPr>
                <w:p w14:paraId="3D70C1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831" w:type="dxa"/>
                  <w:noWrap w:val="0"/>
                  <w:vAlign w:val="center"/>
                </w:tcPr>
                <w:p w14:paraId="5EF70DFA">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90.19</w:t>
                  </w:r>
                </w:p>
              </w:tc>
              <w:tc>
                <w:tcPr>
                  <w:tcW w:w="717" w:type="dxa"/>
                  <w:noWrap w:val="0"/>
                  <w:vAlign w:val="center"/>
                </w:tcPr>
                <w:p w14:paraId="3CFCF4CC">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34.75</w:t>
                  </w:r>
                </w:p>
              </w:tc>
              <w:tc>
                <w:tcPr>
                  <w:tcW w:w="359" w:type="dxa"/>
                  <w:noWrap w:val="0"/>
                  <w:vAlign w:val="center"/>
                </w:tcPr>
                <w:p w14:paraId="01DB3DC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735" w:type="dxa"/>
                  <w:noWrap w:val="0"/>
                  <w:vAlign w:val="center"/>
                </w:tcPr>
                <w:p w14:paraId="403EA1B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6.57</w:t>
                  </w:r>
                </w:p>
              </w:tc>
              <w:tc>
                <w:tcPr>
                  <w:tcW w:w="900" w:type="dxa"/>
                  <w:noWrap w:val="0"/>
                  <w:vAlign w:val="center"/>
                </w:tcPr>
                <w:p w14:paraId="6FE6F256">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75.20</w:t>
                  </w:r>
                </w:p>
              </w:tc>
              <w:tc>
                <w:tcPr>
                  <w:tcW w:w="705" w:type="dxa"/>
                  <w:vMerge w:val="continue"/>
                  <w:noWrap w:val="0"/>
                  <w:vAlign w:val="center"/>
                </w:tcPr>
                <w:p w14:paraId="63818D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915" w:type="dxa"/>
                  <w:noWrap w:val="0"/>
                  <w:vAlign w:val="center"/>
                </w:tcPr>
                <w:p w14:paraId="3D5E32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21</w:t>
                  </w:r>
                </w:p>
              </w:tc>
              <w:tc>
                <w:tcPr>
                  <w:tcW w:w="885" w:type="dxa"/>
                  <w:noWrap w:val="0"/>
                  <w:vAlign w:val="center"/>
                </w:tcPr>
                <w:p w14:paraId="11766C1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54.20</w:t>
                  </w:r>
                </w:p>
              </w:tc>
              <w:tc>
                <w:tcPr>
                  <w:tcW w:w="871" w:type="dxa"/>
                  <w:noWrap w:val="0"/>
                  <w:vAlign w:val="center"/>
                </w:tcPr>
                <w:p w14:paraId="3E7563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w:t>
                  </w:r>
                </w:p>
              </w:tc>
            </w:tr>
            <w:tr w14:paraId="5589E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3187" w:type="dxa"/>
                  <w:gridSpan w:val="15"/>
                  <w:noWrap w:val="0"/>
                  <w:vAlign w:val="center"/>
                </w:tcPr>
                <w:p w14:paraId="20A150D6">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kern w:val="0"/>
                      <w:sz w:val="21"/>
                      <w:szCs w:val="21"/>
                      <w:highlight w:val="none"/>
                      <w:lang w:val="en-US" w:eastAsia="zh-CN" w:bidi="ar-SA"/>
                    </w:rPr>
                    <w:t>备注</w:t>
                  </w:r>
                  <w:r>
                    <w:rPr>
                      <w:rFonts w:hint="default" w:ascii="Times New Roman" w:hAnsi="Times New Roman" w:eastAsia="宋体" w:cs="Times New Roman"/>
                      <w:b/>
                      <w:color w:val="auto"/>
                      <w:kern w:val="0"/>
                      <w:sz w:val="21"/>
                      <w:szCs w:val="21"/>
                      <w:highlight w:val="none"/>
                      <w:lang w:val="en-US" w:eastAsia="zh-CN" w:bidi="ar-SA"/>
                    </w:rPr>
                    <w:t>：</w:t>
                  </w:r>
                  <w:r>
                    <w:rPr>
                      <w:rFonts w:hint="default" w:ascii="Times New Roman" w:hAnsi="Times New Roman" w:eastAsia="宋体" w:cs="Times New Roman"/>
                      <w:b w:val="0"/>
                      <w:bCs/>
                      <w:color w:val="auto"/>
                      <w:kern w:val="0"/>
                      <w:sz w:val="21"/>
                      <w:szCs w:val="21"/>
                      <w:highlight w:val="none"/>
                      <w:lang w:val="en-US" w:eastAsia="zh-CN" w:bidi="ar-SA"/>
                    </w:rPr>
                    <w:t>以项目所在厂房西南角边界为（0</w:t>
                  </w:r>
                  <w:r>
                    <w:rPr>
                      <w:rFonts w:hint="eastAsia" w:ascii="Times New Roman" w:hAnsi="Times New Roman" w:eastAsia="宋体" w:cs="Times New Roman"/>
                      <w:b w:val="0"/>
                      <w:bCs/>
                      <w:color w:val="auto"/>
                      <w:kern w:val="0"/>
                      <w:sz w:val="21"/>
                      <w:szCs w:val="21"/>
                      <w:highlight w:val="none"/>
                      <w:lang w:val="en-US" w:eastAsia="zh-CN" w:bidi="ar-SA"/>
                    </w:rPr>
                    <w:t>，</w:t>
                  </w:r>
                  <w:r>
                    <w:rPr>
                      <w:rFonts w:hint="default" w:ascii="Times New Roman" w:hAnsi="Times New Roman" w:eastAsia="宋体" w:cs="Times New Roman"/>
                      <w:b w:val="0"/>
                      <w:bCs/>
                      <w:color w:val="auto"/>
                      <w:kern w:val="0"/>
                      <w:sz w:val="21"/>
                      <w:szCs w:val="21"/>
                      <w:highlight w:val="none"/>
                      <w:lang w:val="en-US" w:eastAsia="zh-CN" w:bidi="ar-SA"/>
                    </w:rPr>
                    <w:t>0</w:t>
                  </w:r>
                  <w:r>
                    <w:rPr>
                      <w:rFonts w:hint="eastAsia" w:ascii="Times New Roman" w:hAnsi="Times New Roman" w:eastAsia="宋体" w:cs="Times New Roman"/>
                      <w:b w:val="0"/>
                      <w:bCs/>
                      <w:color w:val="auto"/>
                      <w:kern w:val="0"/>
                      <w:sz w:val="21"/>
                      <w:szCs w:val="21"/>
                      <w:highlight w:val="none"/>
                      <w:lang w:val="en-US" w:eastAsia="zh-CN" w:bidi="ar-SA"/>
                    </w:rPr>
                    <w:t>，</w:t>
                  </w:r>
                  <w:r>
                    <w:rPr>
                      <w:rFonts w:hint="default" w:ascii="Times New Roman" w:hAnsi="Times New Roman" w:eastAsia="宋体" w:cs="Times New Roman"/>
                      <w:b w:val="0"/>
                      <w:bCs/>
                      <w:color w:val="auto"/>
                      <w:kern w:val="0"/>
                      <w:sz w:val="21"/>
                      <w:szCs w:val="21"/>
                      <w:highlight w:val="none"/>
                      <w:lang w:val="en-US" w:eastAsia="zh-CN" w:bidi="ar-SA"/>
                    </w:rPr>
                    <w:t>0），距室内边界距离按最近距离计</w:t>
                  </w:r>
                </w:p>
              </w:tc>
            </w:tr>
          </w:tbl>
          <w:p w14:paraId="732F8B5C">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5473A2E4">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49BCD456">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0ABA4EB8">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71F02615">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60BBBCB9">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4017AF22">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47D6201A">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0B8FC2E8">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71F295CF">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p w14:paraId="43E02762">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tc>
      </w:tr>
    </w:tbl>
    <w:p w14:paraId="38AFA56F">
      <w:pPr>
        <w:adjustRightInd w:val="0"/>
        <w:snapToGrid w:val="0"/>
        <w:spacing w:line="360" w:lineRule="auto"/>
        <w:rPr>
          <w:rFonts w:hint="default" w:ascii="Times New Roman" w:hAnsi="Times New Roman" w:cs="Times New Roman"/>
          <w:b/>
          <w:color w:val="auto"/>
          <w:kern w:val="0"/>
          <w:sz w:val="28"/>
          <w:szCs w:val="28"/>
          <w:highlight w:val="none"/>
        </w:rPr>
        <w:sectPr>
          <w:pgSz w:w="16840" w:h="11907" w:orient="landscape"/>
          <w:pgMar w:top="1531" w:right="1701" w:bottom="1531" w:left="2127" w:header="851" w:footer="851" w:gutter="0"/>
          <w:pgNumType w:fmt="decimal"/>
          <w:cols w:space="720" w:num="1"/>
          <w:docGrid w:linePitch="312" w:charSpace="0"/>
        </w:sectPr>
      </w:pPr>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40"/>
      </w:tblGrid>
      <w:tr w14:paraId="3CB06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1" w:hRule="atLeast"/>
          <w:jc w:val="center"/>
        </w:trPr>
        <w:tc>
          <w:tcPr>
            <w:tcW w:w="468" w:type="dxa"/>
            <w:noWrap w:val="0"/>
            <w:tcMar>
              <w:left w:w="28" w:type="dxa"/>
              <w:right w:w="28" w:type="dxa"/>
            </w:tcMar>
            <w:vAlign w:val="center"/>
          </w:tcPr>
          <w:p w14:paraId="4DC7E6F5">
            <w:pPr>
              <w:pStyle w:val="21"/>
              <w:adjustRightInd w:val="0"/>
              <w:snapToGrid w:val="0"/>
              <w:spacing w:before="0" w:beforeAutospacing="0" w:after="0" w:afterAutospacing="0"/>
              <w:jc w:val="center"/>
              <w:rPr>
                <w:rFonts w:hint="default" w:ascii="Times New Roman" w:hAnsi="Times New Roman" w:cs="Times New Roman"/>
                <w:bCs/>
                <w:color w:val="auto"/>
                <w:kern w:val="2"/>
                <w:sz w:val="24"/>
                <w:szCs w:val="24"/>
                <w:highlight w:val="none"/>
              </w:rPr>
            </w:pPr>
          </w:p>
        </w:tc>
        <w:tc>
          <w:tcPr>
            <w:tcW w:w="8440" w:type="dxa"/>
            <w:noWrap w:val="0"/>
            <w:vAlign w:val="top"/>
          </w:tcPr>
          <w:p w14:paraId="44107679">
            <w:pPr>
              <w:spacing w:line="360" w:lineRule="auto"/>
              <w:ind w:firstLine="480" w:firstLineChars="200"/>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rPr>
              <w:t>建设单位拟采取以下措施降低噪声影响：</w:t>
            </w:r>
          </w:p>
          <w:p w14:paraId="77FD2276">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选用低噪声设备：在满足项目生产工艺的前提下，尽可能选择先进、噪声低的生产设备，从源头降低噪声。</w:t>
            </w:r>
          </w:p>
          <w:p w14:paraId="2A6F97F7">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厂区内合理布局：将设备</w:t>
            </w:r>
            <w:r>
              <w:rPr>
                <w:rFonts w:hint="default" w:ascii="Times New Roman" w:hAnsi="Times New Roman" w:eastAsia="宋体" w:cs="Times New Roman"/>
                <w:color w:val="auto"/>
                <w:sz w:val="24"/>
                <w:highlight w:val="none"/>
                <w:lang w:val="en-US" w:eastAsia="zh-CN"/>
              </w:rPr>
              <w:t>尽量设置在</w:t>
            </w:r>
            <w:r>
              <w:rPr>
                <w:rFonts w:hint="default" w:ascii="Times New Roman" w:hAnsi="Times New Roman" w:eastAsia="宋体" w:cs="Times New Roman"/>
                <w:color w:val="auto"/>
                <w:sz w:val="24"/>
                <w:highlight w:val="none"/>
              </w:rPr>
              <w:t>厂区车间内，在满足生产的前提下综合考虑</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充分利用厂内建筑物、墙壁的隔声作用，以减轻各类声源对周围环境的影响。</w:t>
            </w:r>
          </w:p>
          <w:p w14:paraId="36590819">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设备基础减振：设备在安装时，根据设备的自重及振动特性采用合适的隔振垫，以减轻由于设备自身振动引起的结构传声对周围声环境产生的影响。</w:t>
            </w:r>
          </w:p>
          <w:p w14:paraId="2E851D54">
            <w:pPr>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加强设备管理：加强设备的维护，确保设备处于良好的运转状态，杜绝因设备不正常运转时产生的高噪声现象；同时，规范生产过程中设备操作，避免操作设备不当产生的高噪声现象。</w:t>
            </w:r>
          </w:p>
          <w:p w14:paraId="48FF81F1">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3.3预测结果</w:t>
            </w:r>
          </w:p>
          <w:p w14:paraId="3E05FDCD">
            <w:pPr>
              <w:spacing w:line="360" w:lineRule="auto"/>
              <w:ind w:firstLine="480" w:firstLineChars="200"/>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color w:val="auto"/>
                <w:sz w:val="24"/>
                <w:highlight w:val="none"/>
              </w:rPr>
              <w:t>在所有噪声同时存在情况下，考虑各种降噪措施以及隔声作用，厂界噪声影响预测结果见</w:t>
            </w:r>
            <w:r>
              <w:rPr>
                <w:rFonts w:hint="default" w:ascii="Times New Roman" w:hAnsi="Times New Roman" w:eastAsia="宋体" w:cs="Times New Roman"/>
                <w:color w:val="auto"/>
                <w:sz w:val="24"/>
                <w:highlight w:val="none"/>
                <w:lang w:val="en-US" w:eastAsia="zh-CN"/>
              </w:rPr>
              <w:t>下</w:t>
            </w:r>
            <w:r>
              <w:rPr>
                <w:rFonts w:hint="default" w:ascii="Times New Roman" w:hAnsi="Times New Roman" w:eastAsia="宋体" w:cs="Times New Roman"/>
                <w:color w:val="auto"/>
                <w:sz w:val="24"/>
                <w:highlight w:val="none"/>
              </w:rPr>
              <w:t>表。</w:t>
            </w:r>
          </w:p>
          <w:p w14:paraId="5B279E61">
            <w:pPr>
              <w:spacing w:line="240" w:lineRule="auto"/>
              <w:jc w:val="center"/>
              <w:rPr>
                <w:rFonts w:hint="default" w:ascii="Times New Roman" w:hAnsi="Times New Roman" w:eastAsia="宋体" w:cs="Times New Roman"/>
                <w:b/>
                <w:color w:val="auto"/>
                <w:kern w:val="0"/>
                <w:szCs w:val="21"/>
                <w:highlight w:val="none"/>
              </w:rPr>
            </w:pPr>
            <w:r>
              <w:rPr>
                <w:rFonts w:hint="default" w:ascii="Times New Roman" w:hAnsi="Times New Roman" w:eastAsia="宋体" w:cs="Times New Roman"/>
                <w:b/>
                <w:color w:val="auto"/>
                <w:kern w:val="0"/>
                <w:szCs w:val="21"/>
                <w:highlight w:val="none"/>
              </w:rPr>
              <w:t>表</w:t>
            </w:r>
            <w:r>
              <w:rPr>
                <w:rFonts w:hint="default" w:ascii="Times New Roman" w:hAnsi="Times New Roman" w:eastAsia="宋体" w:cs="Times New Roman"/>
                <w:b/>
                <w:color w:val="auto"/>
                <w:kern w:val="0"/>
                <w:szCs w:val="21"/>
                <w:highlight w:val="none"/>
                <w:lang w:val="en-US" w:eastAsia="zh-CN"/>
              </w:rPr>
              <w:t>4-</w:t>
            </w:r>
            <w:r>
              <w:rPr>
                <w:rFonts w:hint="eastAsia" w:ascii="Times New Roman" w:hAnsi="Times New Roman" w:eastAsia="宋体" w:cs="Times New Roman"/>
                <w:b/>
                <w:color w:val="auto"/>
                <w:kern w:val="0"/>
                <w:szCs w:val="21"/>
                <w:highlight w:val="none"/>
                <w:lang w:val="en-US" w:eastAsia="zh-CN"/>
              </w:rPr>
              <w:t xml:space="preserve">8 </w:t>
            </w:r>
            <w:r>
              <w:rPr>
                <w:rFonts w:hint="default" w:ascii="Times New Roman" w:hAnsi="Times New Roman" w:eastAsia="宋体" w:cs="Times New Roman"/>
                <w:b/>
                <w:color w:val="auto"/>
                <w:kern w:val="0"/>
                <w:szCs w:val="21"/>
                <w:highlight w:val="none"/>
              </w:rPr>
              <w:t>噪声影响预测结果表</w:t>
            </w:r>
            <w:r>
              <w:rPr>
                <w:rFonts w:hint="default" w:ascii="Times New Roman" w:hAnsi="Times New Roman" w:eastAsia="宋体" w:cs="Times New Roman"/>
                <w:b/>
                <w:color w:val="auto"/>
                <w:kern w:val="0"/>
                <w:szCs w:val="21"/>
                <w:highlight w:val="none"/>
                <w:lang w:val="en-US" w:eastAsia="zh-CN"/>
              </w:rPr>
              <w:t xml:space="preserve">   </w:t>
            </w:r>
            <w:r>
              <w:rPr>
                <w:rFonts w:hint="default" w:ascii="Times New Roman" w:hAnsi="Times New Roman" w:eastAsia="宋体" w:cs="Times New Roman"/>
                <w:b/>
                <w:color w:val="auto"/>
                <w:kern w:val="0"/>
                <w:szCs w:val="21"/>
                <w:highlight w:val="none"/>
              </w:rPr>
              <w:t>单位：dB（A）</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1843"/>
              <w:gridCol w:w="2049"/>
              <w:gridCol w:w="1459"/>
              <w:gridCol w:w="1741"/>
            </w:tblGrid>
            <w:tr w14:paraId="08B73F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tcBorders>
                    <w:tl2br w:val="nil"/>
                    <w:tr2bl w:val="nil"/>
                  </w:tcBorders>
                  <w:noWrap w:val="0"/>
                  <w:vAlign w:val="center"/>
                </w:tcPr>
                <w:p w14:paraId="6B60CD2D">
                  <w:pPr>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名称</w:t>
                  </w:r>
                </w:p>
              </w:tc>
              <w:tc>
                <w:tcPr>
                  <w:tcW w:w="1122" w:type="pct"/>
                  <w:tcBorders>
                    <w:tl2br w:val="nil"/>
                    <w:tr2bl w:val="nil"/>
                  </w:tcBorders>
                  <w:noWrap w:val="0"/>
                  <w:vAlign w:val="center"/>
                </w:tcPr>
                <w:p w14:paraId="069BADD6">
                  <w:pPr>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影响对象</w:t>
                  </w:r>
                </w:p>
              </w:tc>
              <w:tc>
                <w:tcPr>
                  <w:tcW w:w="1247" w:type="pct"/>
                  <w:tcBorders>
                    <w:tl2br w:val="nil"/>
                    <w:tr2bl w:val="nil"/>
                  </w:tcBorders>
                  <w:noWrap w:val="0"/>
                  <w:vAlign w:val="center"/>
                </w:tcPr>
                <w:p w14:paraId="30A7EEE4">
                  <w:pPr>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降噪措施</w:t>
                  </w:r>
                </w:p>
              </w:tc>
              <w:tc>
                <w:tcPr>
                  <w:tcW w:w="888" w:type="pct"/>
                  <w:tcBorders>
                    <w:tl2br w:val="nil"/>
                    <w:tr2bl w:val="nil"/>
                  </w:tcBorders>
                  <w:noWrap w:val="0"/>
                  <w:vAlign w:val="center"/>
                </w:tcPr>
                <w:p w14:paraId="67676DC8">
                  <w:pPr>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贡献值</w:t>
                  </w:r>
                </w:p>
              </w:tc>
              <w:tc>
                <w:tcPr>
                  <w:tcW w:w="1060" w:type="pct"/>
                  <w:tcBorders>
                    <w:tl2br w:val="nil"/>
                    <w:tr2bl w:val="nil"/>
                  </w:tcBorders>
                  <w:noWrap w:val="0"/>
                  <w:vAlign w:val="center"/>
                </w:tcPr>
                <w:p w14:paraId="16D945C2">
                  <w:pPr>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标准值</w:t>
                  </w:r>
                </w:p>
              </w:tc>
            </w:tr>
            <w:tr w14:paraId="681066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restart"/>
                  <w:tcBorders>
                    <w:tl2br w:val="nil"/>
                    <w:tr2bl w:val="nil"/>
                  </w:tcBorders>
                  <w:noWrap w:val="0"/>
                  <w:vAlign w:val="center"/>
                </w:tcPr>
                <w:p w14:paraId="3D62E192">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厂界</w:t>
                  </w:r>
                </w:p>
              </w:tc>
              <w:tc>
                <w:tcPr>
                  <w:tcW w:w="1122" w:type="pct"/>
                  <w:tcBorders>
                    <w:tl2br w:val="nil"/>
                    <w:tr2bl w:val="nil"/>
                  </w:tcBorders>
                  <w:noWrap w:val="0"/>
                  <w:vAlign w:val="center"/>
                </w:tcPr>
                <w:p w14:paraId="3DA1197F">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东厂界</w:t>
                  </w:r>
                </w:p>
              </w:tc>
              <w:tc>
                <w:tcPr>
                  <w:tcW w:w="1247" w:type="pct"/>
                  <w:vMerge w:val="restart"/>
                  <w:tcBorders>
                    <w:tl2br w:val="nil"/>
                    <w:tr2bl w:val="nil"/>
                  </w:tcBorders>
                  <w:noWrap w:val="0"/>
                  <w:vAlign w:val="center"/>
                </w:tcPr>
                <w:p w14:paraId="458DAC3C">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选择低噪声设备，基础减振，厂房隔声</w:t>
                  </w:r>
                </w:p>
              </w:tc>
              <w:tc>
                <w:tcPr>
                  <w:tcW w:w="888" w:type="pct"/>
                  <w:tcBorders>
                    <w:tl2br w:val="nil"/>
                    <w:tr2bl w:val="nil"/>
                  </w:tcBorders>
                  <w:noWrap w:val="0"/>
                  <w:vAlign w:val="center"/>
                </w:tcPr>
                <w:p w14:paraId="1DBED781">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48.48</w:t>
                  </w:r>
                </w:p>
              </w:tc>
              <w:tc>
                <w:tcPr>
                  <w:tcW w:w="1060" w:type="pct"/>
                  <w:vMerge w:val="restart"/>
                  <w:tcBorders>
                    <w:tl2br w:val="nil"/>
                    <w:tr2bl w:val="nil"/>
                  </w:tcBorders>
                  <w:noWrap w:val="0"/>
                  <w:vAlign w:val="center"/>
                </w:tcPr>
                <w:p w14:paraId="138013C8">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昼间65</w:t>
                  </w:r>
                </w:p>
                <w:p w14:paraId="20C05EDA">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夜间55</w:t>
                  </w:r>
                </w:p>
              </w:tc>
            </w:tr>
            <w:tr w14:paraId="10981F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26BF37CB">
                  <w:pPr>
                    <w:jc w:val="center"/>
                    <w:rPr>
                      <w:rFonts w:hint="default" w:ascii="Times New Roman" w:hAnsi="Times New Roman" w:eastAsia="宋体" w:cs="Times New Roman"/>
                      <w:color w:val="auto"/>
                      <w:kern w:val="0"/>
                      <w:sz w:val="21"/>
                      <w:szCs w:val="21"/>
                      <w:highlight w:val="none"/>
                      <w:lang w:val="en-US" w:eastAsia="zh-CN"/>
                    </w:rPr>
                  </w:pPr>
                </w:p>
              </w:tc>
              <w:tc>
                <w:tcPr>
                  <w:tcW w:w="1122" w:type="pct"/>
                  <w:tcBorders>
                    <w:tl2br w:val="nil"/>
                    <w:tr2bl w:val="nil"/>
                  </w:tcBorders>
                  <w:noWrap w:val="0"/>
                  <w:vAlign w:val="center"/>
                </w:tcPr>
                <w:p w14:paraId="0F6261B3">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南</w:t>
                  </w:r>
                  <w:r>
                    <w:rPr>
                      <w:rFonts w:hint="default" w:ascii="Times New Roman" w:hAnsi="Times New Roman" w:eastAsia="宋体" w:cs="Times New Roman"/>
                      <w:color w:val="auto"/>
                      <w:kern w:val="0"/>
                      <w:sz w:val="21"/>
                      <w:szCs w:val="21"/>
                      <w:highlight w:val="none"/>
                    </w:rPr>
                    <w:t>厂界</w:t>
                  </w:r>
                </w:p>
              </w:tc>
              <w:tc>
                <w:tcPr>
                  <w:tcW w:w="1247" w:type="pct"/>
                  <w:vMerge w:val="continue"/>
                  <w:tcBorders>
                    <w:tl2br w:val="nil"/>
                    <w:tr2bl w:val="nil"/>
                  </w:tcBorders>
                  <w:noWrap w:val="0"/>
                  <w:vAlign w:val="center"/>
                </w:tcPr>
                <w:p w14:paraId="51639F71">
                  <w:pPr>
                    <w:jc w:val="center"/>
                    <w:rPr>
                      <w:rFonts w:hint="default" w:ascii="Times New Roman" w:hAnsi="Times New Roman" w:eastAsia="宋体" w:cs="Times New Roman"/>
                      <w:color w:val="auto"/>
                      <w:kern w:val="0"/>
                      <w:sz w:val="21"/>
                      <w:szCs w:val="21"/>
                      <w:highlight w:val="none"/>
                      <w:lang w:val="en-US" w:eastAsia="zh-CN"/>
                    </w:rPr>
                  </w:pPr>
                </w:p>
              </w:tc>
              <w:tc>
                <w:tcPr>
                  <w:tcW w:w="888" w:type="pct"/>
                  <w:tcBorders>
                    <w:tl2br w:val="nil"/>
                    <w:tr2bl w:val="nil"/>
                  </w:tcBorders>
                  <w:noWrap w:val="0"/>
                  <w:vAlign w:val="center"/>
                </w:tcPr>
                <w:p w14:paraId="66C21E55">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40.09</w:t>
                  </w:r>
                </w:p>
              </w:tc>
              <w:tc>
                <w:tcPr>
                  <w:tcW w:w="1060" w:type="pct"/>
                  <w:vMerge w:val="continue"/>
                  <w:tcBorders>
                    <w:tl2br w:val="nil"/>
                    <w:tr2bl w:val="nil"/>
                  </w:tcBorders>
                  <w:noWrap w:val="0"/>
                  <w:vAlign w:val="center"/>
                </w:tcPr>
                <w:p w14:paraId="4E555A77">
                  <w:pPr>
                    <w:jc w:val="center"/>
                    <w:rPr>
                      <w:rFonts w:hint="default" w:ascii="Times New Roman" w:hAnsi="Times New Roman" w:eastAsia="宋体" w:cs="Times New Roman"/>
                      <w:color w:val="auto"/>
                      <w:kern w:val="0"/>
                      <w:sz w:val="21"/>
                      <w:szCs w:val="21"/>
                      <w:highlight w:val="none"/>
                      <w:lang w:val="en-US" w:eastAsia="zh-CN"/>
                    </w:rPr>
                  </w:pPr>
                </w:p>
              </w:tc>
            </w:tr>
            <w:tr w14:paraId="4E822EE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0BE939EC">
                  <w:pPr>
                    <w:jc w:val="center"/>
                    <w:rPr>
                      <w:rFonts w:hint="default" w:ascii="Times New Roman" w:hAnsi="Times New Roman" w:eastAsia="宋体" w:cs="Times New Roman"/>
                      <w:color w:val="auto"/>
                      <w:kern w:val="0"/>
                      <w:sz w:val="21"/>
                      <w:szCs w:val="21"/>
                      <w:highlight w:val="none"/>
                    </w:rPr>
                  </w:pPr>
                </w:p>
              </w:tc>
              <w:tc>
                <w:tcPr>
                  <w:tcW w:w="1122" w:type="pct"/>
                  <w:tcBorders>
                    <w:tl2br w:val="nil"/>
                    <w:tr2bl w:val="nil"/>
                  </w:tcBorders>
                  <w:noWrap w:val="0"/>
                  <w:vAlign w:val="center"/>
                </w:tcPr>
                <w:p w14:paraId="5F27F46D">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rPr>
                    <w:t>西</w:t>
                  </w:r>
                  <w:r>
                    <w:rPr>
                      <w:rFonts w:hint="default" w:ascii="Times New Roman" w:hAnsi="Times New Roman" w:eastAsia="宋体" w:cs="Times New Roman"/>
                      <w:color w:val="auto"/>
                      <w:kern w:val="0"/>
                      <w:sz w:val="21"/>
                      <w:szCs w:val="21"/>
                      <w:highlight w:val="none"/>
                    </w:rPr>
                    <w:t>厂界</w:t>
                  </w:r>
                </w:p>
              </w:tc>
              <w:tc>
                <w:tcPr>
                  <w:tcW w:w="1247" w:type="pct"/>
                  <w:vMerge w:val="continue"/>
                  <w:tcBorders>
                    <w:tl2br w:val="nil"/>
                    <w:tr2bl w:val="nil"/>
                  </w:tcBorders>
                  <w:noWrap w:val="0"/>
                  <w:vAlign w:val="center"/>
                </w:tcPr>
                <w:p w14:paraId="0E4049BD">
                  <w:pPr>
                    <w:jc w:val="center"/>
                    <w:rPr>
                      <w:rFonts w:hint="default" w:ascii="Times New Roman" w:hAnsi="Times New Roman" w:eastAsia="宋体" w:cs="Times New Roman"/>
                      <w:color w:val="auto"/>
                      <w:kern w:val="0"/>
                      <w:sz w:val="21"/>
                      <w:szCs w:val="21"/>
                      <w:highlight w:val="none"/>
                    </w:rPr>
                  </w:pPr>
                </w:p>
              </w:tc>
              <w:tc>
                <w:tcPr>
                  <w:tcW w:w="888" w:type="pct"/>
                  <w:tcBorders>
                    <w:tl2br w:val="nil"/>
                    <w:tr2bl w:val="nil"/>
                  </w:tcBorders>
                  <w:noWrap w:val="0"/>
                  <w:vAlign w:val="center"/>
                </w:tcPr>
                <w:p w14:paraId="44D0E484">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38.09</w:t>
                  </w:r>
                </w:p>
              </w:tc>
              <w:tc>
                <w:tcPr>
                  <w:tcW w:w="1060" w:type="pct"/>
                  <w:vMerge w:val="continue"/>
                  <w:tcBorders>
                    <w:tl2br w:val="nil"/>
                    <w:tr2bl w:val="nil"/>
                  </w:tcBorders>
                  <w:noWrap w:val="0"/>
                  <w:vAlign w:val="center"/>
                </w:tcPr>
                <w:p w14:paraId="73431EB4">
                  <w:pPr>
                    <w:jc w:val="center"/>
                    <w:rPr>
                      <w:rFonts w:hint="default" w:ascii="Times New Roman" w:hAnsi="Times New Roman" w:eastAsia="宋体" w:cs="Times New Roman"/>
                      <w:color w:val="auto"/>
                      <w:kern w:val="0"/>
                      <w:sz w:val="21"/>
                      <w:szCs w:val="21"/>
                      <w:highlight w:val="none"/>
                    </w:rPr>
                  </w:pPr>
                </w:p>
              </w:tc>
            </w:tr>
            <w:tr w14:paraId="299649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7C4B94A7">
                  <w:pPr>
                    <w:jc w:val="center"/>
                    <w:rPr>
                      <w:rFonts w:hint="default" w:ascii="Times New Roman" w:hAnsi="Times New Roman" w:eastAsia="宋体" w:cs="Times New Roman"/>
                      <w:color w:val="auto"/>
                      <w:kern w:val="0"/>
                      <w:sz w:val="21"/>
                      <w:szCs w:val="21"/>
                      <w:highlight w:val="none"/>
                    </w:rPr>
                  </w:pPr>
                </w:p>
              </w:tc>
              <w:tc>
                <w:tcPr>
                  <w:tcW w:w="1122" w:type="pct"/>
                  <w:tcBorders>
                    <w:tl2br w:val="nil"/>
                    <w:tr2bl w:val="nil"/>
                  </w:tcBorders>
                  <w:noWrap w:val="0"/>
                  <w:vAlign w:val="center"/>
                </w:tcPr>
                <w:p w14:paraId="6728329C">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北厂界</w:t>
                  </w:r>
                </w:p>
              </w:tc>
              <w:tc>
                <w:tcPr>
                  <w:tcW w:w="1247" w:type="pct"/>
                  <w:vMerge w:val="continue"/>
                  <w:tcBorders>
                    <w:tl2br w:val="nil"/>
                    <w:tr2bl w:val="nil"/>
                  </w:tcBorders>
                  <w:noWrap w:val="0"/>
                  <w:vAlign w:val="center"/>
                </w:tcPr>
                <w:p w14:paraId="3547FFD1">
                  <w:pPr>
                    <w:jc w:val="center"/>
                    <w:rPr>
                      <w:rFonts w:hint="default" w:ascii="Times New Roman" w:hAnsi="Times New Roman" w:eastAsia="宋体" w:cs="Times New Roman"/>
                      <w:color w:val="auto"/>
                      <w:kern w:val="0"/>
                      <w:sz w:val="21"/>
                      <w:szCs w:val="21"/>
                      <w:highlight w:val="none"/>
                    </w:rPr>
                  </w:pPr>
                </w:p>
              </w:tc>
              <w:tc>
                <w:tcPr>
                  <w:tcW w:w="888" w:type="pct"/>
                  <w:tcBorders>
                    <w:tl2br w:val="nil"/>
                    <w:tr2bl w:val="nil"/>
                  </w:tcBorders>
                  <w:noWrap w:val="0"/>
                  <w:vAlign w:val="center"/>
                </w:tcPr>
                <w:p w14:paraId="25C6E8E0">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54.42</w:t>
                  </w:r>
                </w:p>
              </w:tc>
              <w:tc>
                <w:tcPr>
                  <w:tcW w:w="1060" w:type="pct"/>
                  <w:vMerge w:val="continue"/>
                  <w:tcBorders>
                    <w:tl2br w:val="nil"/>
                    <w:tr2bl w:val="nil"/>
                  </w:tcBorders>
                  <w:noWrap w:val="0"/>
                  <w:vAlign w:val="center"/>
                </w:tcPr>
                <w:p w14:paraId="476BFD70">
                  <w:pPr>
                    <w:jc w:val="center"/>
                    <w:rPr>
                      <w:rFonts w:hint="default" w:ascii="Times New Roman" w:hAnsi="Times New Roman" w:eastAsia="宋体" w:cs="Times New Roman"/>
                      <w:color w:val="auto"/>
                      <w:kern w:val="0"/>
                      <w:sz w:val="21"/>
                      <w:szCs w:val="21"/>
                      <w:highlight w:val="none"/>
                    </w:rPr>
                  </w:pPr>
                </w:p>
              </w:tc>
            </w:tr>
            <w:tr w14:paraId="20B014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000" w:type="pct"/>
                  <w:gridSpan w:val="5"/>
                  <w:tcBorders>
                    <w:tl2br w:val="nil"/>
                    <w:tr2bl w:val="nil"/>
                  </w:tcBorders>
                  <w:noWrap w:val="0"/>
                  <w:vAlign w:val="center"/>
                </w:tcPr>
                <w:p w14:paraId="15D22CFB">
                  <w:pPr>
                    <w:jc w:val="both"/>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备注：以陕西国坤时代科技有限公司厂界为本项目厂界进行厂界噪声贡献值预测。</w:t>
                  </w:r>
                </w:p>
              </w:tc>
            </w:tr>
          </w:tbl>
          <w:p w14:paraId="5D46A2AA">
            <w:pPr>
              <w:numPr>
                <w:ilvl w:val="0"/>
                <w:numId w:val="0"/>
              </w:numPr>
              <w:adjustRightInd w:val="0"/>
              <w:snapToGrid w:val="0"/>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0"/>
                <w:highlight w:val="none"/>
              </w:rPr>
              <w:t>项目运营后，</w:t>
            </w:r>
            <w:r>
              <w:rPr>
                <w:rFonts w:hint="default" w:ascii="Times New Roman" w:hAnsi="Times New Roman" w:eastAsia="宋体" w:cs="Times New Roman"/>
                <w:color w:val="auto"/>
                <w:kern w:val="0"/>
                <w:sz w:val="24"/>
                <w:szCs w:val="20"/>
                <w:highlight w:val="none"/>
                <w:lang w:val="en-US" w:eastAsia="zh-CN"/>
              </w:rPr>
              <w:t>在</w:t>
            </w:r>
            <w:r>
              <w:rPr>
                <w:rFonts w:hint="default" w:ascii="Times New Roman" w:hAnsi="Times New Roman" w:eastAsia="宋体" w:cs="Times New Roman"/>
                <w:color w:val="auto"/>
                <w:kern w:val="0"/>
                <w:sz w:val="24"/>
                <w:szCs w:val="20"/>
                <w:highlight w:val="none"/>
              </w:rPr>
              <w:t>选用低噪声设备的同时，</w:t>
            </w:r>
            <w:r>
              <w:rPr>
                <w:rFonts w:hint="default" w:ascii="Times New Roman" w:hAnsi="Times New Roman" w:eastAsia="宋体" w:cs="Times New Roman"/>
                <w:color w:val="auto"/>
                <w:kern w:val="0"/>
                <w:sz w:val="24"/>
                <w:szCs w:val="20"/>
                <w:highlight w:val="none"/>
                <w:lang w:val="en-US" w:eastAsia="zh-CN"/>
              </w:rPr>
              <w:t>采用</w:t>
            </w:r>
            <w:r>
              <w:rPr>
                <w:rFonts w:hint="default" w:ascii="Times New Roman" w:hAnsi="Times New Roman" w:eastAsia="宋体" w:cs="Times New Roman"/>
                <w:color w:val="auto"/>
                <w:kern w:val="0"/>
                <w:sz w:val="24"/>
                <w:szCs w:val="20"/>
                <w:highlight w:val="none"/>
              </w:rPr>
              <w:t>基础减振后，经过厂房隔声、距离衰减后厂界四周的噪声</w:t>
            </w:r>
            <w:r>
              <w:rPr>
                <w:rFonts w:hint="default" w:ascii="Times New Roman" w:hAnsi="Times New Roman" w:eastAsia="宋体" w:cs="Times New Roman"/>
                <w:color w:val="auto"/>
                <w:kern w:val="0"/>
                <w:sz w:val="24"/>
                <w:szCs w:val="20"/>
                <w:highlight w:val="none"/>
                <w:lang w:val="en-US" w:eastAsia="zh-CN"/>
              </w:rPr>
              <w:t>贡献值</w:t>
            </w:r>
            <w:r>
              <w:rPr>
                <w:rFonts w:hint="default" w:ascii="Times New Roman" w:hAnsi="Times New Roman" w:eastAsia="宋体" w:cs="Times New Roman"/>
                <w:color w:val="auto"/>
                <w:kern w:val="0"/>
                <w:sz w:val="24"/>
                <w:szCs w:val="20"/>
                <w:highlight w:val="none"/>
              </w:rPr>
              <w:t>可以</w:t>
            </w:r>
            <w:r>
              <w:rPr>
                <w:rFonts w:hint="default" w:ascii="Times New Roman" w:hAnsi="Times New Roman" w:eastAsia="宋体" w:cs="Times New Roman"/>
                <w:color w:val="auto"/>
                <w:kern w:val="0"/>
                <w:sz w:val="24"/>
                <w:szCs w:val="20"/>
                <w:highlight w:val="none"/>
                <w:lang w:val="en-US" w:eastAsia="zh-CN"/>
              </w:rPr>
              <w:t>满足</w:t>
            </w:r>
            <w:r>
              <w:rPr>
                <w:rFonts w:hint="default" w:ascii="Times New Roman" w:hAnsi="Times New Roman" w:eastAsia="宋体" w:cs="Times New Roman"/>
                <w:color w:val="auto"/>
                <w:kern w:val="0"/>
                <w:sz w:val="24"/>
                <w:szCs w:val="20"/>
                <w:highlight w:val="none"/>
              </w:rPr>
              <w:t>《工业企业厂界环境噪声排放标准》（GB12348-2008）中的</w:t>
            </w:r>
            <w:r>
              <w:rPr>
                <w:rFonts w:hint="default" w:ascii="Times New Roman" w:hAnsi="Times New Roman" w:eastAsia="宋体" w:cs="Times New Roman"/>
                <w:color w:val="auto"/>
                <w:kern w:val="0"/>
                <w:sz w:val="24"/>
                <w:szCs w:val="20"/>
                <w:highlight w:val="none"/>
                <w:lang w:val="en-US" w:eastAsia="zh-CN"/>
              </w:rPr>
              <w:t>3</w:t>
            </w:r>
            <w:r>
              <w:rPr>
                <w:rFonts w:hint="default" w:ascii="Times New Roman" w:hAnsi="Times New Roman" w:eastAsia="宋体" w:cs="Times New Roman"/>
                <w:color w:val="auto"/>
                <w:kern w:val="0"/>
                <w:sz w:val="24"/>
                <w:szCs w:val="20"/>
                <w:highlight w:val="none"/>
              </w:rPr>
              <w:t>类标准要求。</w:t>
            </w:r>
          </w:p>
          <w:p w14:paraId="0A907FFB">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3.4噪声监测计划</w:t>
            </w:r>
          </w:p>
          <w:p w14:paraId="4CC47958">
            <w:pPr>
              <w:numPr>
                <w:ilvl w:val="0"/>
                <w:numId w:val="0"/>
              </w:numPr>
              <w:adjustRightInd w:val="0"/>
              <w:snapToGrid w:val="0"/>
              <w:spacing w:line="360" w:lineRule="auto"/>
              <w:ind w:leftChars="0" w:firstLine="44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b w:val="0"/>
                <w:bCs/>
                <w:color w:val="auto"/>
                <w:spacing w:val="-10"/>
                <w:sz w:val="24"/>
                <w:szCs w:val="24"/>
                <w:highlight w:val="none"/>
                <w:lang w:val="en-US" w:eastAsia="zh-CN"/>
              </w:rPr>
              <w:t>根据《</w:t>
            </w:r>
            <w:r>
              <w:rPr>
                <w:rFonts w:hint="default" w:ascii="Times New Roman" w:hAnsi="Times New Roman" w:cs="Times New Roman"/>
                <w:color w:val="auto"/>
                <w:sz w:val="24"/>
                <w:highlight w:val="none"/>
                <w:lang w:val="en-US" w:eastAsia="zh-CN"/>
              </w:rPr>
              <w:t>排污单位自行监测技术指南 总则</w:t>
            </w:r>
            <w:r>
              <w:rPr>
                <w:rFonts w:hint="default" w:ascii="Times New Roman" w:hAnsi="Times New Roman" w:cs="Times New Roman"/>
                <w:b w:val="0"/>
                <w:bCs/>
                <w:color w:val="auto"/>
                <w:spacing w:val="-10"/>
                <w:sz w:val="24"/>
                <w:szCs w:val="24"/>
                <w:highlight w:val="none"/>
                <w:lang w:val="en-US" w:eastAsia="zh-CN"/>
              </w:rPr>
              <w:t>》</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HJ819-2017</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本项目运营期噪声监测计划见下表。</w:t>
            </w:r>
          </w:p>
          <w:p w14:paraId="6FE42CE4">
            <w:pPr>
              <w:numPr>
                <w:ilvl w:val="0"/>
                <w:numId w:val="0"/>
              </w:numPr>
              <w:adjustRightInd w:val="0"/>
              <w:snapToGrid w:val="0"/>
              <w:spacing w:line="240" w:lineRule="auto"/>
              <w:jc w:val="center"/>
              <w:rPr>
                <w:rFonts w:hint="default" w:ascii="Times New Roman" w:hAnsi="Times New Roman" w:eastAsia="宋体" w:cs="Times New Roman"/>
                <w:b/>
                <w:color w:val="auto"/>
                <w:kern w:val="0"/>
                <w:szCs w:val="21"/>
                <w:highlight w:val="none"/>
                <w:lang w:val="en-US" w:eastAsia="zh-CN"/>
              </w:rPr>
            </w:pPr>
            <w:r>
              <w:rPr>
                <w:rFonts w:hint="default" w:ascii="Times New Roman" w:hAnsi="Times New Roman" w:eastAsia="宋体" w:cs="Times New Roman"/>
                <w:b/>
                <w:color w:val="auto"/>
                <w:kern w:val="0"/>
                <w:szCs w:val="21"/>
                <w:highlight w:val="none"/>
              </w:rPr>
              <w:t>表</w:t>
            </w:r>
            <w:r>
              <w:rPr>
                <w:rFonts w:hint="default" w:ascii="Times New Roman" w:hAnsi="Times New Roman" w:eastAsia="宋体" w:cs="Times New Roman"/>
                <w:b/>
                <w:color w:val="auto"/>
                <w:kern w:val="0"/>
                <w:szCs w:val="21"/>
                <w:highlight w:val="none"/>
                <w:lang w:val="en-US" w:eastAsia="zh-CN"/>
              </w:rPr>
              <w:t>4-</w:t>
            </w:r>
            <w:r>
              <w:rPr>
                <w:rFonts w:hint="eastAsia" w:ascii="Times New Roman" w:hAnsi="Times New Roman" w:eastAsia="宋体" w:cs="Times New Roman"/>
                <w:b/>
                <w:color w:val="auto"/>
                <w:kern w:val="0"/>
                <w:szCs w:val="21"/>
                <w:highlight w:val="none"/>
                <w:lang w:val="en-US" w:eastAsia="zh-CN"/>
              </w:rPr>
              <w:t xml:space="preserve">9 </w:t>
            </w:r>
            <w:r>
              <w:rPr>
                <w:rFonts w:hint="default" w:ascii="Times New Roman" w:hAnsi="Times New Roman" w:eastAsia="宋体" w:cs="Times New Roman"/>
                <w:b/>
                <w:color w:val="auto"/>
                <w:kern w:val="0"/>
                <w:szCs w:val="21"/>
                <w:highlight w:val="none"/>
              </w:rPr>
              <w:t>噪声</w:t>
            </w:r>
            <w:r>
              <w:rPr>
                <w:rFonts w:hint="default" w:ascii="Times New Roman" w:hAnsi="Times New Roman" w:eastAsia="宋体" w:cs="Times New Roman"/>
                <w:b/>
                <w:color w:val="auto"/>
                <w:kern w:val="0"/>
                <w:szCs w:val="21"/>
                <w:highlight w:val="none"/>
                <w:lang w:val="en-US" w:eastAsia="zh-CN"/>
              </w:rPr>
              <w:t>监测计划一览表</w:t>
            </w:r>
          </w:p>
          <w:tbl>
            <w:tblPr>
              <w:tblStyle w:val="25"/>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
            <w:tblGrid>
              <w:gridCol w:w="1081"/>
              <w:gridCol w:w="1250"/>
              <w:gridCol w:w="1637"/>
              <w:gridCol w:w="1069"/>
              <w:gridCol w:w="3180"/>
            </w:tblGrid>
            <w:tr w14:paraId="2D9F645D">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86" w:hRule="atLeast"/>
              </w:trPr>
              <w:tc>
                <w:tcPr>
                  <w:tcW w:w="657" w:type="pct"/>
                  <w:noWrap w:val="0"/>
                  <w:vAlign w:val="center"/>
                </w:tcPr>
                <w:p w14:paraId="2F14963D">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污染源</w:t>
                  </w:r>
                </w:p>
                <w:p w14:paraId="650FE631">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名称</w:t>
                  </w:r>
                </w:p>
              </w:tc>
              <w:tc>
                <w:tcPr>
                  <w:tcW w:w="760" w:type="pct"/>
                  <w:noWrap w:val="0"/>
                  <w:vAlign w:val="center"/>
                </w:tcPr>
                <w:p w14:paraId="1F363A7B">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监测项目</w:t>
                  </w:r>
                </w:p>
              </w:tc>
              <w:tc>
                <w:tcPr>
                  <w:tcW w:w="996" w:type="pct"/>
                  <w:noWrap w:val="0"/>
                  <w:vAlign w:val="center"/>
                </w:tcPr>
                <w:p w14:paraId="3A44B1DB">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监测点位置</w:t>
                  </w:r>
                </w:p>
              </w:tc>
              <w:tc>
                <w:tcPr>
                  <w:tcW w:w="650" w:type="pct"/>
                  <w:noWrap w:val="0"/>
                  <w:vAlign w:val="center"/>
                </w:tcPr>
                <w:p w14:paraId="202EB9F4">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监测频率</w:t>
                  </w:r>
                </w:p>
              </w:tc>
              <w:tc>
                <w:tcPr>
                  <w:tcW w:w="1935" w:type="pct"/>
                  <w:noWrap w:val="0"/>
                  <w:vAlign w:val="center"/>
                </w:tcPr>
                <w:p w14:paraId="7016E088">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控制指标</w:t>
                  </w:r>
                </w:p>
              </w:tc>
            </w:tr>
            <w:tr w14:paraId="13562B14">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733" w:hRule="atLeast"/>
              </w:trPr>
              <w:tc>
                <w:tcPr>
                  <w:tcW w:w="657" w:type="pct"/>
                  <w:noWrap w:val="0"/>
                  <w:vAlign w:val="center"/>
                </w:tcPr>
                <w:p w14:paraId="2F0367A0">
                  <w:pPr>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设备</w:t>
                  </w:r>
                  <w:r>
                    <w:rPr>
                      <w:rFonts w:hint="default" w:ascii="Times New Roman" w:hAnsi="Times New Roman" w:eastAsia="宋体" w:cs="Times New Roman"/>
                      <w:color w:val="auto"/>
                      <w:szCs w:val="21"/>
                      <w:highlight w:val="none"/>
                      <w:lang w:val="en-US" w:eastAsia="zh-CN"/>
                    </w:rPr>
                    <w:t>运行噪声</w:t>
                  </w:r>
                </w:p>
              </w:tc>
              <w:tc>
                <w:tcPr>
                  <w:tcW w:w="760" w:type="pct"/>
                  <w:noWrap w:val="0"/>
                  <w:vAlign w:val="center"/>
                </w:tcPr>
                <w:p w14:paraId="50B85367">
                  <w:pPr>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厂界</w:t>
                  </w:r>
                  <w:r>
                    <w:rPr>
                      <w:rFonts w:hint="eastAsia" w:ascii="Times New Roman" w:hAnsi="Times New Roman" w:eastAsia="宋体" w:cs="Times New Roman"/>
                      <w:color w:val="auto"/>
                      <w:szCs w:val="21"/>
                      <w:highlight w:val="none"/>
                      <w:lang w:val="en-US" w:eastAsia="zh-CN"/>
                    </w:rPr>
                    <w:t>四周</w:t>
                  </w:r>
                </w:p>
              </w:tc>
              <w:tc>
                <w:tcPr>
                  <w:tcW w:w="996" w:type="pct"/>
                  <w:noWrap w:val="0"/>
                  <w:vAlign w:val="center"/>
                </w:tcPr>
                <w:p w14:paraId="468549A7">
                  <w:pPr>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厂界四周外1m</w:t>
                  </w:r>
                </w:p>
              </w:tc>
              <w:tc>
                <w:tcPr>
                  <w:tcW w:w="650" w:type="pct"/>
                  <w:noWrap w:val="0"/>
                  <w:vAlign w:val="center"/>
                </w:tcPr>
                <w:p w14:paraId="10797AD5">
                  <w:pPr>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1次</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rPr>
                    <w:t>季</w:t>
                  </w:r>
                </w:p>
              </w:tc>
              <w:tc>
                <w:tcPr>
                  <w:tcW w:w="1935" w:type="pct"/>
                  <w:noWrap w:val="0"/>
                  <w:vAlign w:val="center"/>
                </w:tcPr>
                <w:p w14:paraId="5D4CD5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《工业企业厂界环境噪声排放标准》（GB12348-2008）</w:t>
                  </w:r>
                  <w:r>
                    <w:rPr>
                      <w:rFonts w:hint="default"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rPr>
                    <w:t>类标准</w:t>
                  </w:r>
                </w:p>
              </w:tc>
            </w:tr>
          </w:tbl>
          <w:p w14:paraId="1071FCFC">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4、固体废物</w:t>
            </w:r>
          </w:p>
          <w:p w14:paraId="0C5D14BC">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4.1固体废物产生情况</w:t>
            </w:r>
          </w:p>
          <w:p w14:paraId="1EC23F94">
            <w:pPr>
              <w:spacing w:line="360" w:lineRule="auto"/>
              <w:ind w:firstLine="44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b w:val="0"/>
                <w:bCs/>
                <w:color w:val="auto"/>
                <w:spacing w:val="-10"/>
                <w:sz w:val="24"/>
                <w:szCs w:val="24"/>
                <w:highlight w:val="none"/>
                <w:lang w:val="en-US" w:eastAsia="zh-CN"/>
              </w:rPr>
              <w:t>本项目</w:t>
            </w:r>
            <w:r>
              <w:rPr>
                <w:rFonts w:hint="default" w:ascii="Times New Roman" w:hAnsi="Times New Roman" w:cs="Times New Roman"/>
                <w:color w:val="auto"/>
                <w:sz w:val="24"/>
                <w:highlight w:val="none"/>
              </w:rPr>
              <w:t>运营期产生的固体废物主要有</w:t>
            </w:r>
            <w:r>
              <w:rPr>
                <w:rFonts w:hint="default" w:ascii="Times New Roman" w:hAnsi="Times New Roman" w:eastAsia="宋体" w:cs="Times New Roman"/>
                <w:color w:val="auto"/>
                <w:sz w:val="24"/>
                <w:highlight w:val="none"/>
              </w:rPr>
              <w:t>生活垃圾、</w:t>
            </w:r>
            <w:r>
              <w:rPr>
                <w:rFonts w:hint="eastAsia" w:ascii="Times New Roman" w:hAnsi="Times New Roman" w:eastAsia="宋体" w:cs="Times New Roman"/>
                <w:color w:val="auto"/>
                <w:sz w:val="24"/>
                <w:highlight w:val="none"/>
                <w:lang w:val="en-US" w:eastAsia="zh-CN"/>
              </w:rPr>
              <w:t>废铁等金属</w:t>
            </w:r>
            <w:r>
              <w:rPr>
                <w:rFonts w:hint="default" w:ascii="Times New Roman" w:hAnsi="Times New Roman" w:eastAsia="宋体" w:cs="Times New Roman"/>
                <w:color w:val="auto"/>
                <w:sz w:val="24"/>
                <w:highlight w:val="none"/>
                <w:lang w:val="en-US" w:eastAsia="zh-CN"/>
              </w:rPr>
              <w:t>、除尘灰、</w:t>
            </w:r>
            <w:r>
              <w:rPr>
                <w:rFonts w:hint="eastAsia" w:ascii="Times New Roman" w:hAnsi="Times New Roman" w:eastAsia="宋体" w:cs="Times New Roman"/>
                <w:color w:val="auto"/>
                <w:sz w:val="24"/>
                <w:highlight w:val="none"/>
                <w:lang w:val="en-US" w:eastAsia="zh-CN"/>
              </w:rPr>
              <w:t>车间沉降粉尘、废旧布袋、</w:t>
            </w:r>
            <w:r>
              <w:rPr>
                <w:rFonts w:hint="default" w:ascii="Times New Roman" w:hAnsi="Times New Roman" w:eastAsia="宋体" w:cs="Times New Roman"/>
                <w:color w:val="auto"/>
                <w:sz w:val="24"/>
                <w:highlight w:val="none"/>
                <w:lang w:val="en-US" w:eastAsia="zh-CN"/>
              </w:rPr>
              <w:t>废润滑油、</w:t>
            </w:r>
            <w:r>
              <w:rPr>
                <w:rFonts w:hint="eastAsia" w:ascii="Times New Roman" w:hAnsi="Times New Roman" w:eastAsia="宋体" w:cs="Times New Roman"/>
                <w:color w:val="auto"/>
                <w:sz w:val="24"/>
                <w:highlight w:val="none"/>
                <w:lang w:val="en-US" w:eastAsia="zh-CN"/>
              </w:rPr>
              <w:t>废油桶和</w:t>
            </w:r>
            <w:r>
              <w:rPr>
                <w:rFonts w:hint="default" w:ascii="Times New Roman" w:hAnsi="Times New Roman" w:eastAsia="宋体" w:cs="Times New Roman"/>
                <w:color w:val="auto"/>
                <w:sz w:val="24"/>
                <w:highlight w:val="none"/>
                <w:lang w:val="en-US" w:eastAsia="zh-CN"/>
              </w:rPr>
              <w:t>废含油抹布及手套</w:t>
            </w:r>
            <w:r>
              <w:rPr>
                <w:rFonts w:hint="default" w:ascii="Times New Roman" w:hAnsi="Times New Roman" w:eastAsia="宋体" w:cs="Times New Roman"/>
                <w:color w:val="auto"/>
                <w:sz w:val="24"/>
                <w:highlight w:val="none"/>
              </w:rPr>
              <w:t>等</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按污染特性可分为</w:t>
            </w:r>
            <w:r>
              <w:rPr>
                <w:rFonts w:hint="default" w:ascii="Times New Roman" w:hAnsi="Times New Roman" w:cs="Times New Roman"/>
                <w:color w:val="auto"/>
                <w:sz w:val="24"/>
                <w:highlight w:val="none"/>
                <w:lang w:val="en-US" w:eastAsia="zh-CN"/>
              </w:rPr>
              <w:t>生活垃圾、一般固体废物和危险废物。</w:t>
            </w:r>
          </w:p>
          <w:p w14:paraId="5EC6B200">
            <w:pPr>
              <w:numPr>
                <w:ilvl w:val="0"/>
                <w:numId w:val="10"/>
              </w:numPr>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生活垃圾</w:t>
            </w:r>
          </w:p>
          <w:p w14:paraId="237FFCEC">
            <w:pPr>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rPr>
              <w:t>生活垃圾主要</w:t>
            </w:r>
            <w:r>
              <w:rPr>
                <w:rFonts w:hint="default" w:ascii="Times New Roman" w:hAnsi="Times New Roman" w:cs="Times New Roman"/>
                <w:color w:val="auto"/>
                <w:sz w:val="24"/>
                <w:highlight w:val="none"/>
                <w:lang w:val="en-US" w:eastAsia="zh-CN"/>
              </w:rPr>
              <w:t>为</w:t>
            </w:r>
            <w:r>
              <w:rPr>
                <w:rFonts w:hint="default" w:ascii="Times New Roman" w:hAnsi="Times New Roman" w:cs="Times New Roman"/>
                <w:color w:val="auto"/>
                <w:sz w:val="24"/>
                <w:highlight w:val="none"/>
              </w:rPr>
              <w:t>职工日常办公生活产生的，按每人0.5kg/d计，本项目职工人数为</w:t>
            </w:r>
            <w:r>
              <w:rPr>
                <w:rFonts w:hint="eastAsia" w:ascii="Times New Roman" w:hAnsi="Times New Roman" w:cs="Times New Roman"/>
                <w:color w:val="auto"/>
                <w:sz w:val="24"/>
                <w:highlight w:val="none"/>
                <w:lang w:val="en-US" w:eastAsia="zh-CN"/>
              </w:rPr>
              <w:t>20</w:t>
            </w:r>
            <w:r>
              <w:rPr>
                <w:rFonts w:hint="default" w:ascii="Times New Roman" w:hAnsi="Times New Roman" w:cs="Times New Roman"/>
                <w:color w:val="auto"/>
                <w:sz w:val="24"/>
                <w:highlight w:val="none"/>
              </w:rPr>
              <w:t>人，则垃圾日产量为</w:t>
            </w:r>
            <w:r>
              <w:rPr>
                <w:rFonts w:hint="eastAsia"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rPr>
              <w:t>kg/d，年工作天数为</w:t>
            </w:r>
            <w:r>
              <w:rPr>
                <w:rFonts w:hint="eastAsia" w:ascii="Times New Roman" w:hAnsi="Times New Roman" w:cs="Times New Roman"/>
                <w:color w:val="auto"/>
                <w:sz w:val="24"/>
                <w:highlight w:val="none"/>
                <w:lang w:val="en-US" w:eastAsia="zh-CN"/>
              </w:rPr>
              <w:t>33</w:t>
            </w:r>
            <w:r>
              <w:rPr>
                <w:rFonts w:hint="default" w:ascii="Times New Roman" w:hAnsi="Times New Roman" w:cs="Times New Roman"/>
                <w:color w:val="auto"/>
                <w:sz w:val="24"/>
                <w:highlight w:val="none"/>
                <w:lang w:val="en-US" w:eastAsia="zh-CN"/>
              </w:rPr>
              <w:t>0</w:t>
            </w:r>
            <w:r>
              <w:rPr>
                <w:rFonts w:hint="default" w:ascii="Times New Roman" w:hAnsi="Times New Roman" w:cs="Times New Roman"/>
                <w:color w:val="auto"/>
                <w:sz w:val="24"/>
                <w:highlight w:val="none"/>
              </w:rPr>
              <w:t>天，生活垃圾年产量约为</w:t>
            </w:r>
            <w:r>
              <w:rPr>
                <w:rFonts w:hint="eastAsia" w:ascii="Times New Roman" w:hAnsi="Times New Roman" w:cs="Times New Roman"/>
                <w:color w:val="auto"/>
                <w:sz w:val="24"/>
                <w:highlight w:val="none"/>
                <w:lang w:val="en-US" w:eastAsia="zh-CN"/>
              </w:rPr>
              <w:t>3.3</w:t>
            </w:r>
            <w:r>
              <w:rPr>
                <w:rFonts w:hint="default" w:ascii="Times New Roman" w:hAnsi="Times New Roman" w:cs="Times New Roman"/>
                <w:color w:val="auto"/>
                <w:sz w:val="24"/>
                <w:highlight w:val="none"/>
              </w:rPr>
              <w:t>t/a。</w:t>
            </w:r>
            <w:r>
              <w:rPr>
                <w:rFonts w:hint="default" w:ascii="Times New Roman" w:hAnsi="Times New Roman" w:cs="Times New Roman"/>
                <w:color w:val="auto"/>
                <w:sz w:val="24"/>
                <w:szCs w:val="24"/>
                <w:highlight w:val="none"/>
                <w:lang w:bidi="ar"/>
              </w:rPr>
              <w:t>厂区设</w:t>
            </w:r>
            <w:r>
              <w:rPr>
                <w:rFonts w:hint="default" w:ascii="Times New Roman" w:hAnsi="Times New Roman" w:cs="Times New Roman"/>
                <w:color w:val="auto"/>
                <w:sz w:val="24"/>
                <w:szCs w:val="24"/>
                <w:highlight w:val="none"/>
                <w:lang w:val="en-US" w:eastAsia="zh-CN" w:bidi="ar"/>
              </w:rPr>
              <w:t>分类</w:t>
            </w:r>
            <w:r>
              <w:rPr>
                <w:rFonts w:hint="default" w:ascii="Times New Roman" w:hAnsi="Times New Roman" w:cs="Times New Roman"/>
                <w:color w:val="auto"/>
                <w:sz w:val="24"/>
                <w:szCs w:val="24"/>
                <w:highlight w:val="none"/>
                <w:lang w:bidi="ar"/>
              </w:rPr>
              <w:t>垃圾收集桶，项目生活垃圾经收集后由环卫部门定期集中清运。</w:t>
            </w:r>
          </w:p>
          <w:p w14:paraId="4C15A51C">
            <w:pPr>
              <w:numPr>
                <w:ilvl w:val="0"/>
                <w:numId w:val="10"/>
              </w:numPr>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一般固体废物</w:t>
            </w:r>
          </w:p>
          <w:p w14:paraId="01737AF1">
            <w:pPr>
              <w:spacing w:line="360" w:lineRule="auto"/>
              <w:ind w:firstLine="480" w:firstLineChars="200"/>
              <w:rPr>
                <w:rFonts w:hint="eastAsia" w:ascii="Times New Roman" w:hAnsi="Times New Roman" w:eastAsia="宋体" w:cs="Times New Roman"/>
                <w:bCs/>
                <w:color w:val="auto"/>
                <w:kern w:val="0"/>
                <w:sz w:val="24"/>
                <w:highlight w:val="none"/>
                <w:lang w:val="en-US" w:eastAsia="zh-CN"/>
              </w:rPr>
            </w:pPr>
            <w:r>
              <w:rPr>
                <w:rFonts w:hint="eastAsia" w:ascii="Times New Roman" w:hAnsi="Times New Roman" w:cs="Times New Roman"/>
                <w:color w:val="auto"/>
                <w:sz w:val="24"/>
                <w:highlight w:val="none"/>
                <w:lang w:val="en-US" w:eastAsia="zh-CN"/>
              </w:rPr>
              <w:t>废铁金属</w:t>
            </w:r>
            <w:r>
              <w:rPr>
                <w:rFonts w:hint="default" w:ascii="Times New Roman" w:hAnsi="Times New Roman" w:cs="Times New Roman"/>
                <w:color w:val="auto"/>
                <w:sz w:val="24"/>
                <w:highlight w:val="none"/>
                <w:lang w:eastAsia="zh-CN"/>
              </w:rPr>
              <w:t>：</w:t>
            </w:r>
            <w:r>
              <w:rPr>
                <w:rFonts w:hint="default" w:ascii="Times New Roman" w:hAnsi="Times New Roman" w:cs="Times New Roman"/>
                <w:bCs/>
                <w:color w:val="auto"/>
                <w:kern w:val="0"/>
                <w:sz w:val="24"/>
                <w:highlight w:val="none"/>
                <w:lang w:val="en-US" w:eastAsia="zh-CN"/>
              </w:rPr>
              <w:t>本项目运营期会产生</w:t>
            </w:r>
            <w:r>
              <w:rPr>
                <w:rFonts w:hint="eastAsia" w:ascii="Times New Roman" w:hAnsi="Times New Roman" w:cs="Times New Roman"/>
                <w:bCs/>
                <w:color w:val="auto"/>
                <w:kern w:val="0"/>
                <w:sz w:val="24"/>
                <w:highlight w:val="none"/>
                <w:lang w:val="en-US" w:eastAsia="zh-CN"/>
              </w:rPr>
              <w:t>废铁等金属</w:t>
            </w:r>
            <w:r>
              <w:rPr>
                <w:rFonts w:hint="default" w:ascii="Times New Roman" w:hAnsi="Times New Roman" w:cs="Times New Roman"/>
                <w:bCs/>
                <w:color w:val="auto"/>
                <w:kern w:val="0"/>
                <w:sz w:val="24"/>
                <w:highlight w:val="none"/>
                <w:lang w:val="en-US" w:eastAsia="zh-CN"/>
              </w:rPr>
              <w:t>。根据建设单位提供资料，产生量为</w:t>
            </w:r>
            <w:r>
              <w:rPr>
                <w:rFonts w:hint="eastAsia" w:cs="Times New Roman"/>
                <w:bCs/>
                <w:color w:val="auto"/>
                <w:kern w:val="0"/>
                <w:sz w:val="24"/>
                <w:highlight w:val="none"/>
                <w:lang w:val="en-US" w:eastAsia="zh-CN"/>
              </w:rPr>
              <w:t>25.785t/a</w:t>
            </w:r>
            <w:r>
              <w:rPr>
                <w:rFonts w:hint="default" w:ascii="Times New Roman" w:hAnsi="Times New Roman" w:cs="Times New Roman"/>
                <w:bCs/>
                <w:color w:val="auto"/>
                <w:kern w:val="0"/>
                <w:sz w:val="24"/>
                <w:highlight w:val="none"/>
                <w:lang w:val="en-US" w:eastAsia="zh-CN"/>
              </w:rPr>
              <w:t>。</w:t>
            </w:r>
            <w:r>
              <w:rPr>
                <w:rFonts w:hint="default" w:ascii="Times New Roman" w:hAnsi="Times New Roman" w:eastAsia="宋体" w:cs="Times New Roman"/>
                <w:bCs/>
                <w:color w:val="auto"/>
                <w:kern w:val="0"/>
                <w:sz w:val="24"/>
                <w:szCs w:val="20"/>
                <w:highlight w:val="none"/>
              </w:rPr>
              <w:t>根据</w:t>
            </w:r>
            <w:r>
              <w:rPr>
                <w:rFonts w:hint="default" w:ascii="Times New Roman" w:hAnsi="Times New Roman" w:cs="Times New Roman"/>
                <w:bCs/>
                <w:color w:val="auto"/>
                <w:kern w:val="0"/>
                <w:sz w:val="24"/>
                <w:szCs w:val="20"/>
                <w:highlight w:val="none"/>
                <w:lang w:eastAsia="zh-CN"/>
              </w:rPr>
              <w:t>《</w:t>
            </w:r>
            <w:r>
              <w:rPr>
                <w:rFonts w:hint="default" w:ascii="Times New Roman" w:hAnsi="Times New Roman" w:cs="Times New Roman"/>
                <w:bCs/>
                <w:color w:val="auto"/>
                <w:kern w:val="0"/>
                <w:sz w:val="24"/>
                <w:highlight w:val="none"/>
                <w:lang w:eastAsia="zh-CN"/>
              </w:rPr>
              <w:t>固体废物分类与代码目录</w:t>
            </w:r>
            <w:r>
              <w:rPr>
                <w:rFonts w:hint="default" w:ascii="Times New Roman" w:hAnsi="Times New Roman" w:cs="Times New Roman"/>
                <w:bCs/>
                <w:color w:val="auto"/>
                <w:kern w:val="0"/>
                <w:sz w:val="24"/>
                <w:highlight w:val="none"/>
              </w:rPr>
              <w:t>》（</w:t>
            </w:r>
            <w:r>
              <w:rPr>
                <w:rFonts w:hint="default" w:ascii="Times New Roman" w:hAnsi="Times New Roman" w:eastAsia="宋体" w:cs="Times New Roman"/>
                <w:bCs/>
                <w:color w:val="auto"/>
                <w:kern w:val="0"/>
                <w:sz w:val="24"/>
                <w:highlight w:val="none"/>
                <w:lang w:val="en-US" w:eastAsia="zh-CN"/>
              </w:rPr>
              <w:t>生态环境部公告2024年第4号</w:t>
            </w:r>
            <w:r>
              <w:rPr>
                <w:rFonts w:hint="default" w:ascii="Times New Roman" w:hAnsi="Times New Roman" w:cs="Times New Roman"/>
                <w:bCs/>
                <w:color w:val="auto"/>
                <w:kern w:val="0"/>
                <w:sz w:val="24"/>
                <w:highlight w:val="none"/>
              </w:rPr>
              <w:t>），</w:t>
            </w:r>
            <w:r>
              <w:rPr>
                <w:rFonts w:hint="default" w:ascii="Times New Roman" w:hAnsi="Times New Roman" w:eastAsia="宋体" w:cs="Times New Roman"/>
                <w:bCs/>
                <w:color w:val="auto"/>
                <w:kern w:val="0"/>
                <w:sz w:val="24"/>
                <w:highlight w:val="none"/>
              </w:rPr>
              <w:t>属于</w:t>
            </w:r>
            <w:r>
              <w:rPr>
                <w:rFonts w:hint="default" w:ascii="Times New Roman" w:hAnsi="Times New Roman" w:eastAsia="宋体" w:cs="Times New Roman"/>
                <w:bCs/>
                <w:color w:val="auto"/>
                <w:kern w:val="0"/>
                <w:sz w:val="24"/>
                <w:highlight w:val="none"/>
                <w:lang w:val="en-US" w:eastAsia="zh-CN"/>
              </w:rPr>
              <w:t>SW17可再生类废物中的废钢铁</w:t>
            </w:r>
            <w:r>
              <w:rPr>
                <w:rFonts w:hint="default" w:ascii="Times New Roman" w:hAnsi="Times New Roman" w:eastAsia="宋体" w:cs="Times New Roman"/>
                <w:bCs/>
                <w:color w:val="auto"/>
                <w:kern w:val="0"/>
                <w:sz w:val="24"/>
                <w:highlight w:val="none"/>
              </w:rPr>
              <w:t>，代码为</w:t>
            </w:r>
            <w:r>
              <w:rPr>
                <w:rFonts w:hint="default" w:ascii="Times New Roman" w:hAnsi="Times New Roman" w:eastAsia="宋体" w:cs="Times New Roman"/>
                <w:bCs/>
                <w:color w:val="auto"/>
                <w:kern w:val="0"/>
                <w:sz w:val="24"/>
                <w:highlight w:val="none"/>
                <w:lang w:val="en-US" w:eastAsia="zh-CN"/>
              </w:rPr>
              <w:t>900-001-S17。收集后暂存在</w:t>
            </w:r>
            <w:r>
              <w:rPr>
                <w:rFonts w:hint="eastAsia" w:ascii="Times New Roman" w:hAnsi="Times New Roman" w:eastAsia="宋体" w:cs="Times New Roman"/>
                <w:bCs/>
                <w:color w:val="auto"/>
                <w:kern w:val="0"/>
                <w:sz w:val="24"/>
                <w:highlight w:val="none"/>
                <w:lang w:val="en-US" w:eastAsia="zh-CN"/>
              </w:rPr>
              <w:t>一般固废暂存间</w:t>
            </w:r>
            <w:r>
              <w:rPr>
                <w:rFonts w:hint="default" w:ascii="Times New Roman" w:hAnsi="Times New Roman" w:eastAsia="宋体" w:cs="Times New Roman"/>
                <w:bCs/>
                <w:color w:val="auto"/>
                <w:kern w:val="0"/>
                <w:sz w:val="24"/>
                <w:highlight w:val="none"/>
                <w:lang w:val="en-US" w:eastAsia="zh-CN"/>
              </w:rPr>
              <w:t>，统一外售处理</w:t>
            </w:r>
            <w:r>
              <w:rPr>
                <w:rFonts w:hint="eastAsia" w:ascii="Times New Roman" w:hAnsi="Times New Roman" w:eastAsia="宋体" w:cs="Times New Roman"/>
                <w:bCs/>
                <w:color w:val="auto"/>
                <w:kern w:val="0"/>
                <w:sz w:val="24"/>
                <w:highlight w:val="none"/>
                <w:lang w:val="en-US" w:eastAsia="zh-CN"/>
              </w:rPr>
              <w:t>。</w:t>
            </w:r>
          </w:p>
          <w:p w14:paraId="7A99E869">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Cs/>
                <w:color w:val="auto"/>
                <w:kern w:val="0"/>
                <w:sz w:val="24"/>
                <w:szCs w:val="24"/>
                <w:highlight w:val="none"/>
                <w:lang w:val="en-US" w:eastAsia="zh-CN" w:bidi="ar-SA"/>
              </w:rPr>
              <w:t>除尘灰：本</w:t>
            </w:r>
            <w:r>
              <w:rPr>
                <w:rFonts w:hint="default" w:ascii="Times New Roman" w:hAnsi="Times New Roman" w:eastAsia="宋体" w:cs="Times New Roman"/>
                <w:color w:val="auto"/>
                <w:sz w:val="24"/>
                <w:highlight w:val="none"/>
                <w:lang w:val="en-US" w:eastAsia="zh-CN"/>
              </w:rPr>
              <w:t>项目运营期</w:t>
            </w:r>
            <w:r>
              <w:rPr>
                <w:rFonts w:hint="eastAsia" w:cs="Times New Roman"/>
                <w:color w:val="auto"/>
                <w:sz w:val="24"/>
                <w:highlight w:val="none"/>
                <w:lang w:val="en-US" w:eastAsia="zh-CN"/>
              </w:rPr>
              <w:t>产生的粉尘通过集气罩和管道收集，</w:t>
            </w:r>
            <w:r>
              <w:rPr>
                <w:rFonts w:hint="default" w:ascii="Times New Roman" w:hAnsi="Times New Roman" w:eastAsia="宋体" w:cs="Times New Roman"/>
                <w:color w:val="auto"/>
                <w:sz w:val="24"/>
                <w:highlight w:val="none"/>
                <w:lang w:val="en-US" w:eastAsia="zh-CN"/>
              </w:rPr>
              <w:t>除尘灰</w:t>
            </w:r>
            <w:r>
              <w:rPr>
                <w:rFonts w:hint="default" w:ascii="Times New Roman" w:hAnsi="Times New Roman" w:cs="Times New Roman"/>
                <w:color w:val="auto"/>
                <w:sz w:val="24"/>
                <w:highlight w:val="none"/>
                <w:lang w:val="en-US" w:eastAsia="zh-CN"/>
              </w:rPr>
              <w:t>产生量约为</w:t>
            </w:r>
            <w:r>
              <w:rPr>
                <w:rFonts w:hint="eastAsia" w:cs="Times New Roman"/>
                <w:color w:val="auto"/>
                <w:sz w:val="24"/>
                <w:highlight w:val="none"/>
                <w:lang w:val="en-US" w:eastAsia="zh-CN"/>
              </w:rPr>
              <w:t>44.084</w:t>
            </w:r>
            <w:r>
              <w:rPr>
                <w:rFonts w:hint="eastAsia" w:ascii="Times New Roman" w:hAnsi="Times New Roman" w:cs="Times New Roman"/>
                <w:color w:val="auto"/>
                <w:sz w:val="24"/>
                <w:highlight w:val="none"/>
                <w:lang w:val="en-US" w:eastAsia="zh-CN"/>
              </w:rPr>
              <w:t>t/a，</w:t>
            </w:r>
            <w:r>
              <w:rPr>
                <w:rFonts w:hint="eastAsia" w:cs="Times New Roman"/>
                <w:color w:val="auto"/>
                <w:sz w:val="24"/>
                <w:highlight w:val="none"/>
                <w:lang w:val="en-US" w:eastAsia="zh-CN"/>
              </w:rPr>
              <w:t>集中收集外售水泥厂作原料</w:t>
            </w:r>
            <w:r>
              <w:rPr>
                <w:rFonts w:hint="default" w:ascii="Times New Roman" w:hAnsi="Times New Roman" w:cs="Times New Roman"/>
                <w:color w:val="auto"/>
                <w:sz w:val="24"/>
                <w:highlight w:val="none"/>
                <w:lang w:eastAsia="zh-CN"/>
              </w:rPr>
              <w:t>。</w:t>
            </w:r>
          </w:p>
          <w:p w14:paraId="66954359">
            <w:pPr>
              <w:spacing w:line="360" w:lineRule="auto"/>
              <w:ind w:firstLine="480" w:firstLineChars="200"/>
              <w:rPr>
                <w:rFonts w:hint="default" w:ascii="Times New Roman" w:hAnsi="Times New Roman" w:cs="Times New Roman"/>
                <w:color w:val="auto"/>
                <w:sz w:val="24"/>
                <w:highlight w:val="none"/>
                <w:lang w:eastAsia="zh-CN"/>
              </w:rPr>
            </w:pPr>
            <w:r>
              <w:rPr>
                <w:rFonts w:hint="eastAsia" w:ascii="Times New Roman" w:hAnsi="Times New Roman" w:eastAsia="宋体" w:cs="Times New Roman"/>
                <w:color w:val="auto"/>
                <w:sz w:val="24"/>
                <w:highlight w:val="none"/>
                <w:lang w:val="en-US" w:eastAsia="zh-CN"/>
              </w:rPr>
              <w:t>车间沉降粉尘</w:t>
            </w:r>
            <w:r>
              <w:rPr>
                <w:rFonts w:hint="default" w:ascii="Times New Roman" w:hAnsi="Times New Roman" w:eastAsia="宋体" w:cs="Times New Roman"/>
                <w:color w:val="auto"/>
                <w:sz w:val="24"/>
                <w:highlight w:val="none"/>
                <w:lang w:val="en-US" w:eastAsia="zh-CN"/>
              </w:rPr>
              <w:t>：本项目运营期</w:t>
            </w:r>
            <w:r>
              <w:rPr>
                <w:rFonts w:hint="eastAsia" w:ascii="Times New Roman" w:hAnsi="Times New Roman" w:eastAsia="宋体" w:cs="Times New Roman"/>
                <w:color w:val="auto"/>
                <w:sz w:val="24"/>
                <w:highlight w:val="none"/>
                <w:lang w:val="en-US" w:eastAsia="zh-CN"/>
              </w:rPr>
              <w:t>原料多数为大块结构，产品为致密型燃料，</w:t>
            </w:r>
            <w:r>
              <w:rPr>
                <w:rFonts w:hint="default" w:ascii="Times New Roman" w:hAnsi="Times New Roman" w:eastAsia="宋体" w:cs="Times New Roman"/>
                <w:color w:val="auto"/>
                <w:sz w:val="24"/>
                <w:highlight w:val="none"/>
                <w:lang w:val="en-US" w:eastAsia="zh-CN"/>
              </w:rPr>
              <w:t>运营期</w:t>
            </w:r>
            <w:r>
              <w:rPr>
                <w:rFonts w:hint="eastAsia" w:ascii="Times New Roman" w:hAnsi="Times New Roman" w:eastAsia="宋体" w:cs="Times New Roman"/>
                <w:color w:val="auto"/>
                <w:sz w:val="24"/>
                <w:highlight w:val="none"/>
                <w:lang w:val="en-US" w:eastAsia="zh-CN"/>
              </w:rPr>
              <w:t>部分粉尘在车间内自然沉降，产生量约为</w:t>
            </w:r>
            <w:r>
              <w:rPr>
                <w:rFonts w:hint="eastAsia" w:cs="Times New Roman"/>
                <w:color w:val="auto"/>
                <w:sz w:val="24"/>
                <w:highlight w:val="none"/>
                <w:lang w:val="en-US" w:eastAsia="zh-CN"/>
              </w:rPr>
              <w:t>17.812</w:t>
            </w:r>
            <w:r>
              <w:rPr>
                <w:rFonts w:hint="eastAsia" w:ascii="Times New Roman" w:hAnsi="Times New Roman" w:cs="Times New Roman"/>
                <w:color w:val="auto"/>
                <w:sz w:val="24"/>
                <w:highlight w:val="none"/>
                <w:lang w:val="en-US" w:eastAsia="zh-CN"/>
              </w:rPr>
              <w:t>t/a，</w:t>
            </w:r>
            <w:r>
              <w:rPr>
                <w:rFonts w:hint="eastAsia" w:cs="Times New Roman"/>
                <w:color w:val="auto"/>
                <w:sz w:val="24"/>
                <w:highlight w:val="none"/>
                <w:lang w:val="en-US" w:eastAsia="zh-CN"/>
              </w:rPr>
              <w:t>集中收集外售水泥厂作原料</w:t>
            </w:r>
            <w:r>
              <w:rPr>
                <w:rFonts w:hint="default" w:ascii="Times New Roman" w:hAnsi="Times New Roman" w:cs="Times New Roman"/>
                <w:color w:val="auto"/>
                <w:sz w:val="24"/>
                <w:highlight w:val="none"/>
                <w:lang w:eastAsia="zh-CN"/>
              </w:rPr>
              <w:t>。</w:t>
            </w:r>
          </w:p>
          <w:p w14:paraId="2276CC14">
            <w:pPr>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废旧布袋：</w:t>
            </w:r>
            <w:r>
              <w:rPr>
                <w:rFonts w:hint="default" w:ascii="Times New Roman" w:hAnsi="Times New Roman" w:eastAsia="宋体" w:cs="Times New Roman"/>
                <w:bCs/>
                <w:color w:val="auto"/>
                <w:kern w:val="0"/>
                <w:sz w:val="24"/>
                <w:highlight w:val="none"/>
                <w:lang w:val="en-US" w:eastAsia="zh-CN"/>
              </w:rPr>
              <w:t>根据建设单位提供资料，</w:t>
            </w:r>
            <w:r>
              <w:rPr>
                <w:rFonts w:hint="eastAsia" w:ascii="Times New Roman" w:hAnsi="Times New Roman" w:eastAsia="宋体" w:cs="Times New Roman"/>
                <w:bCs/>
                <w:color w:val="auto"/>
                <w:kern w:val="0"/>
                <w:sz w:val="24"/>
                <w:highlight w:val="none"/>
                <w:lang w:val="en-US" w:eastAsia="zh-CN"/>
              </w:rPr>
              <w:t>布袋除尘器</w:t>
            </w:r>
            <w:r>
              <w:rPr>
                <w:rFonts w:hint="eastAsia" w:cs="Times New Roman"/>
                <w:bCs/>
                <w:color w:val="auto"/>
                <w:kern w:val="0"/>
                <w:sz w:val="24"/>
                <w:highlight w:val="none"/>
                <w:lang w:val="en-US" w:eastAsia="zh-CN"/>
              </w:rPr>
              <w:t>废旧</w:t>
            </w:r>
            <w:r>
              <w:rPr>
                <w:rFonts w:hint="eastAsia" w:ascii="Times New Roman" w:hAnsi="Times New Roman" w:eastAsia="宋体" w:cs="Times New Roman"/>
                <w:bCs/>
                <w:color w:val="auto"/>
                <w:kern w:val="0"/>
                <w:sz w:val="24"/>
                <w:highlight w:val="none"/>
                <w:lang w:val="en-US" w:eastAsia="zh-CN"/>
              </w:rPr>
              <w:t>布袋三年更换一次，废旧布袋产生量约为</w:t>
            </w:r>
            <w:r>
              <w:rPr>
                <w:rFonts w:hint="eastAsia" w:cs="Times New Roman"/>
                <w:bCs/>
                <w:color w:val="auto"/>
                <w:kern w:val="0"/>
                <w:sz w:val="24"/>
                <w:highlight w:val="none"/>
                <w:lang w:val="en-US" w:eastAsia="zh-CN"/>
              </w:rPr>
              <w:t>0.065t/a</w:t>
            </w:r>
            <w:r>
              <w:rPr>
                <w:rFonts w:hint="eastAsia" w:ascii="Times New Roman" w:hAnsi="Times New Roman" w:cs="Times New Roman"/>
                <w:color w:val="auto"/>
                <w:sz w:val="24"/>
                <w:highlight w:val="none"/>
                <w:lang w:val="en-US" w:eastAsia="zh-CN"/>
              </w:rPr>
              <w:t>。</w:t>
            </w:r>
          </w:p>
          <w:p w14:paraId="6DE6D1C3">
            <w:pPr>
              <w:numPr>
                <w:ilvl w:val="0"/>
                <w:numId w:val="10"/>
              </w:num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危险废物</w:t>
            </w:r>
          </w:p>
          <w:p w14:paraId="773FF778">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2"/>
                <w:highlight w:val="none"/>
              </w:rPr>
            </w:pPr>
            <w:r>
              <w:rPr>
                <w:rFonts w:hint="default" w:ascii="Times New Roman" w:hAnsi="Times New Roman" w:eastAsia="宋体" w:cs="Times New Roman"/>
                <w:color w:val="auto"/>
                <w:kern w:val="0"/>
                <w:sz w:val="24"/>
                <w:szCs w:val="22"/>
                <w:highlight w:val="none"/>
              </w:rPr>
              <w:t>废</w:t>
            </w:r>
            <w:r>
              <w:rPr>
                <w:rFonts w:hint="default" w:ascii="Times New Roman" w:hAnsi="Times New Roman" w:eastAsia="宋体" w:cs="Times New Roman"/>
                <w:color w:val="auto"/>
                <w:kern w:val="0"/>
                <w:sz w:val="24"/>
                <w:szCs w:val="22"/>
                <w:highlight w:val="none"/>
                <w:lang w:eastAsia="zh-CN"/>
              </w:rPr>
              <w:t>润滑油</w:t>
            </w:r>
            <w:r>
              <w:rPr>
                <w:rFonts w:hint="default" w:ascii="Times New Roman" w:hAnsi="Times New Roman" w:eastAsia="宋体" w:cs="Times New Roman"/>
                <w:color w:val="auto"/>
                <w:kern w:val="0"/>
                <w:sz w:val="24"/>
                <w:szCs w:val="22"/>
                <w:highlight w:val="none"/>
              </w:rPr>
              <w:t>：根据建设单位提供资料，项目运营过程中</w:t>
            </w:r>
            <w:r>
              <w:rPr>
                <w:rFonts w:hint="eastAsia" w:ascii="Times New Roman" w:hAnsi="Times New Roman" w:eastAsia="宋体" w:cs="Times New Roman"/>
                <w:color w:val="auto"/>
                <w:kern w:val="0"/>
                <w:sz w:val="24"/>
                <w:szCs w:val="22"/>
                <w:highlight w:val="none"/>
                <w:lang w:val="en-US" w:eastAsia="zh-CN"/>
              </w:rPr>
              <w:t>设备维护保养</w:t>
            </w:r>
            <w:r>
              <w:rPr>
                <w:rFonts w:hint="default" w:ascii="Times New Roman" w:hAnsi="Times New Roman" w:eastAsia="宋体" w:cs="Times New Roman"/>
                <w:color w:val="auto"/>
                <w:kern w:val="0"/>
                <w:sz w:val="24"/>
                <w:szCs w:val="22"/>
                <w:highlight w:val="none"/>
              </w:rPr>
              <w:t>会产生废</w:t>
            </w:r>
            <w:r>
              <w:rPr>
                <w:rFonts w:hint="default" w:ascii="Times New Roman" w:hAnsi="Times New Roman" w:eastAsia="宋体" w:cs="Times New Roman"/>
                <w:color w:val="auto"/>
                <w:kern w:val="0"/>
                <w:sz w:val="24"/>
                <w:szCs w:val="22"/>
                <w:highlight w:val="none"/>
                <w:lang w:eastAsia="zh-CN"/>
              </w:rPr>
              <w:t>润滑油</w:t>
            </w:r>
            <w:r>
              <w:rPr>
                <w:rFonts w:hint="default" w:ascii="Times New Roman" w:hAnsi="Times New Roman" w:eastAsia="宋体" w:cs="Times New Roman"/>
                <w:color w:val="auto"/>
                <w:kern w:val="0"/>
                <w:sz w:val="24"/>
                <w:szCs w:val="22"/>
                <w:highlight w:val="none"/>
              </w:rPr>
              <w:t>，产生量为</w:t>
            </w:r>
            <w:r>
              <w:rPr>
                <w:rFonts w:hint="default" w:ascii="Times New Roman" w:hAnsi="Times New Roman" w:eastAsia="宋体" w:cs="Times New Roman"/>
                <w:color w:val="auto"/>
                <w:kern w:val="0"/>
                <w:sz w:val="24"/>
                <w:szCs w:val="22"/>
                <w:highlight w:val="none"/>
                <w:lang w:val="en-US" w:eastAsia="zh-CN"/>
              </w:rPr>
              <w:t>0.4</w:t>
            </w:r>
            <w:r>
              <w:rPr>
                <w:rFonts w:hint="eastAsia" w:ascii="Times New Roman" w:hAnsi="Times New Roman" w:eastAsia="宋体" w:cs="Times New Roman"/>
                <w:color w:val="auto"/>
                <w:kern w:val="0"/>
                <w:sz w:val="24"/>
                <w:szCs w:val="22"/>
                <w:highlight w:val="none"/>
                <w:lang w:val="en-US" w:eastAsia="zh-CN"/>
              </w:rPr>
              <w:t>08</w:t>
            </w:r>
            <w:r>
              <w:rPr>
                <w:rFonts w:hint="default" w:ascii="Times New Roman" w:hAnsi="Times New Roman" w:eastAsia="宋体" w:cs="Times New Roman"/>
                <w:color w:val="auto"/>
                <w:kern w:val="0"/>
                <w:sz w:val="24"/>
                <w:szCs w:val="22"/>
                <w:highlight w:val="none"/>
              </w:rPr>
              <w:t>t/a</w:t>
            </w:r>
            <w:r>
              <w:rPr>
                <w:rFonts w:hint="eastAsia" w:ascii="Times New Roman" w:hAnsi="Times New Roman" w:eastAsia="宋体" w:cs="Times New Roman"/>
                <w:color w:val="auto"/>
                <w:kern w:val="0"/>
                <w:sz w:val="24"/>
                <w:szCs w:val="22"/>
                <w:highlight w:val="none"/>
                <w:lang w:eastAsia="zh-CN"/>
              </w:rPr>
              <w:t>。</w:t>
            </w:r>
            <w:r>
              <w:rPr>
                <w:rFonts w:hint="default" w:ascii="Times New Roman" w:hAnsi="Times New Roman" w:eastAsia="宋体" w:cs="Times New Roman"/>
                <w:color w:val="auto"/>
                <w:sz w:val="24"/>
                <w:highlight w:val="none"/>
              </w:rPr>
              <w:t>根据《国家危险废物名录》（</w:t>
            </w:r>
            <w:r>
              <w:rPr>
                <w:rFonts w:hint="default" w:ascii="Times New Roman" w:hAnsi="Times New Roman" w:eastAsia="宋体" w:cs="Times New Roman"/>
                <w:color w:val="auto"/>
                <w:kern w:val="0"/>
                <w:sz w:val="24"/>
                <w:szCs w:val="22"/>
                <w:highlight w:val="none"/>
              </w:rPr>
              <w:t>202</w:t>
            </w:r>
            <w:r>
              <w:rPr>
                <w:rFonts w:hint="default" w:ascii="Times New Roman" w:hAnsi="Times New Roman" w:eastAsia="宋体" w:cs="Times New Roman"/>
                <w:color w:val="auto"/>
                <w:kern w:val="0"/>
                <w:sz w:val="24"/>
                <w:szCs w:val="22"/>
                <w:highlight w:val="none"/>
                <w:lang w:val="en-US" w:eastAsia="zh-CN"/>
              </w:rPr>
              <w:t>5</w:t>
            </w:r>
            <w:r>
              <w:rPr>
                <w:rFonts w:hint="default" w:ascii="Times New Roman" w:hAnsi="Times New Roman" w:eastAsia="宋体" w:cs="Times New Roman"/>
                <w:color w:val="auto"/>
                <w:kern w:val="0"/>
                <w:sz w:val="24"/>
                <w:szCs w:val="22"/>
                <w:highlight w:val="none"/>
              </w:rPr>
              <w:t>年版），属于危险废物（类别为HW08</w:t>
            </w:r>
            <w:r>
              <w:rPr>
                <w:rFonts w:hint="default" w:ascii="Times New Roman" w:hAnsi="Times New Roman" w:eastAsia="宋体" w:cs="Times New Roman"/>
                <w:color w:val="auto"/>
                <w:kern w:val="0"/>
                <w:sz w:val="24"/>
                <w:szCs w:val="22"/>
                <w:highlight w:val="none"/>
                <w:lang w:val="en-US" w:eastAsia="zh-CN"/>
              </w:rPr>
              <w:t>废矿物油与含矿物油废物</w:t>
            </w:r>
            <w:r>
              <w:rPr>
                <w:rFonts w:hint="default" w:ascii="Times New Roman" w:hAnsi="Times New Roman" w:eastAsia="宋体" w:cs="Times New Roman"/>
                <w:color w:val="auto"/>
                <w:kern w:val="0"/>
                <w:sz w:val="24"/>
                <w:szCs w:val="22"/>
                <w:highlight w:val="none"/>
              </w:rPr>
              <w:t>，其他生产、销售、使用过程中产生的废矿物油及含矿物油废弃包装物，代码为900-249-08）。统一收集后</w:t>
            </w:r>
            <w:r>
              <w:rPr>
                <w:rFonts w:hint="eastAsia" w:ascii="Times New Roman" w:hAnsi="Times New Roman" w:eastAsia="宋体" w:cs="Times New Roman"/>
                <w:color w:val="auto"/>
                <w:kern w:val="0"/>
                <w:sz w:val="24"/>
                <w:szCs w:val="22"/>
                <w:highlight w:val="none"/>
                <w:lang w:val="en-US" w:eastAsia="zh-CN"/>
              </w:rPr>
              <w:t>暂存于危废贮存库，定期</w:t>
            </w:r>
            <w:r>
              <w:rPr>
                <w:rFonts w:hint="default" w:ascii="Times New Roman" w:hAnsi="Times New Roman" w:eastAsia="宋体" w:cs="Times New Roman"/>
                <w:color w:val="auto"/>
                <w:kern w:val="0"/>
                <w:sz w:val="24"/>
                <w:szCs w:val="22"/>
                <w:highlight w:val="none"/>
              </w:rPr>
              <w:t>交由有资质单位</w:t>
            </w:r>
            <w:r>
              <w:rPr>
                <w:rFonts w:hint="eastAsia" w:ascii="Times New Roman" w:hAnsi="Times New Roman" w:eastAsia="宋体" w:cs="Times New Roman"/>
                <w:color w:val="auto"/>
                <w:kern w:val="0"/>
                <w:sz w:val="24"/>
                <w:szCs w:val="22"/>
                <w:highlight w:val="none"/>
                <w:lang w:val="en-US" w:eastAsia="zh-CN"/>
              </w:rPr>
              <w:t>处置</w:t>
            </w:r>
            <w:r>
              <w:rPr>
                <w:rFonts w:hint="default" w:ascii="Times New Roman" w:hAnsi="Times New Roman" w:eastAsia="宋体" w:cs="Times New Roman"/>
                <w:color w:val="auto"/>
                <w:kern w:val="0"/>
                <w:sz w:val="24"/>
                <w:szCs w:val="22"/>
                <w:highlight w:val="none"/>
              </w:rPr>
              <w:t>。</w:t>
            </w:r>
          </w:p>
          <w:p w14:paraId="3D2E4A00">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2"/>
                <w:highlight w:val="none"/>
              </w:rPr>
            </w:pPr>
            <w:r>
              <w:rPr>
                <w:rFonts w:hint="default" w:ascii="Times New Roman" w:hAnsi="Times New Roman" w:eastAsia="宋体" w:cs="Times New Roman"/>
                <w:color w:val="auto"/>
                <w:kern w:val="0"/>
                <w:sz w:val="24"/>
                <w:szCs w:val="22"/>
                <w:highlight w:val="none"/>
                <w:lang w:val="en-US" w:eastAsia="zh-CN"/>
              </w:rPr>
              <w:t>废油桶：</w:t>
            </w:r>
            <w:r>
              <w:rPr>
                <w:rFonts w:hint="default" w:ascii="Times New Roman" w:hAnsi="Times New Roman" w:eastAsia="宋体" w:cs="Times New Roman"/>
                <w:color w:val="auto"/>
                <w:kern w:val="0"/>
                <w:sz w:val="24"/>
                <w:szCs w:val="22"/>
                <w:highlight w:val="none"/>
              </w:rPr>
              <w:t>根据建设单位提供资料，项目运营过程中</w:t>
            </w:r>
            <w:r>
              <w:rPr>
                <w:rFonts w:hint="eastAsia" w:ascii="Times New Roman" w:hAnsi="Times New Roman" w:eastAsia="宋体" w:cs="Times New Roman"/>
                <w:color w:val="auto"/>
                <w:kern w:val="0"/>
                <w:sz w:val="24"/>
                <w:szCs w:val="22"/>
                <w:highlight w:val="none"/>
                <w:lang w:val="en-US" w:eastAsia="zh-CN"/>
              </w:rPr>
              <w:t>设备维护保养</w:t>
            </w:r>
            <w:r>
              <w:rPr>
                <w:rFonts w:hint="default" w:ascii="Times New Roman" w:hAnsi="Times New Roman" w:eastAsia="宋体" w:cs="Times New Roman"/>
                <w:color w:val="auto"/>
                <w:kern w:val="0"/>
                <w:sz w:val="24"/>
                <w:szCs w:val="22"/>
                <w:highlight w:val="none"/>
              </w:rPr>
              <w:t>会产生</w:t>
            </w:r>
            <w:r>
              <w:rPr>
                <w:rFonts w:hint="default" w:ascii="Times New Roman" w:hAnsi="Times New Roman" w:eastAsia="宋体" w:cs="Times New Roman"/>
                <w:color w:val="auto"/>
                <w:kern w:val="0"/>
                <w:sz w:val="24"/>
                <w:szCs w:val="22"/>
                <w:highlight w:val="none"/>
                <w:lang w:val="en-US" w:eastAsia="zh-CN"/>
              </w:rPr>
              <w:t>含油</w:t>
            </w:r>
            <w:r>
              <w:rPr>
                <w:rFonts w:hint="default" w:ascii="Times New Roman" w:hAnsi="Times New Roman" w:eastAsia="宋体" w:cs="Times New Roman"/>
                <w:color w:val="auto"/>
                <w:kern w:val="0"/>
                <w:sz w:val="24"/>
                <w:szCs w:val="22"/>
                <w:highlight w:val="none"/>
              </w:rPr>
              <w:t>包装桶，产生量为</w:t>
            </w:r>
            <w:r>
              <w:rPr>
                <w:rFonts w:hint="default" w:ascii="Times New Roman" w:hAnsi="Times New Roman" w:eastAsia="宋体" w:cs="Times New Roman"/>
                <w:color w:val="auto"/>
                <w:kern w:val="0"/>
                <w:sz w:val="24"/>
                <w:szCs w:val="22"/>
                <w:highlight w:val="none"/>
                <w:lang w:val="en-US" w:eastAsia="zh-CN"/>
              </w:rPr>
              <w:t>0.0</w:t>
            </w:r>
            <w:r>
              <w:rPr>
                <w:rFonts w:hint="eastAsia" w:ascii="Times New Roman" w:hAnsi="Times New Roman" w:eastAsia="宋体" w:cs="Times New Roman"/>
                <w:color w:val="auto"/>
                <w:kern w:val="0"/>
                <w:sz w:val="24"/>
                <w:szCs w:val="22"/>
                <w:highlight w:val="none"/>
                <w:lang w:val="en-US" w:eastAsia="zh-CN"/>
              </w:rPr>
              <w:t>2</w:t>
            </w:r>
            <w:r>
              <w:rPr>
                <w:rFonts w:hint="default" w:ascii="Times New Roman" w:hAnsi="Times New Roman" w:eastAsia="宋体" w:cs="Times New Roman"/>
                <w:color w:val="auto"/>
                <w:kern w:val="0"/>
                <w:sz w:val="24"/>
                <w:szCs w:val="22"/>
                <w:highlight w:val="none"/>
              </w:rPr>
              <w:t>t/a</w:t>
            </w:r>
            <w:r>
              <w:rPr>
                <w:rFonts w:hint="default" w:ascii="Times New Roman" w:hAnsi="Times New Roman" w:eastAsia="宋体" w:cs="Times New Roman"/>
                <w:color w:val="auto"/>
                <w:kern w:val="0"/>
                <w:sz w:val="24"/>
                <w:szCs w:val="22"/>
                <w:highlight w:val="none"/>
                <w:lang w:eastAsia="zh-CN"/>
              </w:rPr>
              <w:t>。</w:t>
            </w:r>
            <w:r>
              <w:rPr>
                <w:rFonts w:hint="default" w:ascii="Times New Roman" w:hAnsi="Times New Roman" w:eastAsia="宋体" w:cs="Times New Roman"/>
                <w:color w:val="auto"/>
                <w:sz w:val="24"/>
                <w:highlight w:val="none"/>
              </w:rPr>
              <w:t>根据《国家危险废物名录》（</w:t>
            </w:r>
            <w:r>
              <w:rPr>
                <w:rFonts w:hint="default" w:ascii="Times New Roman" w:hAnsi="Times New Roman" w:eastAsia="宋体" w:cs="Times New Roman"/>
                <w:color w:val="auto"/>
                <w:kern w:val="0"/>
                <w:sz w:val="24"/>
                <w:szCs w:val="22"/>
                <w:highlight w:val="none"/>
                <w:lang w:eastAsia="zh-CN"/>
              </w:rPr>
              <w:t>2025年版</w:t>
            </w:r>
            <w:r>
              <w:rPr>
                <w:rFonts w:hint="default" w:ascii="Times New Roman" w:hAnsi="Times New Roman" w:eastAsia="宋体" w:cs="Times New Roman"/>
                <w:color w:val="auto"/>
                <w:kern w:val="0"/>
                <w:sz w:val="24"/>
                <w:szCs w:val="22"/>
                <w:highlight w:val="none"/>
              </w:rPr>
              <w:t>），属于危险废物（类别为HW08</w:t>
            </w:r>
            <w:r>
              <w:rPr>
                <w:rFonts w:hint="default" w:ascii="Times New Roman" w:hAnsi="Times New Roman" w:eastAsia="宋体" w:cs="Times New Roman"/>
                <w:color w:val="auto"/>
                <w:kern w:val="0"/>
                <w:sz w:val="24"/>
                <w:szCs w:val="22"/>
                <w:highlight w:val="none"/>
                <w:lang w:val="en-US" w:eastAsia="zh-CN"/>
              </w:rPr>
              <w:t>废矿物油与含矿物油废物</w:t>
            </w:r>
            <w:r>
              <w:rPr>
                <w:rFonts w:hint="default" w:ascii="Times New Roman" w:hAnsi="Times New Roman" w:eastAsia="宋体" w:cs="Times New Roman"/>
                <w:color w:val="auto"/>
                <w:kern w:val="0"/>
                <w:sz w:val="24"/>
                <w:szCs w:val="22"/>
                <w:highlight w:val="none"/>
              </w:rPr>
              <w:t>，其他生产、销售、使用过程中产生的废矿物油及含矿物油废弃包装物，代码为900-249-08）。统一收集后</w:t>
            </w:r>
            <w:r>
              <w:rPr>
                <w:rFonts w:hint="eastAsia" w:ascii="Times New Roman" w:hAnsi="Times New Roman" w:eastAsia="宋体" w:cs="Times New Roman"/>
                <w:color w:val="auto"/>
                <w:kern w:val="0"/>
                <w:sz w:val="24"/>
                <w:szCs w:val="22"/>
                <w:highlight w:val="none"/>
                <w:lang w:val="en-US" w:eastAsia="zh-CN"/>
              </w:rPr>
              <w:t>暂存于危废贮存库，定期</w:t>
            </w:r>
            <w:r>
              <w:rPr>
                <w:rFonts w:hint="default" w:ascii="Times New Roman" w:hAnsi="Times New Roman" w:eastAsia="宋体" w:cs="Times New Roman"/>
                <w:color w:val="auto"/>
                <w:kern w:val="0"/>
                <w:sz w:val="24"/>
                <w:szCs w:val="22"/>
                <w:highlight w:val="none"/>
              </w:rPr>
              <w:t>交由有资质单位</w:t>
            </w:r>
            <w:r>
              <w:rPr>
                <w:rFonts w:hint="eastAsia" w:ascii="Times New Roman" w:hAnsi="Times New Roman" w:eastAsia="宋体" w:cs="Times New Roman"/>
                <w:color w:val="auto"/>
                <w:kern w:val="0"/>
                <w:sz w:val="24"/>
                <w:szCs w:val="22"/>
                <w:highlight w:val="none"/>
                <w:lang w:val="en-US" w:eastAsia="zh-CN"/>
              </w:rPr>
              <w:t>处置</w:t>
            </w:r>
            <w:r>
              <w:rPr>
                <w:rFonts w:hint="default" w:ascii="Times New Roman" w:hAnsi="Times New Roman" w:eastAsia="宋体" w:cs="Times New Roman"/>
                <w:color w:val="auto"/>
                <w:kern w:val="0"/>
                <w:sz w:val="24"/>
                <w:szCs w:val="22"/>
                <w:highlight w:val="none"/>
              </w:rPr>
              <w:t>。</w:t>
            </w:r>
          </w:p>
          <w:p w14:paraId="49707CF1">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2"/>
                <w:highlight w:val="none"/>
              </w:rPr>
            </w:pPr>
            <w:r>
              <w:rPr>
                <w:rFonts w:hint="default" w:ascii="Times New Roman" w:hAnsi="Times New Roman" w:eastAsia="宋体" w:cs="Times New Roman"/>
                <w:color w:val="auto"/>
                <w:kern w:val="0"/>
                <w:sz w:val="24"/>
                <w:szCs w:val="22"/>
                <w:highlight w:val="none"/>
                <w:lang w:val="en-US" w:eastAsia="zh-CN"/>
              </w:rPr>
              <w:t>含油抹布及手套</w:t>
            </w:r>
            <w:r>
              <w:rPr>
                <w:rFonts w:hint="default" w:ascii="Times New Roman" w:hAnsi="Times New Roman" w:eastAsia="宋体" w:cs="Times New Roman"/>
                <w:color w:val="auto"/>
                <w:kern w:val="0"/>
                <w:sz w:val="24"/>
                <w:szCs w:val="22"/>
                <w:highlight w:val="none"/>
              </w:rPr>
              <w:t>：</w:t>
            </w:r>
            <w:r>
              <w:rPr>
                <w:rFonts w:hint="default" w:ascii="Times New Roman" w:hAnsi="Times New Roman" w:eastAsia="宋体" w:cs="Times New Roman"/>
                <w:color w:val="auto"/>
                <w:kern w:val="0"/>
                <w:sz w:val="24"/>
                <w:szCs w:val="22"/>
                <w:highlight w:val="none"/>
                <w:lang w:val="en-US" w:eastAsia="zh-CN"/>
              </w:rPr>
              <w:t>根据建设单位提供资料，项目运营过程中</w:t>
            </w:r>
            <w:r>
              <w:rPr>
                <w:rFonts w:hint="eastAsia" w:ascii="Times New Roman" w:hAnsi="Times New Roman" w:eastAsia="宋体" w:cs="Times New Roman"/>
                <w:color w:val="auto"/>
                <w:kern w:val="0"/>
                <w:sz w:val="24"/>
                <w:szCs w:val="22"/>
                <w:highlight w:val="none"/>
                <w:lang w:val="en-US" w:eastAsia="zh-CN"/>
              </w:rPr>
              <w:t>设备维护保养</w:t>
            </w:r>
            <w:r>
              <w:rPr>
                <w:rFonts w:hint="default" w:ascii="Times New Roman" w:hAnsi="Times New Roman" w:eastAsia="宋体" w:cs="Times New Roman"/>
                <w:color w:val="auto"/>
                <w:kern w:val="0"/>
                <w:sz w:val="24"/>
                <w:szCs w:val="22"/>
                <w:highlight w:val="none"/>
              </w:rPr>
              <w:t>会</w:t>
            </w:r>
            <w:r>
              <w:rPr>
                <w:rFonts w:hint="default" w:ascii="Times New Roman" w:hAnsi="Times New Roman" w:eastAsia="宋体" w:cs="Times New Roman"/>
                <w:color w:val="auto"/>
                <w:kern w:val="0"/>
                <w:sz w:val="24"/>
                <w:szCs w:val="22"/>
                <w:highlight w:val="none"/>
                <w:lang w:val="en-US" w:eastAsia="zh-CN"/>
              </w:rPr>
              <w:t>产生废含油抹布及手套，</w:t>
            </w:r>
            <w:r>
              <w:rPr>
                <w:rFonts w:hint="default" w:ascii="Times New Roman" w:hAnsi="Times New Roman" w:eastAsia="宋体" w:cs="Times New Roman"/>
                <w:color w:val="auto"/>
                <w:kern w:val="0"/>
                <w:sz w:val="24"/>
                <w:szCs w:val="22"/>
                <w:highlight w:val="none"/>
              </w:rPr>
              <w:t>产生量约为</w:t>
            </w:r>
            <w:r>
              <w:rPr>
                <w:rFonts w:hint="default" w:ascii="Times New Roman" w:hAnsi="Times New Roman" w:eastAsia="宋体" w:cs="Times New Roman"/>
                <w:color w:val="auto"/>
                <w:kern w:val="0"/>
                <w:sz w:val="24"/>
                <w:szCs w:val="22"/>
                <w:highlight w:val="none"/>
                <w:lang w:val="en-US" w:eastAsia="zh-CN"/>
              </w:rPr>
              <w:t>0.0</w:t>
            </w:r>
            <w:r>
              <w:rPr>
                <w:rFonts w:hint="eastAsia" w:ascii="Times New Roman" w:hAnsi="Times New Roman" w:eastAsia="宋体" w:cs="Times New Roman"/>
                <w:color w:val="auto"/>
                <w:kern w:val="0"/>
                <w:sz w:val="24"/>
                <w:szCs w:val="22"/>
                <w:highlight w:val="none"/>
                <w:lang w:val="en-US" w:eastAsia="zh-CN"/>
              </w:rPr>
              <w:t>1</w:t>
            </w:r>
            <w:r>
              <w:rPr>
                <w:rFonts w:hint="default" w:ascii="Times New Roman" w:hAnsi="Times New Roman" w:eastAsia="宋体" w:cs="Times New Roman"/>
                <w:color w:val="auto"/>
                <w:kern w:val="0"/>
                <w:sz w:val="24"/>
                <w:szCs w:val="22"/>
                <w:highlight w:val="none"/>
              </w:rPr>
              <w:t>t/a</w:t>
            </w:r>
            <w:r>
              <w:rPr>
                <w:rFonts w:hint="eastAsia" w:ascii="Times New Roman" w:hAnsi="Times New Roman" w:eastAsia="宋体" w:cs="Times New Roman"/>
                <w:color w:val="auto"/>
                <w:kern w:val="0"/>
                <w:sz w:val="24"/>
                <w:szCs w:val="22"/>
                <w:highlight w:val="none"/>
                <w:lang w:eastAsia="zh-CN"/>
              </w:rPr>
              <w:t>。</w:t>
            </w:r>
            <w:r>
              <w:rPr>
                <w:rFonts w:hint="default" w:ascii="Times New Roman" w:hAnsi="Times New Roman" w:eastAsia="宋体" w:cs="Times New Roman"/>
                <w:color w:val="auto"/>
                <w:kern w:val="0"/>
                <w:sz w:val="24"/>
                <w:szCs w:val="22"/>
                <w:highlight w:val="none"/>
              </w:rPr>
              <w:t>根据《国家危险废物名录》（202</w:t>
            </w:r>
            <w:r>
              <w:rPr>
                <w:rFonts w:hint="default" w:ascii="Times New Roman" w:hAnsi="Times New Roman" w:eastAsia="宋体" w:cs="Times New Roman"/>
                <w:color w:val="auto"/>
                <w:kern w:val="0"/>
                <w:sz w:val="24"/>
                <w:szCs w:val="22"/>
                <w:highlight w:val="none"/>
                <w:lang w:val="en-US" w:eastAsia="zh-CN"/>
              </w:rPr>
              <w:t>5</w:t>
            </w:r>
            <w:r>
              <w:rPr>
                <w:rFonts w:hint="default" w:ascii="Times New Roman" w:hAnsi="Times New Roman" w:eastAsia="宋体" w:cs="Times New Roman"/>
                <w:color w:val="auto"/>
                <w:kern w:val="0"/>
                <w:sz w:val="24"/>
                <w:szCs w:val="22"/>
                <w:highlight w:val="none"/>
              </w:rPr>
              <w:t>版）</w:t>
            </w:r>
            <w:r>
              <w:rPr>
                <w:rFonts w:hint="default" w:ascii="Times New Roman" w:hAnsi="Times New Roman" w:eastAsia="宋体" w:cs="Times New Roman"/>
                <w:color w:val="auto"/>
                <w:kern w:val="0"/>
                <w:sz w:val="24"/>
                <w:szCs w:val="22"/>
                <w:highlight w:val="none"/>
                <w:lang w:eastAsia="zh-CN"/>
              </w:rPr>
              <w:t>，</w:t>
            </w:r>
            <w:r>
              <w:rPr>
                <w:rFonts w:hint="default" w:ascii="Times New Roman" w:hAnsi="Times New Roman" w:eastAsia="宋体" w:cs="Times New Roman"/>
                <w:color w:val="auto"/>
                <w:kern w:val="0"/>
                <w:sz w:val="24"/>
                <w:szCs w:val="22"/>
                <w:highlight w:val="none"/>
                <w:lang w:val="en-US" w:eastAsia="zh-CN"/>
              </w:rPr>
              <w:t>属于危险废物（类别为HW49其他废物，</w:t>
            </w:r>
            <w:r>
              <w:rPr>
                <w:rFonts w:hint="default" w:ascii="Times New Roman" w:hAnsi="Times New Roman" w:eastAsia="宋体" w:cs="Times New Roman"/>
                <w:color w:val="auto"/>
                <w:kern w:val="0"/>
                <w:sz w:val="24"/>
                <w:szCs w:val="22"/>
                <w:highlight w:val="none"/>
              </w:rPr>
              <w:t>含有或沾染毒性、感染性危险废物的废弃包装物、容器、过滤吸附介质</w:t>
            </w:r>
            <w:r>
              <w:rPr>
                <w:rFonts w:hint="default" w:ascii="Times New Roman" w:hAnsi="Times New Roman" w:eastAsia="宋体" w:cs="Times New Roman"/>
                <w:color w:val="auto"/>
                <w:kern w:val="0"/>
                <w:sz w:val="24"/>
                <w:szCs w:val="22"/>
                <w:highlight w:val="none"/>
                <w:lang w:eastAsia="zh-CN"/>
              </w:rPr>
              <w:t>，</w:t>
            </w:r>
            <w:r>
              <w:rPr>
                <w:rFonts w:hint="default" w:ascii="Times New Roman" w:hAnsi="Times New Roman" w:eastAsia="宋体" w:cs="Times New Roman"/>
                <w:color w:val="auto"/>
                <w:kern w:val="0"/>
                <w:sz w:val="24"/>
                <w:szCs w:val="22"/>
                <w:highlight w:val="none"/>
                <w:lang w:val="en-US" w:eastAsia="zh-CN"/>
              </w:rPr>
              <w:t>代码为</w:t>
            </w:r>
            <w:r>
              <w:rPr>
                <w:rFonts w:hint="default" w:ascii="Times New Roman" w:hAnsi="Times New Roman" w:eastAsia="宋体" w:cs="Times New Roman"/>
                <w:color w:val="auto"/>
                <w:kern w:val="0"/>
                <w:sz w:val="24"/>
                <w:szCs w:val="22"/>
                <w:highlight w:val="none"/>
              </w:rPr>
              <w:t>900-041-49</w:t>
            </w:r>
            <w:r>
              <w:rPr>
                <w:rFonts w:hint="default" w:ascii="Times New Roman" w:hAnsi="Times New Roman" w:eastAsia="宋体" w:cs="Times New Roman"/>
                <w:color w:val="auto"/>
                <w:kern w:val="0"/>
                <w:sz w:val="24"/>
                <w:szCs w:val="22"/>
                <w:highlight w:val="none"/>
                <w:lang w:val="en-US" w:eastAsia="zh-CN"/>
              </w:rPr>
              <w:t>）。</w:t>
            </w:r>
            <w:r>
              <w:rPr>
                <w:rFonts w:hint="default" w:ascii="Times New Roman" w:hAnsi="Times New Roman" w:eastAsia="宋体" w:cs="Times New Roman"/>
                <w:color w:val="auto"/>
                <w:kern w:val="0"/>
                <w:sz w:val="24"/>
                <w:szCs w:val="22"/>
                <w:highlight w:val="none"/>
              </w:rPr>
              <w:t>统一收集后</w:t>
            </w:r>
            <w:r>
              <w:rPr>
                <w:rFonts w:hint="eastAsia" w:ascii="Times New Roman" w:hAnsi="Times New Roman" w:eastAsia="宋体" w:cs="Times New Roman"/>
                <w:color w:val="auto"/>
                <w:kern w:val="0"/>
                <w:sz w:val="24"/>
                <w:szCs w:val="22"/>
                <w:highlight w:val="none"/>
                <w:lang w:val="en-US" w:eastAsia="zh-CN"/>
              </w:rPr>
              <w:t>暂存于危废贮存库，定期</w:t>
            </w:r>
            <w:r>
              <w:rPr>
                <w:rFonts w:hint="default" w:ascii="Times New Roman" w:hAnsi="Times New Roman" w:eastAsia="宋体" w:cs="Times New Roman"/>
                <w:color w:val="auto"/>
                <w:kern w:val="0"/>
                <w:sz w:val="24"/>
                <w:szCs w:val="22"/>
                <w:highlight w:val="none"/>
              </w:rPr>
              <w:t>交由有资质单位</w:t>
            </w:r>
            <w:r>
              <w:rPr>
                <w:rFonts w:hint="eastAsia" w:ascii="Times New Roman" w:hAnsi="Times New Roman" w:eastAsia="宋体" w:cs="Times New Roman"/>
                <w:color w:val="auto"/>
                <w:kern w:val="0"/>
                <w:sz w:val="24"/>
                <w:szCs w:val="22"/>
                <w:highlight w:val="none"/>
                <w:lang w:val="en-US" w:eastAsia="zh-CN"/>
              </w:rPr>
              <w:t>处置</w:t>
            </w:r>
            <w:r>
              <w:rPr>
                <w:rFonts w:hint="default" w:ascii="Times New Roman" w:hAnsi="Times New Roman" w:eastAsia="宋体" w:cs="Times New Roman"/>
                <w:color w:val="auto"/>
                <w:kern w:val="0"/>
                <w:sz w:val="24"/>
                <w:szCs w:val="22"/>
                <w:highlight w:val="none"/>
              </w:rPr>
              <w:t>。</w:t>
            </w:r>
          </w:p>
          <w:p w14:paraId="5803FA12">
            <w:pPr>
              <w:numPr>
                <w:ilvl w:val="0"/>
                <w:numId w:val="0"/>
              </w:numPr>
              <w:adjustRightInd w:val="0"/>
              <w:snapToGrid w:val="0"/>
              <w:spacing w:line="360" w:lineRule="auto"/>
              <w:ind w:firstLine="440" w:firstLineChars="200"/>
              <w:rPr>
                <w:rFonts w:hint="default" w:ascii="Times New Roman" w:hAnsi="Times New Roman" w:cs="Times New Roman"/>
                <w:b w:val="0"/>
                <w:bCs/>
                <w:color w:val="auto"/>
                <w:spacing w:val="-10"/>
                <w:sz w:val="24"/>
                <w:szCs w:val="24"/>
                <w:highlight w:val="none"/>
                <w:lang w:val="en-US" w:eastAsia="zh-CN"/>
              </w:rPr>
            </w:pPr>
            <w:r>
              <w:rPr>
                <w:rFonts w:hint="default" w:ascii="Times New Roman" w:hAnsi="Times New Roman" w:cs="Times New Roman"/>
                <w:b w:val="0"/>
                <w:bCs/>
                <w:color w:val="auto"/>
                <w:spacing w:val="-10"/>
                <w:sz w:val="24"/>
                <w:szCs w:val="24"/>
                <w:highlight w:val="none"/>
                <w:lang w:val="en-US" w:eastAsia="zh-CN"/>
              </w:rPr>
              <w:t>本项目固体废物产生量及利用处置情况见下表。</w:t>
            </w:r>
          </w:p>
          <w:p w14:paraId="0C53C286">
            <w:pPr>
              <w:numPr>
                <w:ilvl w:val="0"/>
                <w:numId w:val="0"/>
              </w:numPr>
              <w:adjustRightInd w:val="0"/>
              <w:snapToGrid w:val="0"/>
              <w:spacing w:line="240" w:lineRule="auto"/>
              <w:jc w:val="center"/>
              <w:rPr>
                <w:rFonts w:hint="default" w:ascii="Times New Roman" w:hAnsi="Times New Roman" w:eastAsia="宋体" w:cs="Times New Roman"/>
                <w:b/>
                <w:color w:val="auto"/>
                <w:kern w:val="0"/>
                <w:szCs w:val="21"/>
                <w:highlight w:val="none"/>
                <w:lang w:val="en-US" w:eastAsia="zh-CN"/>
              </w:rPr>
            </w:pPr>
            <w:r>
              <w:rPr>
                <w:rFonts w:hint="default" w:ascii="Times New Roman" w:hAnsi="Times New Roman" w:eastAsia="宋体" w:cs="Times New Roman"/>
                <w:b/>
                <w:color w:val="auto"/>
                <w:kern w:val="0"/>
                <w:szCs w:val="21"/>
                <w:highlight w:val="none"/>
              </w:rPr>
              <w:t>表</w:t>
            </w:r>
            <w:r>
              <w:rPr>
                <w:rFonts w:hint="default" w:ascii="Times New Roman" w:hAnsi="Times New Roman" w:eastAsia="宋体" w:cs="Times New Roman"/>
                <w:b/>
                <w:color w:val="auto"/>
                <w:kern w:val="0"/>
                <w:szCs w:val="21"/>
                <w:highlight w:val="none"/>
                <w:lang w:val="en-US" w:eastAsia="zh-CN"/>
              </w:rPr>
              <w:t>4-10</w:t>
            </w:r>
            <w:r>
              <w:rPr>
                <w:rFonts w:hint="eastAsia" w:cs="Times New Roman"/>
                <w:b/>
                <w:color w:val="auto"/>
                <w:kern w:val="0"/>
                <w:szCs w:val="21"/>
                <w:highlight w:val="none"/>
                <w:lang w:val="en-US" w:eastAsia="zh-CN"/>
              </w:rPr>
              <w:t xml:space="preserve"> </w:t>
            </w:r>
            <w:r>
              <w:rPr>
                <w:rFonts w:hint="default" w:ascii="Times New Roman" w:hAnsi="Times New Roman" w:eastAsia="宋体" w:cs="Times New Roman"/>
                <w:b/>
                <w:color w:val="auto"/>
                <w:kern w:val="0"/>
                <w:szCs w:val="21"/>
                <w:highlight w:val="none"/>
                <w:lang w:val="en-US" w:eastAsia="zh-CN"/>
              </w:rPr>
              <w:t>固体废物产生量及利用处置情况一览表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6"/>
              <w:gridCol w:w="941"/>
              <w:gridCol w:w="914"/>
              <w:gridCol w:w="2102"/>
              <w:gridCol w:w="1024"/>
              <w:gridCol w:w="2187"/>
            </w:tblGrid>
            <w:tr w14:paraId="04A9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5CAB0C3F">
                  <w:pPr>
                    <w:jc w:val="center"/>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kern w:val="0"/>
                      <w:sz w:val="21"/>
                      <w:szCs w:val="21"/>
                      <w:highlight w:val="none"/>
                    </w:rPr>
                    <w:t>固废名称</w:t>
                  </w:r>
                </w:p>
              </w:tc>
              <w:tc>
                <w:tcPr>
                  <w:tcW w:w="573" w:type="pct"/>
                  <w:tcBorders>
                    <w:top w:val="single" w:color="auto" w:sz="4" w:space="0"/>
                    <w:left w:val="single" w:color="auto" w:sz="4" w:space="0"/>
                    <w:bottom w:val="single" w:color="auto" w:sz="4" w:space="0"/>
                    <w:right w:val="single" w:color="auto" w:sz="4" w:space="0"/>
                  </w:tcBorders>
                  <w:noWrap w:val="0"/>
                  <w:vAlign w:val="center"/>
                </w:tcPr>
                <w:p w14:paraId="45FE6ED9">
                  <w:pPr>
                    <w:jc w:val="center"/>
                    <w:rPr>
                      <w:rFonts w:hint="default" w:ascii="Times New Roman" w:hAnsi="Times New Roman" w:eastAsia="宋体" w:cs="Times New Roman"/>
                      <w:b/>
                      <w:bCs w:val="0"/>
                      <w:color w:val="auto"/>
                      <w:kern w:val="0"/>
                      <w:sz w:val="21"/>
                      <w:szCs w:val="21"/>
                      <w:highlight w:val="none"/>
                      <w:lang w:eastAsia="zh-CN"/>
                    </w:rPr>
                  </w:pPr>
                  <w:r>
                    <w:rPr>
                      <w:rFonts w:hint="default" w:ascii="Times New Roman" w:hAnsi="Times New Roman" w:eastAsia="宋体" w:cs="Times New Roman"/>
                      <w:b/>
                      <w:bCs w:val="0"/>
                      <w:color w:val="auto"/>
                      <w:kern w:val="0"/>
                      <w:sz w:val="21"/>
                      <w:szCs w:val="21"/>
                      <w:highlight w:val="none"/>
                    </w:rPr>
                    <w:t>产生</w:t>
                  </w:r>
                  <w:r>
                    <w:rPr>
                      <w:rFonts w:hint="default" w:ascii="Times New Roman" w:hAnsi="Times New Roman" w:eastAsia="宋体" w:cs="Times New Roman"/>
                      <w:b/>
                      <w:bCs w:val="0"/>
                      <w:color w:val="auto"/>
                      <w:kern w:val="0"/>
                      <w:sz w:val="21"/>
                      <w:szCs w:val="21"/>
                      <w:highlight w:val="none"/>
                      <w:lang w:val="en-US" w:eastAsia="zh-CN"/>
                    </w:rPr>
                    <w:t>环节</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10D2D5A8">
                  <w:pPr>
                    <w:jc w:val="center"/>
                    <w:rPr>
                      <w:rFonts w:hint="default" w:ascii="Times New Roman" w:hAnsi="Times New Roman" w:eastAsia="宋体" w:cs="Times New Roman"/>
                      <w:b/>
                      <w:bCs w:val="0"/>
                      <w:color w:val="auto"/>
                      <w:kern w:val="0"/>
                      <w:sz w:val="21"/>
                      <w:szCs w:val="21"/>
                      <w:highlight w:val="none"/>
                      <w:lang w:eastAsia="zh-CN"/>
                    </w:rPr>
                  </w:pPr>
                  <w:r>
                    <w:rPr>
                      <w:rFonts w:hint="default" w:ascii="Times New Roman" w:hAnsi="Times New Roman" w:eastAsia="宋体" w:cs="Times New Roman"/>
                      <w:b/>
                      <w:bCs w:val="0"/>
                      <w:color w:val="auto"/>
                      <w:kern w:val="0"/>
                      <w:sz w:val="21"/>
                      <w:szCs w:val="21"/>
                      <w:highlight w:val="none"/>
                      <w:lang w:val="en-US" w:eastAsia="zh-CN"/>
                    </w:rPr>
                    <w:t>物理性状</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9954A12">
                  <w:pPr>
                    <w:jc w:val="center"/>
                    <w:rPr>
                      <w:rFonts w:hint="default" w:ascii="Times New Roman" w:hAnsi="Times New Roman" w:eastAsia="宋体" w:cs="Times New Roman"/>
                      <w:b/>
                      <w:bCs w:val="0"/>
                      <w:color w:val="auto"/>
                      <w:kern w:val="0"/>
                      <w:sz w:val="21"/>
                      <w:szCs w:val="21"/>
                      <w:highlight w:val="none"/>
                      <w:lang w:val="en-US" w:eastAsia="zh-CN"/>
                    </w:rPr>
                  </w:pPr>
                  <w:r>
                    <w:rPr>
                      <w:rFonts w:hint="default" w:ascii="Times New Roman" w:hAnsi="Times New Roman" w:eastAsia="宋体" w:cs="Times New Roman"/>
                      <w:b/>
                      <w:bCs w:val="0"/>
                      <w:color w:val="auto"/>
                      <w:kern w:val="0"/>
                      <w:sz w:val="21"/>
                      <w:szCs w:val="21"/>
                      <w:highlight w:val="none"/>
                    </w:rPr>
                    <w:t>属性</w:t>
                  </w:r>
                  <w:r>
                    <w:rPr>
                      <w:rFonts w:hint="default" w:ascii="Times New Roman" w:hAnsi="Times New Roman" w:eastAsia="宋体" w:cs="Times New Roman"/>
                      <w:b/>
                      <w:bCs w:val="0"/>
                      <w:color w:val="auto"/>
                      <w:kern w:val="0"/>
                      <w:sz w:val="21"/>
                      <w:szCs w:val="21"/>
                      <w:highlight w:val="none"/>
                      <w:lang w:val="en-US" w:eastAsia="zh-CN"/>
                    </w:rPr>
                    <w:t>及代码</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23784C51">
                  <w:pPr>
                    <w:jc w:val="center"/>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kern w:val="0"/>
                      <w:sz w:val="21"/>
                      <w:szCs w:val="21"/>
                      <w:highlight w:val="none"/>
                    </w:rPr>
                    <w:t>产生量</w:t>
                  </w:r>
                </w:p>
                <w:p w14:paraId="3BE52F7F">
                  <w:pPr>
                    <w:jc w:val="center"/>
                    <w:rPr>
                      <w:rFonts w:hint="default" w:ascii="Times New Roman" w:hAnsi="Times New Roman" w:eastAsia="宋体" w:cs="Times New Roman"/>
                      <w:b/>
                      <w:bCs w:val="0"/>
                      <w:color w:val="auto"/>
                      <w:kern w:val="0"/>
                      <w:sz w:val="21"/>
                      <w:szCs w:val="21"/>
                      <w:highlight w:val="none"/>
                    </w:rPr>
                  </w:pPr>
                </w:p>
              </w:tc>
              <w:tc>
                <w:tcPr>
                  <w:tcW w:w="1331" w:type="pct"/>
                  <w:tcBorders>
                    <w:top w:val="single" w:color="auto" w:sz="4" w:space="0"/>
                    <w:left w:val="single" w:color="auto" w:sz="4" w:space="0"/>
                    <w:bottom w:val="single" w:color="auto" w:sz="4" w:space="0"/>
                    <w:right w:val="single" w:color="auto" w:sz="4" w:space="0"/>
                  </w:tcBorders>
                  <w:noWrap w:val="0"/>
                  <w:vAlign w:val="center"/>
                </w:tcPr>
                <w:p w14:paraId="007208A2">
                  <w:pPr>
                    <w:jc w:val="center"/>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kern w:val="0"/>
                      <w:sz w:val="21"/>
                      <w:szCs w:val="21"/>
                      <w:highlight w:val="none"/>
                    </w:rPr>
                    <w:t>利用处置方式</w:t>
                  </w:r>
                </w:p>
              </w:tc>
            </w:tr>
            <w:tr w14:paraId="0675F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34D8AD33">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生活垃圾</w:t>
                  </w:r>
                </w:p>
              </w:tc>
              <w:tc>
                <w:tcPr>
                  <w:tcW w:w="573" w:type="pct"/>
                  <w:tcBorders>
                    <w:top w:val="single" w:color="auto" w:sz="4" w:space="0"/>
                    <w:left w:val="single" w:color="auto" w:sz="4" w:space="0"/>
                    <w:bottom w:val="single" w:color="auto" w:sz="4" w:space="0"/>
                    <w:right w:val="single" w:color="auto" w:sz="4" w:space="0"/>
                  </w:tcBorders>
                  <w:noWrap w:val="0"/>
                  <w:vAlign w:val="center"/>
                </w:tcPr>
                <w:p w14:paraId="7BE55D1C">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生活办公</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0166AAC0">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23ECE1A3">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5B4585FE">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3.3</w:t>
                  </w:r>
                  <w:r>
                    <w:rPr>
                      <w:rFonts w:hint="default" w:ascii="Times New Roman" w:hAnsi="Times New Roman" w:eastAsia="宋体" w:cs="Times New Roman"/>
                      <w:b w:val="0"/>
                      <w:bCs w:val="0"/>
                      <w:color w:val="auto"/>
                      <w:kern w:val="0"/>
                      <w:sz w:val="21"/>
                      <w:szCs w:val="21"/>
                      <w:highlight w:val="none"/>
                    </w:rPr>
                    <w:t>t/a</w:t>
                  </w:r>
                </w:p>
              </w:tc>
              <w:tc>
                <w:tcPr>
                  <w:tcW w:w="1331" w:type="pct"/>
                  <w:tcBorders>
                    <w:top w:val="single" w:color="auto" w:sz="4" w:space="0"/>
                    <w:left w:val="single" w:color="auto" w:sz="4" w:space="0"/>
                    <w:bottom w:val="single" w:color="auto" w:sz="4" w:space="0"/>
                    <w:right w:val="single" w:color="auto" w:sz="4" w:space="0"/>
                  </w:tcBorders>
                  <w:noWrap w:val="0"/>
                  <w:vAlign w:val="center"/>
                </w:tcPr>
                <w:p w14:paraId="6A914235">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收集后由环卫部门定期集中清运</w:t>
                  </w:r>
                </w:p>
              </w:tc>
            </w:tr>
            <w:tr w14:paraId="4C7F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215EF7BB">
                  <w:pPr>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废铁等</w:t>
                  </w:r>
                </w:p>
                <w:p w14:paraId="4C27AC28">
                  <w:pPr>
                    <w:jc w:val="center"/>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金属</w:t>
                  </w:r>
                </w:p>
              </w:tc>
              <w:tc>
                <w:tcPr>
                  <w:tcW w:w="573" w:type="pct"/>
                  <w:tcBorders>
                    <w:top w:val="single" w:color="auto" w:sz="4" w:space="0"/>
                    <w:left w:val="single" w:color="auto" w:sz="4" w:space="0"/>
                    <w:right w:val="single" w:color="auto" w:sz="4" w:space="0"/>
                  </w:tcBorders>
                  <w:noWrap w:val="0"/>
                  <w:vAlign w:val="center"/>
                </w:tcPr>
                <w:p w14:paraId="435E7669">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磁选工序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0417EE97">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012096F">
                  <w:pPr>
                    <w:jc w:val="center"/>
                    <w:rPr>
                      <w:rFonts w:hint="eastAsia"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val="en-US" w:eastAsia="zh-CN"/>
                    </w:rPr>
                    <w:t>900-001-S17</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074C4348">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25.785t/a</w:t>
                  </w:r>
                </w:p>
              </w:tc>
              <w:tc>
                <w:tcPr>
                  <w:tcW w:w="1331" w:type="pct"/>
                  <w:tcBorders>
                    <w:top w:val="single" w:color="auto" w:sz="4" w:space="0"/>
                    <w:left w:val="single" w:color="auto" w:sz="4" w:space="0"/>
                    <w:right w:val="single" w:color="auto" w:sz="4" w:space="0"/>
                  </w:tcBorders>
                  <w:noWrap w:val="0"/>
                  <w:vAlign w:val="center"/>
                </w:tcPr>
                <w:p w14:paraId="528B8320">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收集后</w:t>
                  </w:r>
                  <w:r>
                    <w:rPr>
                      <w:rFonts w:hint="default" w:ascii="Times New Roman" w:hAnsi="Times New Roman" w:eastAsia="宋体" w:cs="Times New Roman"/>
                      <w:color w:val="auto"/>
                      <w:kern w:val="0"/>
                      <w:sz w:val="21"/>
                      <w:szCs w:val="21"/>
                      <w:highlight w:val="none"/>
                      <w:lang w:val="en-US" w:eastAsia="zh-CN"/>
                    </w:rPr>
                    <w:t>暂存在</w:t>
                  </w:r>
                  <w:r>
                    <w:rPr>
                      <w:rFonts w:hint="eastAsia" w:ascii="Times New Roman" w:hAnsi="Times New Roman" w:eastAsia="宋体" w:cs="Times New Roman"/>
                      <w:color w:val="auto"/>
                      <w:kern w:val="0"/>
                      <w:sz w:val="21"/>
                      <w:szCs w:val="21"/>
                      <w:highlight w:val="none"/>
                      <w:lang w:val="en-US" w:eastAsia="zh-CN"/>
                    </w:rPr>
                    <w:t>一般固废暂存间</w:t>
                  </w:r>
                  <w:r>
                    <w:rPr>
                      <w:rFonts w:hint="default" w:ascii="Times New Roman" w:hAnsi="Times New Roman" w:eastAsia="宋体" w:cs="Times New Roman"/>
                      <w:color w:val="auto"/>
                      <w:kern w:val="0"/>
                      <w:sz w:val="21"/>
                      <w:szCs w:val="21"/>
                      <w:highlight w:val="none"/>
                      <w:lang w:val="en-US" w:eastAsia="zh-CN"/>
                    </w:rPr>
                    <w:t>，</w:t>
                  </w:r>
                  <w:r>
                    <w:rPr>
                      <w:rFonts w:hint="default" w:ascii="Times New Roman" w:hAnsi="Times New Roman" w:eastAsia="宋体" w:cs="Times New Roman"/>
                      <w:color w:val="auto"/>
                      <w:kern w:val="0"/>
                      <w:sz w:val="21"/>
                      <w:szCs w:val="21"/>
                      <w:highlight w:val="none"/>
                    </w:rPr>
                    <w:t>统一外售处理</w:t>
                  </w:r>
                </w:p>
              </w:tc>
            </w:tr>
            <w:tr w14:paraId="05A9A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35726197">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除尘灰</w:t>
                  </w:r>
                </w:p>
              </w:tc>
              <w:tc>
                <w:tcPr>
                  <w:tcW w:w="573" w:type="pct"/>
                  <w:vMerge w:val="restart"/>
                  <w:tcBorders>
                    <w:top w:val="single" w:color="auto" w:sz="4" w:space="0"/>
                    <w:left w:val="single" w:color="auto" w:sz="4" w:space="0"/>
                    <w:right w:val="single" w:color="auto" w:sz="4" w:space="0"/>
                  </w:tcBorders>
                  <w:noWrap w:val="0"/>
                  <w:vAlign w:val="center"/>
                </w:tcPr>
                <w:p w14:paraId="6B885CB6">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上料、破碎和打包</w:t>
                  </w:r>
                  <w:r>
                    <w:rPr>
                      <w:rFonts w:hint="eastAsia" w:ascii="Times New Roman" w:hAnsi="Times New Roman" w:eastAsia="宋体" w:cs="Times New Roman"/>
                      <w:color w:val="auto"/>
                      <w:kern w:val="0"/>
                      <w:sz w:val="21"/>
                      <w:szCs w:val="21"/>
                      <w:highlight w:val="none"/>
                      <w:lang w:val="en-US" w:eastAsia="zh-CN"/>
                    </w:rPr>
                    <w:t>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225DEB01">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固态</w:t>
                  </w:r>
                </w:p>
              </w:tc>
              <w:tc>
                <w:tcPr>
                  <w:tcW w:w="1279" w:type="pct"/>
                  <w:vMerge w:val="restart"/>
                  <w:tcBorders>
                    <w:top w:val="single" w:color="auto" w:sz="4" w:space="0"/>
                    <w:left w:val="single" w:color="auto" w:sz="4" w:space="0"/>
                    <w:right w:val="single" w:color="auto" w:sz="4" w:space="0"/>
                  </w:tcBorders>
                  <w:noWrap w:val="0"/>
                  <w:vAlign w:val="center"/>
                </w:tcPr>
                <w:p w14:paraId="34870104">
                  <w:pPr>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403E61BA">
                  <w:pPr>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bidi="ar-SA"/>
                    </w:rPr>
                    <w:t>44.084</w:t>
                  </w:r>
                  <w:r>
                    <w:rPr>
                      <w:rFonts w:hint="default" w:ascii="Times New Roman" w:hAnsi="Times New Roman" w:eastAsia="宋体" w:cs="Times New Roman"/>
                      <w:b w:val="0"/>
                      <w:bCs w:val="0"/>
                      <w:color w:val="auto"/>
                      <w:kern w:val="0"/>
                      <w:sz w:val="21"/>
                      <w:szCs w:val="21"/>
                      <w:highlight w:val="none"/>
                    </w:rPr>
                    <w:t>t/a</w:t>
                  </w:r>
                </w:p>
              </w:tc>
              <w:tc>
                <w:tcPr>
                  <w:tcW w:w="1331" w:type="pct"/>
                  <w:vMerge w:val="restart"/>
                  <w:tcBorders>
                    <w:left w:val="single" w:color="auto" w:sz="4" w:space="0"/>
                    <w:right w:val="single" w:color="auto" w:sz="4" w:space="0"/>
                  </w:tcBorders>
                  <w:noWrap w:val="0"/>
                  <w:vAlign w:val="center"/>
                </w:tcPr>
                <w:p w14:paraId="7394158F">
                  <w:pPr>
                    <w:jc w:val="center"/>
                    <w:rPr>
                      <w:rFonts w:hint="default" w:ascii="Times New Roman" w:hAnsi="Times New Roman" w:eastAsia="宋体" w:cs="Times New Roman"/>
                      <w:color w:val="auto"/>
                      <w:kern w:val="0"/>
                      <w:sz w:val="21"/>
                      <w:szCs w:val="21"/>
                      <w:highlight w:val="none"/>
                      <w:lang w:val="en-US"/>
                    </w:rPr>
                  </w:pPr>
                  <w:r>
                    <w:rPr>
                      <w:rFonts w:hint="eastAsia" w:cs="Times New Roman"/>
                      <w:color w:val="auto"/>
                      <w:kern w:val="0"/>
                      <w:sz w:val="21"/>
                      <w:szCs w:val="21"/>
                      <w:highlight w:val="none"/>
                      <w:lang w:val="en-US" w:eastAsia="zh-CN"/>
                    </w:rPr>
                    <w:t>集中收集外售水泥厂作原料</w:t>
                  </w:r>
                </w:p>
              </w:tc>
            </w:tr>
            <w:tr w14:paraId="0755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right w:val="single" w:color="auto" w:sz="4" w:space="0"/>
                  </w:tcBorders>
                  <w:noWrap w:val="0"/>
                  <w:vAlign w:val="center"/>
                </w:tcPr>
                <w:p w14:paraId="67618E4E">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车间沉降粉尘</w:t>
                  </w:r>
                </w:p>
              </w:tc>
              <w:tc>
                <w:tcPr>
                  <w:tcW w:w="573" w:type="pct"/>
                  <w:vMerge w:val="continue"/>
                  <w:tcBorders>
                    <w:left w:val="single" w:color="auto" w:sz="4" w:space="0"/>
                    <w:right w:val="single" w:color="auto" w:sz="4" w:space="0"/>
                  </w:tcBorders>
                  <w:noWrap w:val="0"/>
                  <w:vAlign w:val="center"/>
                </w:tcPr>
                <w:p w14:paraId="4097074E">
                  <w:pPr>
                    <w:jc w:val="center"/>
                    <w:rPr>
                      <w:rFonts w:hint="default" w:ascii="Times New Roman" w:hAnsi="Times New Roman" w:eastAsia="宋体" w:cs="Times New Roman"/>
                      <w:color w:val="auto"/>
                      <w:kern w:val="0"/>
                      <w:sz w:val="21"/>
                      <w:szCs w:val="21"/>
                      <w:highlight w:val="none"/>
                      <w:lang w:val="en-US" w:eastAsia="zh-CN"/>
                    </w:rPr>
                  </w:pPr>
                </w:p>
              </w:tc>
              <w:tc>
                <w:tcPr>
                  <w:tcW w:w="556" w:type="pct"/>
                  <w:tcBorders>
                    <w:top w:val="single" w:color="auto" w:sz="4" w:space="0"/>
                    <w:left w:val="single" w:color="auto" w:sz="4" w:space="0"/>
                    <w:right w:val="single" w:color="auto" w:sz="4" w:space="0"/>
                  </w:tcBorders>
                  <w:noWrap w:val="0"/>
                  <w:vAlign w:val="center"/>
                </w:tcPr>
                <w:p w14:paraId="3512D617">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固态</w:t>
                  </w:r>
                </w:p>
              </w:tc>
              <w:tc>
                <w:tcPr>
                  <w:tcW w:w="1279" w:type="pct"/>
                  <w:vMerge w:val="continue"/>
                  <w:tcBorders>
                    <w:left w:val="single" w:color="auto" w:sz="4" w:space="0"/>
                    <w:right w:val="single" w:color="auto" w:sz="4" w:space="0"/>
                  </w:tcBorders>
                  <w:noWrap w:val="0"/>
                  <w:vAlign w:val="center"/>
                </w:tcPr>
                <w:p w14:paraId="0816BA66">
                  <w:pPr>
                    <w:jc w:val="center"/>
                    <w:rPr>
                      <w:rFonts w:hint="default" w:ascii="Times New Roman" w:hAnsi="Times New Roman" w:eastAsia="宋体" w:cs="Times New Roman"/>
                      <w:color w:val="auto"/>
                      <w:kern w:val="0"/>
                      <w:sz w:val="21"/>
                      <w:szCs w:val="21"/>
                      <w:highlight w:val="none"/>
                      <w:lang w:val="en-US" w:eastAsia="zh-CN"/>
                    </w:rPr>
                  </w:pPr>
                </w:p>
              </w:tc>
              <w:tc>
                <w:tcPr>
                  <w:tcW w:w="623" w:type="pct"/>
                  <w:tcBorders>
                    <w:top w:val="single" w:color="auto" w:sz="4" w:space="0"/>
                    <w:left w:val="single" w:color="auto" w:sz="4" w:space="0"/>
                    <w:right w:val="single" w:color="auto" w:sz="4" w:space="0"/>
                  </w:tcBorders>
                  <w:noWrap w:val="0"/>
                  <w:vAlign w:val="center"/>
                </w:tcPr>
                <w:p w14:paraId="07E49841">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17.812</w:t>
                  </w:r>
                  <w:r>
                    <w:rPr>
                      <w:rFonts w:hint="default" w:ascii="Times New Roman" w:hAnsi="Times New Roman" w:eastAsia="宋体" w:cs="Times New Roman"/>
                      <w:b w:val="0"/>
                      <w:bCs w:val="0"/>
                      <w:color w:val="auto"/>
                      <w:kern w:val="0"/>
                      <w:sz w:val="21"/>
                      <w:szCs w:val="21"/>
                      <w:highlight w:val="none"/>
                    </w:rPr>
                    <w:t>t/a</w:t>
                  </w:r>
                </w:p>
              </w:tc>
              <w:tc>
                <w:tcPr>
                  <w:tcW w:w="1331" w:type="pct"/>
                  <w:vMerge w:val="continue"/>
                  <w:tcBorders>
                    <w:left w:val="single" w:color="auto" w:sz="4" w:space="0"/>
                    <w:right w:val="single" w:color="auto" w:sz="4" w:space="0"/>
                  </w:tcBorders>
                  <w:noWrap w:val="0"/>
                  <w:vAlign w:val="center"/>
                </w:tcPr>
                <w:p w14:paraId="3E901B25">
                  <w:pPr>
                    <w:jc w:val="center"/>
                    <w:rPr>
                      <w:rFonts w:hint="default" w:ascii="Times New Roman" w:hAnsi="Times New Roman" w:eastAsia="宋体" w:cs="Times New Roman"/>
                      <w:color w:val="auto"/>
                      <w:kern w:val="0"/>
                      <w:sz w:val="21"/>
                      <w:szCs w:val="21"/>
                      <w:highlight w:val="none"/>
                    </w:rPr>
                  </w:pPr>
                </w:p>
              </w:tc>
            </w:tr>
            <w:tr w14:paraId="17FEE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right w:val="single" w:color="auto" w:sz="4" w:space="0"/>
                  </w:tcBorders>
                  <w:noWrap w:val="0"/>
                  <w:vAlign w:val="center"/>
                </w:tcPr>
                <w:p w14:paraId="0334E8CC">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废旧布袋</w:t>
                  </w:r>
                </w:p>
              </w:tc>
              <w:tc>
                <w:tcPr>
                  <w:tcW w:w="573" w:type="pct"/>
                  <w:tcBorders>
                    <w:left w:val="single" w:color="auto" w:sz="4" w:space="0"/>
                    <w:right w:val="single" w:color="auto" w:sz="4" w:space="0"/>
                  </w:tcBorders>
                  <w:noWrap w:val="0"/>
                  <w:vAlign w:val="center"/>
                </w:tcPr>
                <w:p w14:paraId="4D00A028">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粉尘治理</w:t>
                  </w:r>
                </w:p>
              </w:tc>
              <w:tc>
                <w:tcPr>
                  <w:tcW w:w="556" w:type="pct"/>
                  <w:tcBorders>
                    <w:top w:val="single" w:color="auto" w:sz="4" w:space="0"/>
                    <w:left w:val="single" w:color="auto" w:sz="4" w:space="0"/>
                    <w:right w:val="single" w:color="auto" w:sz="4" w:space="0"/>
                  </w:tcBorders>
                  <w:noWrap w:val="0"/>
                  <w:vAlign w:val="center"/>
                </w:tcPr>
                <w:p w14:paraId="7632000F">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固态</w:t>
                  </w:r>
                </w:p>
              </w:tc>
              <w:tc>
                <w:tcPr>
                  <w:tcW w:w="1279" w:type="pct"/>
                  <w:tcBorders>
                    <w:left w:val="single" w:color="auto" w:sz="4" w:space="0"/>
                    <w:right w:val="single" w:color="auto" w:sz="4" w:space="0"/>
                  </w:tcBorders>
                  <w:noWrap w:val="0"/>
                  <w:vAlign w:val="center"/>
                </w:tcPr>
                <w:p w14:paraId="5F1D32D6">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w:t>
                  </w:r>
                </w:p>
              </w:tc>
              <w:tc>
                <w:tcPr>
                  <w:tcW w:w="623" w:type="pct"/>
                  <w:tcBorders>
                    <w:top w:val="single" w:color="auto" w:sz="4" w:space="0"/>
                    <w:left w:val="single" w:color="auto" w:sz="4" w:space="0"/>
                    <w:right w:val="single" w:color="auto" w:sz="4" w:space="0"/>
                  </w:tcBorders>
                  <w:noWrap w:val="0"/>
                  <w:vAlign w:val="center"/>
                </w:tcPr>
                <w:p w14:paraId="7E41C290">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0.065</w:t>
                  </w:r>
                  <w:r>
                    <w:rPr>
                      <w:rFonts w:hint="eastAsia" w:cs="Times New Roman"/>
                      <w:b w:val="0"/>
                      <w:bCs w:val="0"/>
                      <w:color w:val="auto"/>
                      <w:kern w:val="0"/>
                      <w:sz w:val="21"/>
                      <w:szCs w:val="21"/>
                      <w:highlight w:val="none"/>
                      <w:lang w:val="en-US" w:eastAsia="zh-CN"/>
                    </w:rPr>
                    <w:t>t/</w:t>
                  </w:r>
                  <w:r>
                    <w:rPr>
                      <w:rFonts w:hint="eastAsia" w:ascii="Times New Roman" w:hAnsi="Times New Roman" w:eastAsia="宋体" w:cs="Times New Roman"/>
                      <w:b w:val="0"/>
                      <w:bCs w:val="0"/>
                      <w:color w:val="auto"/>
                      <w:kern w:val="0"/>
                      <w:sz w:val="21"/>
                      <w:szCs w:val="21"/>
                      <w:highlight w:val="none"/>
                      <w:lang w:val="en-US" w:eastAsia="zh-CN"/>
                    </w:rPr>
                    <w:t>a</w:t>
                  </w:r>
                </w:p>
              </w:tc>
              <w:tc>
                <w:tcPr>
                  <w:tcW w:w="1331" w:type="pct"/>
                  <w:tcBorders>
                    <w:left w:val="single" w:color="auto" w:sz="4" w:space="0"/>
                    <w:right w:val="single" w:color="auto" w:sz="4" w:space="0"/>
                  </w:tcBorders>
                  <w:noWrap w:val="0"/>
                  <w:vAlign w:val="center"/>
                </w:tcPr>
                <w:p w14:paraId="7FF004E2">
                  <w:pPr>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回用于生产</w:t>
                  </w:r>
                </w:p>
              </w:tc>
            </w:tr>
            <w:tr w14:paraId="4B0EB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3AE95EDE">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废</w:t>
                  </w:r>
                  <w:r>
                    <w:rPr>
                      <w:rFonts w:hint="default" w:ascii="Times New Roman" w:hAnsi="Times New Roman" w:eastAsia="宋体" w:cs="Times New Roman"/>
                      <w:color w:val="auto"/>
                      <w:kern w:val="0"/>
                      <w:sz w:val="21"/>
                      <w:szCs w:val="21"/>
                      <w:highlight w:val="none"/>
                      <w:lang w:eastAsia="zh-CN"/>
                    </w:rPr>
                    <w:t>润滑油</w:t>
                  </w:r>
                </w:p>
              </w:tc>
              <w:tc>
                <w:tcPr>
                  <w:tcW w:w="573" w:type="pct"/>
                  <w:vMerge w:val="restart"/>
                  <w:tcBorders>
                    <w:left w:val="single" w:color="auto" w:sz="4" w:space="0"/>
                    <w:right w:val="single" w:color="auto" w:sz="4" w:space="0"/>
                  </w:tcBorders>
                  <w:noWrap w:val="0"/>
                  <w:vAlign w:val="center"/>
                </w:tcPr>
                <w:p w14:paraId="241C207C">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维护及</w:t>
                  </w:r>
                </w:p>
                <w:p w14:paraId="6A8B3A4C">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生产工序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5B895138">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5C2819A">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危险废物HW08</w:t>
                  </w:r>
                </w:p>
                <w:p w14:paraId="48C28A3F">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900-249-08</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7116BC49">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0.408</w:t>
                  </w:r>
                  <w:r>
                    <w:rPr>
                      <w:rFonts w:hint="default" w:ascii="Times New Roman" w:hAnsi="Times New Roman" w:eastAsia="宋体" w:cs="Times New Roman"/>
                      <w:b w:val="0"/>
                      <w:bCs w:val="0"/>
                      <w:color w:val="auto"/>
                      <w:kern w:val="0"/>
                      <w:sz w:val="21"/>
                      <w:szCs w:val="21"/>
                      <w:highlight w:val="none"/>
                    </w:rPr>
                    <w:t>t/a</w:t>
                  </w:r>
                </w:p>
              </w:tc>
              <w:tc>
                <w:tcPr>
                  <w:tcW w:w="1331" w:type="pct"/>
                  <w:vMerge w:val="restart"/>
                  <w:tcBorders>
                    <w:left w:val="single" w:color="auto" w:sz="4" w:space="0"/>
                    <w:right w:val="single" w:color="auto" w:sz="4" w:space="0"/>
                  </w:tcBorders>
                  <w:noWrap w:val="0"/>
                  <w:vAlign w:val="center"/>
                </w:tcPr>
                <w:p w14:paraId="4C3172E6">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统一收集后</w:t>
                  </w:r>
                  <w:r>
                    <w:rPr>
                      <w:rFonts w:hint="eastAsia" w:ascii="Times New Roman" w:hAnsi="Times New Roman" w:eastAsia="宋体" w:cs="Times New Roman"/>
                      <w:color w:val="auto"/>
                      <w:kern w:val="0"/>
                      <w:sz w:val="21"/>
                      <w:szCs w:val="21"/>
                      <w:highlight w:val="none"/>
                      <w:lang w:val="en-US" w:eastAsia="zh-CN"/>
                    </w:rPr>
                    <w:t>暂存于危废贮存库，定期</w:t>
                  </w:r>
                  <w:r>
                    <w:rPr>
                      <w:rFonts w:hint="default" w:ascii="Times New Roman" w:hAnsi="Times New Roman" w:eastAsia="宋体" w:cs="Times New Roman"/>
                      <w:color w:val="auto"/>
                      <w:kern w:val="0"/>
                      <w:sz w:val="21"/>
                      <w:szCs w:val="21"/>
                      <w:highlight w:val="none"/>
                      <w:lang w:val="en-US" w:eastAsia="zh-CN"/>
                    </w:rPr>
                    <w:t>交由有资质单位</w:t>
                  </w:r>
                  <w:r>
                    <w:rPr>
                      <w:rFonts w:hint="eastAsia" w:ascii="Times New Roman" w:hAnsi="Times New Roman" w:eastAsia="宋体" w:cs="Times New Roman"/>
                      <w:color w:val="auto"/>
                      <w:kern w:val="0"/>
                      <w:sz w:val="21"/>
                      <w:szCs w:val="21"/>
                      <w:highlight w:val="none"/>
                      <w:lang w:val="en-US" w:eastAsia="zh-CN"/>
                    </w:rPr>
                    <w:t>处置</w:t>
                  </w:r>
                </w:p>
                <w:p w14:paraId="7448EED8">
                  <w:pPr>
                    <w:jc w:val="center"/>
                    <w:rPr>
                      <w:rFonts w:hint="default" w:ascii="Times New Roman" w:hAnsi="Times New Roman" w:eastAsia="宋体" w:cs="Times New Roman"/>
                      <w:color w:val="auto"/>
                      <w:kern w:val="0"/>
                      <w:sz w:val="21"/>
                      <w:szCs w:val="21"/>
                      <w:highlight w:val="none"/>
                    </w:rPr>
                  </w:pPr>
                </w:p>
              </w:tc>
            </w:tr>
            <w:tr w14:paraId="6AA1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5443ABD3">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废油桶</w:t>
                  </w:r>
                </w:p>
              </w:tc>
              <w:tc>
                <w:tcPr>
                  <w:tcW w:w="573" w:type="pct"/>
                  <w:vMerge w:val="continue"/>
                  <w:tcBorders>
                    <w:left w:val="single" w:color="auto" w:sz="4" w:space="0"/>
                    <w:right w:val="single" w:color="auto" w:sz="4" w:space="0"/>
                  </w:tcBorders>
                  <w:noWrap w:val="0"/>
                  <w:vAlign w:val="center"/>
                </w:tcPr>
                <w:p w14:paraId="14FE1FDF">
                  <w:pPr>
                    <w:jc w:val="center"/>
                    <w:rPr>
                      <w:rFonts w:hint="default" w:ascii="Times New Roman" w:hAnsi="Times New Roman" w:eastAsia="宋体" w:cs="Times New Roman"/>
                      <w:color w:val="auto"/>
                      <w:kern w:val="0"/>
                      <w:sz w:val="21"/>
                      <w:szCs w:val="21"/>
                      <w:highlight w:val="none"/>
                    </w:rPr>
                  </w:pPr>
                </w:p>
              </w:tc>
              <w:tc>
                <w:tcPr>
                  <w:tcW w:w="556" w:type="pct"/>
                  <w:tcBorders>
                    <w:top w:val="single" w:color="auto" w:sz="4" w:space="0"/>
                    <w:left w:val="single" w:color="auto" w:sz="4" w:space="0"/>
                    <w:bottom w:val="single" w:color="auto" w:sz="4" w:space="0"/>
                    <w:right w:val="single" w:color="auto" w:sz="4" w:space="0"/>
                  </w:tcBorders>
                  <w:noWrap w:val="0"/>
                  <w:vAlign w:val="center"/>
                </w:tcPr>
                <w:p w14:paraId="7799E51A">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55FFAC26">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危险废物HW08</w:t>
                  </w:r>
                </w:p>
                <w:p w14:paraId="79BF1566">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900-249-08</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1B9D6445">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0.02</w:t>
                  </w:r>
                  <w:r>
                    <w:rPr>
                      <w:rFonts w:hint="default" w:ascii="Times New Roman" w:hAnsi="Times New Roman" w:eastAsia="宋体" w:cs="Times New Roman"/>
                      <w:b w:val="0"/>
                      <w:bCs w:val="0"/>
                      <w:color w:val="auto"/>
                      <w:kern w:val="0"/>
                      <w:sz w:val="21"/>
                      <w:szCs w:val="21"/>
                      <w:highlight w:val="none"/>
                    </w:rPr>
                    <w:t>t/a</w:t>
                  </w:r>
                </w:p>
              </w:tc>
              <w:tc>
                <w:tcPr>
                  <w:tcW w:w="1331" w:type="pct"/>
                  <w:vMerge w:val="continue"/>
                  <w:tcBorders>
                    <w:left w:val="single" w:color="auto" w:sz="4" w:space="0"/>
                    <w:right w:val="single" w:color="auto" w:sz="4" w:space="0"/>
                  </w:tcBorders>
                  <w:noWrap w:val="0"/>
                  <w:vAlign w:val="center"/>
                </w:tcPr>
                <w:p w14:paraId="23D2F0ED">
                  <w:pPr>
                    <w:jc w:val="center"/>
                    <w:rPr>
                      <w:rFonts w:hint="default" w:ascii="Times New Roman" w:hAnsi="Times New Roman" w:eastAsia="宋体" w:cs="Times New Roman"/>
                      <w:color w:val="auto"/>
                      <w:kern w:val="0"/>
                      <w:sz w:val="21"/>
                      <w:szCs w:val="21"/>
                      <w:highlight w:val="none"/>
                    </w:rPr>
                  </w:pPr>
                </w:p>
              </w:tc>
            </w:tr>
            <w:tr w14:paraId="04DC7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2E43A798">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含油抹布及手套</w:t>
                  </w:r>
                </w:p>
              </w:tc>
              <w:tc>
                <w:tcPr>
                  <w:tcW w:w="573" w:type="pct"/>
                  <w:vMerge w:val="continue"/>
                  <w:tcBorders>
                    <w:left w:val="single" w:color="auto" w:sz="4" w:space="0"/>
                    <w:right w:val="single" w:color="auto" w:sz="4" w:space="0"/>
                  </w:tcBorders>
                  <w:noWrap w:val="0"/>
                  <w:vAlign w:val="center"/>
                </w:tcPr>
                <w:p w14:paraId="40405F67">
                  <w:pPr>
                    <w:jc w:val="center"/>
                    <w:rPr>
                      <w:rFonts w:hint="default" w:ascii="Times New Roman" w:hAnsi="Times New Roman" w:eastAsia="宋体" w:cs="Times New Roman"/>
                      <w:color w:val="auto"/>
                      <w:kern w:val="0"/>
                      <w:sz w:val="21"/>
                      <w:szCs w:val="21"/>
                      <w:highlight w:val="none"/>
                      <w:lang w:val="en-US" w:eastAsia="zh-CN"/>
                    </w:rPr>
                  </w:pPr>
                </w:p>
              </w:tc>
              <w:tc>
                <w:tcPr>
                  <w:tcW w:w="556" w:type="pct"/>
                  <w:tcBorders>
                    <w:top w:val="single" w:color="auto" w:sz="4" w:space="0"/>
                    <w:left w:val="single" w:color="auto" w:sz="4" w:space="0"/>
                    <w:bottom w:val="single" w:color="auto" w:sz="4" w:space="0"/>
                    <w:right w:val="single" w:color="auto" w:sz="4" w:space="0"/>
                  </w:tcBorders>
                  <w:noWrap w:val="0"/>
                  <w:vAlign w:val="center"/>
                </w:tcPr>
                <w:p w14:paraId="2B58EFFE">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0E483BE6">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危险废物HW</w:t>
                  </w:r>
                  <w:r>
                    <w:rPr>
                      <w:rFonts w:hint="default" w:ascii="Times New Roman" w:hAnsi="Times New Roman" w:eastAsia="宋体" w:cs="Times New Roman"/>
                      <w:color w:val="auto"/>
                      <w:kern w:val="0"/>
                      <w:sz w:val="21"/>
                      <w:szCs w:val="21"/>
                      <w:highlight w:val="none"/>
                      <w:lang w:val="en-US" w:eastAsia="zh-CN"/>
                    </w:rPr>
                    <w:t>49</w:t>
                  </w:r>
                </w:p>
                <w:p w14:paraId="50984617">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900-041-49</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6D2FC6CA">
                  <w:pPr>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0.01</w:t>
                  </w:r>
                  <w:r>
                    <w:rPr>
                      <w:rFonts w:hint="default" w:ascii="Times New Roman" w:hAnsi="Times New Roman" w:eastAsia="宋体" w:cs="Times New Roman"/>
                      <w:b w:val="0"/>
                      <w:bCs w:val="0"/>
                      <w:color w:val="auto"/>
                      <w:kern w:val="0"/>
                      <w:sz w:val="21"/>
                      <w:szCs w:val="21"/>
                      <w:highlight w:val="none"/>
                    </w:rPr>
                    <w:t>t/a</w:t>
                  </w:r>
                </w:p>
              </w:tc>
              <w:tc>
                <w:tcPr>
                  <w:tcW w:w="1331" w:type="pct"/>
                  <w:vMerge w:val="continue"/>
                  <w:tcBorders>
                    <w:left w:val="single" w:color="auto" w:sz="4" w:space="0"/>
                    <w:right w:val="single" w:color="auto" w:sz="4" w:space="0"/>
                  </w:tcBorders>
                  <w:noWrap w:val="0"/>
                  <w:vAlign w:val="center"/>
                </w:tcPr>
                <w:p w14:paraId="5875C9FB">
                  <w:pPr>
                    <w:jc w:val="center"/>
                    <w:rPr>
                      <w:rFonts w:hint="default" w:ascii="Times New Roman" w:hAnsi="Times New Roman" w:eastAsia="宋体" w:cs="Times New Roman"/>
                      <w:color w:val="auto"/>
                      <w:kern w:val="0"/>
                      <w:sz w:val="21"/>
                      <w:szCs w:val="21"/>
                      <w:highlight w:val="none"/>
                    </w:rPr>
                  </w:pPr>
                </w:p>
              </w:tc>
            </w:tr>
          </w:tbl>
          <w:p w14:paraId="1F4789DD">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4.2固体废物环境管理要求</w:t>
            </w:r>
          </w:p>
          <w:p w14:paraId="10EAE13F">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kern w:val="2"/>
                <w:sz w:val="24"/>
                <w:szCs w:val="24"/>
                <w:highlight w:val="none"/>
                <w:lang w:val="en-US" w:eastAsia="zh-CN" w:bidi="ar-SA"/>
              </w:rPr>
              <w:t>（1）</w:t>
            </w:r>
            <w:r>
              <w:rPr>
                <w:rFonts w:hint="default" w:ascii="Times New Roman" w:hAnsi="Times New Roman" w:cs="Times New Roman"/>
                <w:b/>
                <w:bCs w:val="0"/>
                <w:color w:val="auto"/>
                <w:spacing w:val="-10"/>
                <w:sz w:val="24"/>
                <w:szCs w:val="24"/>
                <w:highlight w:val="none"/>
                <w:lang w:val="en-US" w:eastAsia="zh-CN"/>
              </w:rPr>
              <w:t>生活垃圾</w:t>
            </w:r>
          </w:p>
          <w:p w14:paraId="724027C3">
            <w:pPr>
              <w:spacing w:line="360" w:lineRule="auto"/>
              <w:ind w:firstLine="480" w:firstLineChars="200"/>
              <w:rPr>
                <w:rFonts w:hint="default" w:ascii="Times New Roman" w:hAnsi="Times New Roman" w:eastAsia="宋体" w:cs="Times New Roman"/>
                <w:color w:val="auto"/>
                <w:kern w:val="0"/>
                <w:sz w:val="24"/>
                <w:szCs w:val="20"/>
                <w:highlight w:val="none"/>
                <w:lang w:val="en-US" w:eastAsia="zh-CN"/>
              </w:rPr>
            </w:pPr>
            <w:r>
              <w:rPr>
                <w:rFonts w:hint="default" w:ascii="Times New Roman" w:hAnsi="Times New Roman" w:eastAsia="宋体" w:cs="Times New Roman"/>
                <w:color w:val="auto"/>
                <w:kern w:val="0"/>
                <w:sz w:val="24"/>
                <w:szCs w:val="20"/>
                <w:highlight w:val="none"/>
                <w:lang w:val="en-US" w:eastAsia="zh-CN"/>
              </w:rPr>
              <w:t>本项目运营期</w:t>
            </w:r>
            <w:r>
              <w:rPr>
                <w:rFonts w:hint="default" w:ascii="Times New Roman" w:hAnsi="Times New Roman" w:eastAsia="宋体" w:cs="Times New Roman"/>
                <w:color w:val="auto"/>
                <w:kern w:val="0"/>
                <w:sz w:val="24"/>
                <w:szCs w:val="20"/>
                <w:highlight w:val="none"/>
              </w:rPr>
              <w:t>生活垃圾</w:t>
            </w:r>
            <w:r>
              <w:rPr>
                <w:rFonts w:hint="default" w:ascii="Times New Roman" w:hAnsi="Times New Roman" w:eastAsia="宋体" w:cs="Times New Roman"/>
                <w:color w:val="auto"/>
                <w:kern w:val="0"/>
                <w:sz w:val="24"/>
                <w:szCs w:val="20"/>
                <w:highlight w:val="none"/>
                <w:lang w:val="en-US" w:eastAsia="zh-CN"/>
              </w:rPr>
              <w:t>主要为员工生活垃圾等，</w:t>
            </w:r>
            <w:r>
              <w:rPr>
                <w:rFonts w:hint="default" w:ascii="Times New Roman" w:hAnsi="Times New Roman" w:eastAsia="宋体" w:cs="Times New Roman"/>
                <w:color w:val="auto"/>
                <w:kern w:val="0"/>
                <w:sz w:val="24"/>
                <w:szCs w:val="20"/>
                <w:highlight w:val="none"/>
              </w:rPr>
              <w:t>建设单位根据《西安市生活垃圾分类管理办法》中规定，按要求将生活垃圾分为可回收物、有害垃圾、厨余垃圾、其他垃圾，分类投放，分类收集，由环卫部门定期集中清运。</w:t>
            </w:r>
          </w:p>
          <w:p w14:paraId="7627AD79">
            <w:pPr>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0"/>
                <w:highlight w:val="none"/>
              </w:rPr>
              <w:t>再交由环卫部门统一清运处理。</w:t>
            </w:r>
          </w:p>
          <w:p w14:paraId="63DDCB2F">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kern w:val="2"/>
                <w:sz w:val="24"/>
                <w:szCs w:val="24"/>
                <w:highlight w:val="none"/>
                <w:lang w:val="en-US" w:eastAsia="zh-CN" w:bidi="ar-SA"/>
              </w:rPr>
              <w:t>（2）</w:t>
            </w:r>
            <w:r>
              <w:rPr>
                <w:rFonts w:hint="default" w:ascii="Times New Roman" w:hAnsi="Times New Roman" w:cs="Times New Roman"/>
                <w:b/>
                <w:bCs w:val="0"/>
                <w:color w:val="auto"/>
                <w:spacing w:val="-10"/>
                <w:sz w:val="24"/>
                <w:szCs w:val="24"/>
                <w:highlight w:val="none"/>
                <w:lang w:val="en-US" w:eastAsia="zh-CN"/>
              </w:rPr>
              <w:t>一般固体废物</w:t>
            </w:r>
          </w:p>
          <w:p w14:paraId="2AFC500B">
            <w:pPr>
              <w:numPr>
                <w:ilvl w:val="0"/>
                <w:numId w:val="0"/>
              </w:numPr>
              <w:adjustRightInd w:val="0"/>
              <w:snapToGrid w:val="0"/>
              <w:spacing w:line="360" w:lineRule="auto"/>
              <w:ind w:firstLine="480" w:firstLineChars="200"/>
              <w:rPr>
                <w:rFonts w:hint="default" w:ascii="Times New Roman" w:hAnsi="Times New Roman" w:eastAsia="宋体" w:cs="Times New Roman"/>
                <w:color w:val="auto"/>
                <w:kern w:val="0"/>
                <w:sz w:val="24"/>
                <w:szCs w:val="20"/>
                <w:highlight w:val="none"/>
                <w:lang w:val="en-US"/>
              </w:rPr>
            </w:pPr>
            <w:r>
              <w:rPr>
                <w:rFonts w:hint="default" w:ascii="Times New Roman" w:hAnsi="Times New Roman" w:eastAsia="宋体" w:cs="Times New Roman"/>
                <w:color w:val="auto"/>
                <w:kern w:val="0"/>
                <w:sz w:val="24"/>
                <w:szCs w:val="20"/>
                <w:highlight w:val="none"/>
              </w:rPr>
              <w:t>本项目</w:t>
            </w:r>
            <w:r>
              <w:rPr>
                <w:rFonts w:hint="default" w:ascii="Times New Roman" w:hAnsi="Times New Roman" w:eastAsia="宋体" w:cs="Times New Roman"/>
                <w:color w:val="auto"/>
                <w:kern w:val="0"/>
                <w:sz w:val="24"/>
                <w:szCs w:val="20"/>
                <w:highlight w:val="none"/>
                <w:lang w:val="en-US" w:eastAsia="zh-CN"/>
              </w:rPr>
              <w:t>运营期</w:t>
            </w:r>
            <w:r>
              <w:rPr>
                <w:rFonts w:hint="default" w:ascii="Times New Roman" w:hAnsi="Times New Roman" w:eastAsia="宋体" w:cs="Times New Roman"/>
                <w:color w:val="auto"/>
                <w:kern w:val="0"/>
                <w:sz w:val="24"/>
                <w:szCs w:val="20"/>
                <w:highlight w:val="none"/>
              </w:rPr>
              <w:t>一般</w:t>
            </w:r>
            <w:r>
              <w:rPr>
                <w:rFonts w:hint="default" w:ascii="Times New Roman" w:hAnsi="Times New Roman" w:eastAsia="宋体" w:cs="Times New Roman"/>
                <w:color w:val="auto"/>
                <w:kern w:val="0"/>
                <w:sz w:val="24"/>
                <w:szCs w:val="20"/>
                <w:highlight w:val="none"/>
                <w:lang w:val="en-US" w:eastAsia="zh-CN"/>
              </w:rPr>
              <w:t>固体废物</w:t>
            </w:r>
            <w:r>
              <w:rPr>
                <w:rFonts w:hint="default" w:ascii="Times New Roman" w:hAnsi="Times New Roman" w:eastAsia="宋体" w:cs="Times New Roman"/>
                <w:color w:val="auto"/>
                <w:kern w:val="0"/>
                <w:sz w:val="24"/>
                <w:szCs w:val="20"/>
                <w:highlight w:val="none"/>
              </w:rPr>
              <w:t>主要为</w:t>
            </w:r>
            <w:r>
              <w:rPr>
                <w:rFonts w:hint="eastAsia" w:ascii="Times New Roman" w:hAnsi="Times New Roman" w:eastAsia="宋体" w:cs="Times New Roman"/>
                <w:color w:val="auto"/>
                <w:kern w:val="0"/>
                <w:sz w:val="24"/>
                <w:szCs w:val="20"/>
                <w:highlight w:val="none"/>
                <w:lang w:eastAsia="zh-CN"/>
              </w:rPr>
              <w:t>废铁</w:t>
            </w:r>
            <w:r>
              <w:rPr>
                <w:rFonts w:hint="eastAsia" w:ascii="Times New Roman" w:hAnsi="Times New Roman" w:eastAsia="宋体" w:cs="Times New Roman"/>
                <w:color w:val="auto"/>
                <w:kern w:val="0"/>
                <w:sz w:val="24"/>
                <w:szCs w:val="20"/>
                <w:highlight w:val="none"/>
                <w:lang w:val="en-US" w:eastAsia="zh-CN"/>
              </w:rPr>
              <w:t>等</w:t>
            </w:r>
            <w:r>
              <w:rPr>
                <w:rFonts w:hint="eastAsia" w:ascii="Times New Roman" w:hAnsi="Times New Roman" w:eastAsia="宋体" w:cs="Times New Roman"/>
                <w:color w:val="auto"/>
                <w:kern w:val="0"/>
                <w:sz w:val="24"/>
                <w:szCs w:val="20"/>
                <w:highlight w:val="none"/>
                <w:lang w:eastAsia="zh-CN"/>
              </w:rPr>
              <w:t>金属</w:t>
            </w:r>
            <w:r>
              <w:rPr>
                <w:rFonts w:hint="eastAsia" w:ascii="Times New Roman" w:hAnsi="Times New Roman" w:eastAsia="宋体" w:cs="Times New Roman"/>
                <w:color w:val="auto"/>
                <w:kern w:val="0"/>
                <w:sz w:val="24"/>
                <w:szCs w:val="20"/>
                <w:highlight w:val="none"/>
                <w:lang w:val="en-US" w:eastAsia="zh-CN"/>
              </w:rPr>
              <w:t>、</w:t>
            </w:r>
            <w:r>
              <w:rPr>
                <w:rFonts w:hint="default" w:ascii="Times New Roman" w:hAnsi="Times New Roman" w:eastAsia="宋体" w:cs="Times New Roman"/>
                <w:color w:val="auto"/>
                <w:kern w:val="0"/>
                <w:sz w:val="24"/>
                <w:szCs w:val="20"/>
                <w:highlight w:val="none"/>
              </w:rPr>
              <w:t>除尘灰、</w:t>
            </w:r>
            <w:r>
              <w:rPr>
                <w:rFonts w:hint="eastAsia" w:ascii="Times New Roman" w:hAnsi="Times New Roman" w:eastAsia="宋体" w:cs="Times New Roman"/>
                <w:color w:val="auto"/>
                <w:kern w:val="0"/>
                <w:sz w:val="24"/>
                <w:szCs w:val="20"/>
                <w:highlight w:val="none"/>
                <w:lang w:val="en-US" w:eastAsia="zh-CN"/>
              </w:rPr>
              <w:t>车间沉降粉尘和废旧布袋</w:t>
            </w:r>
            <w:r>
              <w:rPr>
                <w:rFonts w:hint="default" w:ascii="Times New Roman" w:hAnsi="Times New Roman" w:eastAsia="宋体" w:cs="Times New Roman"/>
                <w:color w:val="auto"/>
                <w:kern w:val="0"/>
                <w:sz w:val="24"/>
                <w:szCs w:val="20"/>
                <w:highlight w:val="none"/>
                <w:lang w:eastAsia="zh-CN"/>
              </w:rPr>
              <w:t>，</w:t>
            </w:r>
            <w:r>
              <w:rPr>
                <w:rFonts w:hint="default" w:ascii="Times New Roman" w:hAnsi="Times New Roman" w:eastAsia="宋体" w:cs="Times New Roman"/>
                <w:color w:val="auto"/>
                <w:kern w:val="0"/>
                <w:sz w:val="24"/>
                <w:szCs w:val="20"/>
                <w:highlight w:val="none"/>
              </w:rPr>
              <w:t>成分主要为</w:t>
            </w:r>
            <w:r>
              <w:rPr>
                <w:rFonts w:hint="eastAsia" w:ascii="Times New Roman" w:hAnsi="Times New Roman" w:eastAsia="宋体" w:cs="Times New Roman"/>
                <w:color w:val="auto"/>
                <w:kern w:val="0"/>
                <w:sz w:val="24"/>
                <w:szCs w:val="20"/>
                <w:highlight w:val="none"/>
                <w:lang w:val="en-US" w:eastAsia="zh-CN"/>
              </w:rPr>
              <w:t>粉尘、废旧布袋和</w:t>
            </w:r>
            <w:r>
              <w:rPr>
                <w:rFonts w:hint="default" w:ascii="Times New Roman" w:hAnsi="Times New Roman" w:eastAsia="宋体" w:cs="Times New Roman"/>
                <w:color w:val="auto"/>
                <w:kern w:val="0"/>
                <w:sz w:val="24"/>
                <w:szCs w:val="20"/>
                <w:highlight w:val="none"/>
                <w:lang w:val="en-US" w:eastAsia="zh-CN"/>
              </w:rPr>
              <w:t>金属</w:t>
            </w:r>
            <w:r>
              <w:rPr>
                <w:rFonts w:hint="default" w:ascii="Times New Roman" w:hAnsi="Times New Roman" w:eastAsia="宋体" w:cs="Times New Roman"/>
                <w:color w:val="auto"/>
                <w:kern w:val="0"/>
                <w:sz w:val="24"/>
                <w:szCs w:val="20"/>
                <w:highlight w:val="none"/>
              </w:rPr>
              <w:t>等</w:t>
            </w:r>
            <w:r>
              <w:rPr>
                <w:rFonts w:hint="default" w:ascii="Times New Roman" w:hAnsi="Times New Roman" w:eastAsia="宋体" w:cs="Times New Roman"/>
                <w:color w:val="auto"/>
                <w:kern w:val="0"/>
                <w:sz w:val="24"/>
                <w:szCs w:val="20"/>
                <w:highlight w:val="none"/>
                <w:lang w:val="en-US" w:eastAsia="zh-CN"/>
              </w:rPr>
              <w:t>。</w:t>
            </w:r>
            <w:r>
              <w:rPr>
                <w:rFonts w:hint="eastAsia" w:ascii="Times New Roman" w:hAnsi="Times New Roman" w:eastAsia="宋体" w:cs="Times New Roman"/>
                <w:color w:val="auto"/>
                <w:kern w:val="0"/>
                <w:sz w:val="24"/>
                <w:szCs w:val="20"/>
                <w:highlight w:val="none"/>
                <w:lang w:eastAsia="zh-CN"/>
              </w:rPr>
              <w:t>废铁</w:t>
            </w:r>
            <w:r>
              <w:rPr>
                <w:rFonts w:hint="eastAsia" w:ascii="Times New Roman" w:hAnsi="Times New Roman" w:eastAsia="宋体" w:cs="Times New Roman"/>
                <w:color w:val="auto"/>
                <w:kern w:val="0"/>
                <w:sz w:val="24"/>
                <w:szCs w:val="20"/>
                <w:highlight w:val="none"/>
                <w:lang w:val="en-US" w:eastAsia="zh-CN"/>
              </w:rPr>
              <w:t>等金属</w:t>
            </w:r>
            <w:r>
              <w:rPr>
                <w:rFonts w:hint="default" w:ascii="Times New Roman" w:hAnsi="Times New Roman" w:eastAsia="宋体" w:cs="Times New Roman"/>
                <w:color w:val="auto"/>
                <w:kern w:val="0"/>
                <w:sz w:val="24"/>
                <w:szCs w:val="20"/>
                <w:highlight w:val="none"/>
                <w:lang w:eastAsia="zh-CN"/>
              </w:rPr>
              <w:t>收集后</w:t>
            </w:r>
            <w:r>
              <w:rPr>
                <w:rFonts w:hint="default" w:ascii="Times New Roman" w:hAnsi="Times New Roman" w:eastAsia="宋体" w:cs="Times New Roman"/>
                <w:color w:val="auto"/>
                <w:kern w:val="0"/>
                <w:sz w:val="24"/>
                <w:szCs w:val="20"/>
                <w:highlight w:val="none"/>
                <w:lang w:val="en-US" w:eastAsia="zh-CN"/>
              </w:rPr>
              <w:t>暂存在</w:t>
            </w:r>
            <w:r>
              <w:rPr>
                <w:rFonts w:hint="eastAsia" w:ascii="Times New Roman" w:hAnsi="Times New Roman" w:eastAsia="宋体" w:cs="Times New Roman"/>
                <w:color w:val="auto"/>
                <w:kern w:val="0"/>
                <w:sz w:val="24"/>
                <w:szCs w:val="20"/>
                <w:highlight w:val="none"/>
                <w:lang w:val="en-US" w:eastAsia="zh-CN"/>
              </w:rPr>
              <w:t>一般固废暂存间</w:t>
            </w:r>
            <w:r>
              <w:rPr>
                <w:rFonts w:hint="default" w:ascii="Times New Roman" w:hAnsi="Times New Roman" w:eastAsia="宋体" w:cs="Times New Roman"/>
                <w:color w:val="auto"/>
                <w:kern w:val="0"/>
                <w:sz w:val="24"/>
                <w:szCs w:val="20"/>
                <w:highlight w:val="none"/>
                <w:lang w:val="en-US" w:eastAsia="zh-CN"/>
              </w:rPr>
              <w:t>，</w:t>
            </w:r>
            <w:r>
              <w:rPr>
                <w:rFonts w:hint="default" w:ascii="Times New Roman" w:hAnsi="Times New Roman" w:eastAsia="宋体" w:cs="Times New Roman"/>
                <w:color w:val="auto"/>
                <w:kern w:val="0"/>
                <w:sz w:val="24"/>
                <w:szCs w:val="20"/>
                <w:highlight w:val="none"/>
                <w:lang w:eastAsia="zh-CN"/>
              </w:rPr>
              <w:t>统一外售处理</w:t>
            </w:r>
            <w:r>
              <w:rPr>
                <w:rFonts w:hint="eastAsia" w:ascii="Times New Roman" w:hAnsi="Times New Roman" w:eastAsia="宋体" w:cs="Times New Roman"/>
                <w:color w:val="auto"/>
                <w:kern w:val="0"/>
                <w:sz w:val="24"/>
                <w:szCs w:val="20"/>
                <w:highlight w:val="none"/>
                <w:lang w:eastAsia="zh-CN"/>
              </w:rPr>
              <w:t>；</w:t>
            </w:r>
            <w:r>
              <w:rPr>
                <w:rFonts w:hint="default" w:ascii="Times New Roman" w:hAnsi="Times New Roman" w:eastAsia="宋体" w:cs="Times New Roman"/>
                <w:color w:val="auto"/>
                <w:kern w:val="0"/>
                <w:sz w:val="24"/>
                <w:szCs w:val="20"/>
                <w:highlight w:val="none"/>
                <w:lang w:eastAsia="zh-CN"/>
              </w:rPr>
              <w:t>除尘灰、</w:t>
            </w:r>
            <w:r>
              <w:rPr>
                <w:rFonts w:hint="eastAsia" w:ascii="Times New Roman" w:hAnsi="Times New Roman" w:eastAsia="宋体" w:cs="Times New Roman"/>
                <w:color w:val="auto"/>
                <w:kern w:val="0"/>
                <w:sz w:val="24"/>
                <w:szCs w:val="20"/>
                <w:highlight w:val="none"/>
                <w:lang w:val="en-US" w:eastAsia="zh-CN"/>
              </w:rPr>
              <w:t>车间沉降粉尘</w:t>
            </w:r>
            <w:r>
              <w:rPr>
                <w:rFonts w:hint="eastAsia" w:cs="Times New Roman"/>
                <w:color w:val="auto"/>
                <w:kern w:val="0"/>
                <w:sz w:val="24"/>
                <w:szCs w:val="20"/>
                <w:highlight w:val="none"/>
                <w:lang w:val="en-US" w:eastAsia="zh-CN"/>
              </w:rPr>
              <w:t>集中收集外售水泥厂作原料</w:t>
            </w:r>
            <w:r>
              <w:rPr>
                <w:rFonts w:hint="eastAsia" w:ascii="Times New Roman" w:hAnsi="Times New Roman" w:eastAsia="宋体" w:cs="Times New Roman"/>
                <w:color w:val="auto"/>
                <w:kern w:val="0"/>
                <w:sz w:val="24"/>
                <w:szCs w:val="20"/>
                <w:highlight w:val="none"/>
                <w:lang w:val="en-US" w:eastAsia="zh-CN"/>
              </w:rPr>
              <w:t>；废旧布袋回用于生产。</w:t>
            </w:r>
          </w:p>
          <w:p w14:paraId="0B5800FA">
            <w:pPr>
              <w:numPr>
                <w:ilvl w:val="0"/>
                <w:numId w:val="0"/>
              </w:numPr>
              <w:adjustRightInd w:val="0"/>
              <w:snapToGrid w:val="0"/>
              <w:spacing w:line="360" w:lineRule="auto"/>
              <w:ind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kern w:val="0"/>
                <w:sz w:val="24"/>
                <w:szCs w:val="20"/>
                <w:highlight w:val="none"/>
              </w:rPr>
              <w:t>一般固体废物贮存场，禁止危险废物和生活垃圾混入。</w:t>
            </w:r>
            <w:r>
              <w:rPr>
                <w:rFonts w:hint="eastAsia" w:ascii="Times New Roman" w:hAnsi="Times New Roman" w:eastAsia="宋体" w:cs="Times New Roman"/>
                <w:color w:val="auto"/>
                <w:kern w:val="0"/>
                <w:sz w:val="24"/>
                <w:szCs w:val="20"/>
                <w:highlight w:val="none"/>
                <w:lang w:val="en-US" w:eastAsia="zh-CN"/>
              </w:rPr>
              <w:t>建设单位</w:t>
            </w:r>
            <w:r>
              <w:rPr>
                <w:rFonts w:hint="default" w:ascii="Times New Roman" w:hAnsi="Times New Roman" w:eastAsia="宋体" w:cs="Times New Roman"/>
                <w:color w:val="auto"/>
                <w:kern w:val="0"/>
                <w:sz w:val="24"/>
                <w:szCs w:val="20"/>
                <w:highlight w:val="none"/>
              </w:rPr>
              <w:t>应建立检查维护制度</w:t>
            </w:r>
            <w:r>
              <w:rPr>
                <w:rFonts w:hint="eastAsia" w:ascii="Times New Roman" w:hAnsi="Times New Roman" w:eastAsia="宋体" w:cs="Times New Roman"/>
                <w:color w:val="auto"/>
                <w:kern w:val="0"/>
                <w:sz w:val="24"/>
                <w:szCs w:val="20"/>
                <w:highlight w:val="none"/>
                <w:lang w:eastAsia="zh-CN"/>
              </w:rPr>
              <w:t>、</w:t>
            </w:r>
            <w:r>
              <w:rPr>
                <w:rFonts w:hint="default" w:ascii="Times New Roman" w:hAnsi="Times New Roman" w:eastAsia="宋体" w:cs="Times New Roman"/>
                <w:color w:val="auto"/>
                <w:kern w:val="0"/>
                <w:sz w:val="24"/>
                <w:szCs w:val="20"/>
                <w:highlight w:val="none"/>
              </w:rPr>
              <w:t>档案制度。应将入场的一般固体废物的种类和数量，详细记录在案，长期保存，供随时查阅。贮存、</w:t>
            </w:r>
            <w:r>
              <w:rPr>
                <w:rFonts w:hint="default" w:ascii="Times New Roman" w:hAnsi="Times New Roman" w:eastAsia="宋体" w:cs="Times New Roman"/>
                <w:color w:val="auto"/>
                <w:kern w:val="0"/>
                <w:sz w:val="24"/>
                <w:highlight w:val="none"/>
              </w:rPr>
              <w:t>处置场的环境保护图形标志，应按相关规定进行检查和维护。</w:t>
            </w:r>
          </w:p>
          <w:p w14:paraId="69FEB6AD">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kern w:val="2"/>
                <w:sz w:val="24"/>
                <w:szCs w:val="24"/>
                <w:highlight w:val="none"/>
                <w:lang w:val="en-US" w:eastAsia="zh-CN" w:bidi="ar-SA"/>
              </w:rPr>
              <w:t>（3）</w:t>
            </w:r>
            <w:r>
              <w:rPr>
                <w:rFonts w:hint="default" w:ascii="Times New Roman" w:hAnsi="Times New Roman" w:cs="Times New Roman"/>
                <w:b/>
                <w:bCs w:val="0"/>
                <w:color w:val="auto"/>
                <w:spacing w:val="-10"/>
                <w:sz w:val="24"/>
                <w:szCs w:val="24"/>
                <w:highlight w:val="none"/>
                <w:lang w:val="en-US" w:eastAsia="zh-CN"/>
              </w:rPr>
              <w:t>危险废物</w:t>
            </w:r>
          </w:p>
          <w:p w14:paraId="6C1D1318">
            <w:pPr>
              <w:numPr>
                <w:ilvl w:val="0"/>
                <w:numId w:val="0"/>
              </w:numPr>
              <w:adjustRightInd w:val="0"/>
              <w:snapToGrid w:val="0"/>
              <w:spacing w:line="360" w:lineRule="auto"/>
              <w:ind w:firstLine="44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b w:val="0"/>
                <w:bCs/>
                <w:color w:val="auto"/>
                <w:spacing w:val="-10"/>
                <w:sz w:val="24"/>
                <w:szCs w:val="24"/>
                <w:highlight w:val="none"/>
                <w:lang w:val="en-US" w:eastAsia="zh-CN"/>
              </w:rPr>
              <w:t>本项目运营期危险废物主要为</w:t>
            </w:r>
            <w:r>
              <w:rPr>
                <w:rFonts w:hint="default" w:ascii="Times New Roman" w:hAnsi="Times New Roman" w:cs="Times New Roman"/>
                <w:color w:val="auto"/>
                <w:sz w:val="24"/>
                <w:highlight w:val="none"/>
                <w:lang w:val="en-US" w:eastAsia="zh-CN"/>
              </w:rPr>
              <w:t>废润滑油、废油桶、</w:t>
            </w:r>
            <w:r>
              <w:rPr>
                <w:rFonts w:hint="default" w:ascii="Times New Roman" w:hAnsi="Times New Roman" w:cs="Times New Roman"/>
                <w:color w:val="auto"/>
                <w:sz w:val="24"/>
                <w:highlight w:val="none"/>
                <w:lang w:eastAsia="zh-CN"/>
              </w:rPr>
              <w:t>废</w:t>
            </w:r>
            <w:r>
              <w:rPr>
                <w:rFonts w:hint="default" w:ascii="Times New Roman" w:hAnsi="Times New Roman" w:cs="Times New Roman"/>
                <w:color w:val="auto"/>
                <w:sz w:val="24"/>
                <w:highlight w:val="none"/>
                <w:lang w:val="en-US" w:eastAsia="zh-CN"/>
              </w:rPr>
              <w:t>含</w:t>
            </w:r>
            <w:r>
              <w:rPr>
                <w:rFonts w:hint="default" w:ascii="Times New Roman" w:hAnsi="Times New Roman" w:cs="Times New Roman"/>
                <w:color w:val="auto"/>
                <w:sz w:val="24"/>
                <w:highlight w:val="none"/>
                <w:lang w:eastAsia="zh-CN"/>
              </w:rPr>
              <w:t>油</w:t>
            </w:r>
            <w:r>
              <w:rPr>
                <w:rFonts w:hint="default" w:ascii="Times New Roman" w:hAnsi="Times New Roman" w:cs="Times New Roman"/>
                <w:color w:val="auto"/>
                <w:sz w:val="24"/>
                <w:highlight w:val="none"/>
                <w:lang w:val="en-US" w:eastAsia="zh-CN"/>
              </w:rPr>
              <w:t>抹布及</w:t>
            </w:r>
            <w:r>
              <w:rPr>
                <w:rFonts w:hint="default" w:ascii="Times New Roman" w:hAnsi="Times New Roman" w:cs="Times New Roman"/>
                <w:color w:val="auto"/>
                <w:sz w:val="24"/>
                <w:highlight w:val="none"/>
                <w:lang w:eastAsia="zh-CN"/>
              </w:rPr>
              <w:t>手套</w:t>
            </w:r>
            <w:r>
              <w:rPr>
                <w:rFonts w:hint="default" w:ascii="Times New Roman" w:hAnsi="Times New Roman" w:cs="Times New Roman"/>
                <w:color w:val="auto"/>
                <w:sz w:val="24"/>
                <w:highlight w:val="none"/>
              </w:rPr>
              <w:t>等</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项目设置一座危险废物贮存库（</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2</w:t>
            </w:r>
            <w:r>
              <w:rPr>
                <w:rFonts w:hint="default" w:ascii="Times New Roman" w:hAnsi="Times New Roman" w:cs="Times New Roman"/>
                <w:color w:val="auto"/>
                <w:sz w:val="24"/>
                <w:highlight w:val="none"/>
                <w:lang w:val="en-US" w:eastAsia="zh-CN"/>
              </w:rPr>
              <w:t>），位于生产车间</w:t>
            </w:r>
            <w:r>
              <w:rPr>
                <w:rFonts w:hint="eastAsia" w:ascii="Times New Roman" w:hAnsi="Times New Roman" w:cs="Times New Roman"/>
                <w:color w:val="auto"/>
                <w:sz w:val="24"/>
                <w:highlight w:val="none"/>
                <w:lang w:val="en-US" w:eastAsia="zh-CN"/>
              </w:rPr>
              <w:t>西北</w:t>
            </w:r>
            <w:r>
              <w:rPr>
                <w:rFonts w:hint="default" w:ascii="Times New Roman" w:hAnsi="Times New Roman" w:cs="Times New Roman"/>
                <w:color w:val="auto"/>
                <w:sz w:val="24"/>
                <w:highlight w:val="none"/>
                <w:lang w:val="en-US" w:eastAsia="zh-CN"/>
              </w:rPr>
              <w:t>侧，用于贮存危险废物。危险废物贮存执行</w:t>
            </w:r>
            <w:r>
              <w:rPr>
                <w:rFonts w:hint="default" w:ascii="Times New Roman" w:hAnsi="Times New Roman" w:cs="Times New Roman"/>
                <w:color w:val="auto"/>
                <w:sz w:val="24"/>
                <w:szCs w:val="24"/>
                <w:highlight w:val="none"/>
              </w:rPr>
              <w:t>《危险废物贮存污染控制标准》（</w:t>
            </w:r>
            <w:r>
              <w:rPr>
                <w:rFonts w:hint="default" w:ascii="Times New Roman" w:hAnsi="Times New Roman" w:cs="Times New Roman"/>
                <w:color w:val="auto"/>
                <w:sz w:val="24"/>
                <w:szCs w:val="24"/>
                <w:highlight w:val="none"/>
                <w:lang w:eastAsia="zh-CN"/>
              </w:rPr>
              <w:t>GB18597-2023</w:t>
            </w:r>
            <w:r>
              <w:rPr>
                <w:rFonts w:hint="default" w:ascii="Times New Roman" w:hAnsi="Times New Roman" w:cs="Times New Roman"/>
                <w:color w:val="auto"/>
                <w:sz w:val="24"/>
                <w:szCs w:val="24"/>
                <w:highlight w:val="none"/>
              </w:rPr>
              <w:t>）中有关要求</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lang w:val="en-US" w:eastAsia="zh-CN"/>
              </w:rPr>
              <w:t>具体建设要求如下。</w:t>
            </w:r>
          </w:p>
          <w:p w14:paraId="6036F007">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rPr>
              <w:t>危险废物贮存应根据危险废物的类别、形态、物理化学性质和污染防治要求进行分类贮存，且应避免危险废物与不相容的物质或材料接触。</w:t>
            </w:r>
          </w:p>
          <w:tbl>
            <w:tblPr>
              <w:tblStyle w:val="26"/>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38"/>
              <w:gridCol w:w="5155"/>
            </w:tblGrid>
            <w:tr w14:paraId="33F4A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538" w:type="dxa"/>
                  <w:noWrap w:val="0"/>
                  <w:vAlign w:val="top"/>
                </w:tcPr>
                <w:p w14:paraId="15895C20">
                  <w:pPr>
                    <w:keepNext w:val="0"/>
                    <w:keepLines w:val="0"/>
                    <w:widowControl w:val="0"/>
                    <w:suppressLineNumbers w:val="0"/>
                    <w:tabs>
                      <w:tab w:val="left" w:pos="8607"/>
                    </w:tabs>
                    <w:adjustRightInd w:val="0"/>
                    <w:spacing w:before="0" w:beforeAutospacing="0" w:after="0" w:afterAutospacing="0" w:line="360" w:lineRule="auto"/>
                    <w:ind w:right="0"/>
                    <w:jc w:val="both"/>
                    <w:rPr>
                      <w:rFonts w:hint="default" w:ascii="Times New Roman" w:hAnsi="Times New Roman" w:eastAsia="宋体" w:cs="Times New Roman"/>
                      <w:color w:val="auto"/>
                      <w:kern w:val="2"/>
                      <w:sz w:val="21"/>
                      <w:szCs w:val="24"/>
                      <w:highlight w:val="none"/>
                      <w:vertAlign w:val="baseline"/>
                      <w:lang w:val="en-US" w:eastAsia="zh-CN" w:bidi="ar-SA"/>
                    </w:rPr>
                  </w:pPr>
                  <w:r>
                    <w:rPr>
                      <w:rFonts w:hint="default" w:ascii="Times New Roman" w:hAnsi="Times New Roman" w:cs="Times New Roman"/>
                      <w:color w:val="auto"/>
                      <w:sz w:val="21"/>
                      <w:szCs w:val="21"/>
                      <w:highlight w:val="none"/>
                    </w:rPr>
                    <w:drawing>
                      <wp:inline distT="0" distB="0" distL="114300" distR="114300">
                        <wp:extent cx="2259965" cy="1433195"/>
                        <wp:effectExtent l="0" t="0" r="6985" b="14605"/>
                        <wp:docPr id="62" name="图片 14" descr="D:\Documents\Downloads\危险废物贮存设施.jpg危险废物贮存设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4" descr="D:\Documents\Downloads\危险废物贮存设施.jpg危险废物贮存设施"/>
                                <pic:cNvPicPr>
                                  <a:picLocks noChangeAspect="1"/>
                                </pic:cNvPicPr>
                              </pic:nvPicPr>
                              <pic:blipFill>
                                <a:blip r:embed="rId14"/>
                                <a:stretch>
                                  <a:fillRect/>
                                </a:stretch>
                              </pic:blipFill>
                              <pic:spPr>
                                <a:xfrm>
                                  <a:off x="0" y="0"/>
                                  <a:ext cx="2259965" cy="1433195"/>
                                </a:xfrm>
                                <a:prstGeom prst="rect">
                                  <a:avLst/>
                                </a:prstGeom>
                                <a:noFill/>
                                <a:ln>
                                  <a:noFill/>
                                </a:ln>
                              </pic:spPr>
                            </pic:pic>
                          </a:graphicData>
                        </a:graphic>
                      </wp:inline>
                    </w:drawing>
                  </w:r>
                  <w:r>
                    <w:rPr>
                      <w:rFonts w:hint="default" w:ascii="Times New Roman" w:hAnsi="Times New Roman" w:cs="Times New Roman"/>
                      <w:color w:val="auto"/>
                      <w:highlight w:val="none"/>
                    </w:rPr>
                    <w:drawing>
                      <wp:inline distT="0" distB="0" distL="114300" distR="114300">
                        <wp:extent cx="2286635" cy="1584960"/>
                        <wp:effectExtent l="0" t="0" r="18415" b="1524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15"/>
                                <a:stretch>
                                  <a:fillRect/>
                                </a:stretch>
                              </pic:blipFill>
                              <pic:spPr>
                                <a:xfrm>
                                  <a:off x="0" y="0"/>
                                  <a:ext cx="2286635" cy="1584960"/>
                                </a:xfrm>
                                <a:prstGeom prst="rect">
                                  <a:avLst/>
                                </a:prstGeom>
                                <a:noFill/>
                                <a:ln>
                                  <a:noFill/>
                                </a:ln>
                              </pic:spPr>
                            </pic:pic>
                          </a:graphicData>
                        </a:graphic>
                      </wp:inline>
                    </w:drawing>
                  </w:r>
                </w:p>
              </w:tc>
              <w:tc>
                <w:tcPr>
                  <w:tcW w:w="5155" w:type="dxa"/>
                  <w:noWrap w:val="0"/>
                  <w:vAlign w:val="top"/>
                </w:tcPr>
                <w:p w14:paraId="52DF73D4">
                  <w:pPr>
                    <w:keepNext w:val="0"/>
                    <w:keepLines w:val="0"/>
                    <w:widowControl w:val="0"/>
                    <w:suppressLineNumbers w:val="0"/>
                    <w:tabs>
                      <w:tab w:val="left" w:pos="8607"/>
                    </w:tabs>
                    <w:adjustRightInd w:val="0"/>
                    <w:spacing w:before="0" w:beforeAutospacing="0" w:after="0" w:afterAutospacing="0" w:line="360" w:lineRule="auto"/>
                    <w:ind w:right="0"/>
                    <w:jc w:val="both"/>
                    <w:rPr>
                      <w:rFonts w:hint="default" w:ascii="Times New Roman" w:hAnsi="Times New Roman" w:eastAsia="宋体" w:cs="Times New Roman"/>
                      <w:color w:val="auto"/>
                      <w:kern w:val="2"/>
                      <w:sz w:val="21"/>
                      <w:szCs w:val="24"/>
                      <w:highlight w:val="none"/>
                      <w:vertAlign w:val="baseline"/>
                      <w:lang w:val="en-US" w:eastAsia="zh-CN" w:bidi="ar-SA"/>
                    </w:rPr>
                  </w:pPr>
                  <w:r>
                    <w:rPr>
                      <w:rFonts w:hint="default" w:ascii="Times New Roman" w:hAnsi="Times New Roman" w:cs="Times New Roman"/>
                      <w:color w:val="auto"/>
                      <w:highlight w:val="none"/>
                    </w:rPr>
                    <w:drawing>
                      <wp:inline distT="0" distB="0" distL="114300" distR="114300">
                        <wp:extent cx="2943860" cy="2902585"/>
                        <wp:effectExtent l="0" t="0" r="8890" b="12065"/>
                        <wp:docPr id="6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6"/>
                                <pic:cNvPicPr>
                                  <a:picLocks noChangeAspect="1"/>
                                </pic:cNvPicPr>
                              </pic:nvPicPr>
                              <pic:blipFill>
                                <a:blip r:embed="rId16"/>
                                <a:stretch>
                                  <a:fillRect/>
                                </a:stretch>
                              </pic:blipFill>
                              <pic:spPr>
                                <a:xfrm>
                                  <a:off x="0" y="0"/>
                                  <a:ext cx="2943860" cy="2902585"/>
                                </a:xfrm>
                                <a:prstGeom prst="rect">
                                  <a:avLst/>
                                </a:prstGeom>
                                <a:noFill/>
                                <a:ln>
                                  <a:noFill/>
                                </a:ln>
                              </pic:spPr>
                            </pic:pic>
                          </a:graphicData>
                        </a:graphic>
                      </wp:inline>
                    </w:drawing>
                  </w:r>
                </w:p>
              </w:tc>
            </w:tr>
          </w:tbl>
          <w:p w14:paraId="08BA7B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b/>
                <w:snapToGrid w:val="0"/>
                <w:color w:val="auto"/>
                <w:kern w:val="0"/>
                <w:sz w:val="21"/>
                <w:szCs w:val="21"/>
                <w:highlight w:val="none"/>
              </w:rPr>
              <w:t>图</w:t>
            </w:r>
            <w:r>
              <w:rPr>
                <w:rFonts w:hint="default" w:ascii="Times New Roman" w:hAnsi="Times New Roman" w:eastAsia="宋体" w:cs="Times New Roman"/>
                <w:b/>
                <w:snapToGrid w:val="0"/>
                <w:color w:val="auto"/>
                <w:kern w:val="0"/>
                <w:sz w:val="21"/>
                <w:szCs w:val="21"/>
                <w:highlight w:val="none"/>
                <w:lang w:val="en-US" w:eastAsia="zh-CN"/>
              </w:rPr>
              <w:t xml:space="preserve">4-1  </w:t>
            </w:r>
            <w:r>
              <w:rPr>
                <w:rFonts w:hint="default" w:ascii="Times New Roman" w:hAnsi="Times New Roman" w:eastAsia="宋体" w:cs="Times New Roman"/>
                <w:b/>
                <w:snapToGrid w:val="0"/>
                <w:color w:val="auto"/>
                <w:kern w:val="0"/>
                <w:sz w:val="21"/>
                <w:szCs w:val="21"/>
                <w:highlight w:val="none"/>
              </w:rPr>
              <w:t>危险废物标识要求</w:t>
            </w:r>
          </w:p>
          <w:p w14:paraId="374F9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rPr>
              <w:t>a贮存设施污染控制要求</w:t>
            </w:r>
          </w:p>
          <w:p w14:paraId="0D3904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rPr>
              <w:t>本项目危险废物主要为</w:t>
            </w:r>
            <w:r>
              <w:rPr>
                <w:rFonts w:hint="default" w:ascii="Times New Roman" w:hAnsi="Times New Roman" w:eastAsia="宋体" w:cs="Times New Roman"/>
                <w:color w:val="auto"/>
                <w:kern w:val="0"/>
                <w:sz w:val="24"/>
                <w:szCs w:val="20"/>
                <w:highlight w:val="none"/>
                <w:lang w:val="en-US" w:eastAsia="zh-CN"/>
              </w:rPr>
              <w:t>废</w:t>
            </w:r>
            <w:r>
              <w:rPr>
                <w:rFonts w:hint="eastAsia" w:ascii="Times New Roman" w:hAnsi="Times New Roman" w:eastAsia="宋体" w:cs="Times New Roman"/>
                <w:color w:val="auto"/>
                <w:kern w:val="0"/>
                <w:sz w:val="24"/>
                <w:szCs w:val="20"/>
                <w:highlight w:val="none"/>
                <w:lang w:val="en-US" w:eastAsia="zh-CN"/>
              </w:rPr>
              <w:t>润滑油</w:t>
            </w:r>
            <w:r>
              <w:rPr>
                <w:rFonts w:hint="default" w:ascii="Times New Roman" w:hAnsi="Times New Roman" w:eastAsia="宋体" w:cs="Times New Roman"/>
                <w:color w:val="auto"/>
                <w:kern w:val="0"/>
                <w:sz w:val="24"/>
                <w:szCs w:val="20"/>
                <w:highlight w:val="none"/>
              </w:rPr>
              <w:t>等，采用专用容器贮存。</w:t>
            </w:r>
          </w:p>
          <w:p w14:paraId="21931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lang w:val="en-US" w:eastAsia="zh-CN"/>
              </w:rPr>
              <w:t xml:space="preserve">贮存设施应根据危险废物的形态、物理化学性质、包装形式和污染物迁移途径，采取必要的防风、防晒、防雨、防漏、防渗、防腐以及其他环境污染防治措施，不应露天堆放危险废物。 </w:t>
            </w:r>
          </w:p>
          <w:p w14:paraId="4C6239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lang w:val="en-US" w:eastAsia="zh-CN"/>
              </w:rPr>
              <w:t xml:space="preserve">贮存设施应根据危险废物的类别、数量、形态、物理化学性质和污染防治等要求设置必要的贮存分区，避免不相容的危险废物接触、混合。 </w:t>
            </w:r>
          </w:p>
          <w:p w14:paraId="4C7010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lang w:val="en-US" w:eastAsia="zh-CN"/>
              </w:rPr>
              <w:t xml:space="preserve">贮存设施或贮存分区内地面、墙面裙脚、堵截泄漏的围堰、接触危险废物的隔板和墙体等应采用坚固的材料建造，表面无裂缝。 </w:t>
            </w:r>
          </w:p>
          <w:p w14:paraId="09461306">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lang w:val="en-US" w:eastAsia="zh-CN"/>
              </w:rPr>
              <w:t xml:space="preserve">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m厚黏土层（渗透系数不大于10-7cm/s），或至少2 mm厚高密度聚乙烯膜等人工防渗材料（渗透系数不大于10-10cm/s），或其他防渗性能等效的材料。 </w:t>
            </w:r>
          </w:p>
          <w:p w14:paraId="038923DE">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lang w:val="en-US" w:eastAsia="zh-CN"/>
              </w:rPr>
              <w:t xml:space="preserve">同一贮存设施宜采用相同的防渗、防腐工艺（包括防渗、防腐结构或材料），防渗、防腐材料应覆盖所有可能与废物及其渗滤液、渗漏液等接触的构筑物表面；采用不同防渗、防腐工艺应分别建设贮存分区。 </w:t>
            </w:r>
          </w:p>
          <w:p w14:paraId="3484AD37">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lang w:val="en-US" w:eastAsia="zh-CN"/>
              </w:rPr>
              <w:t>贮存设施应采取技术和管理措施防止无关人员进入。</w:t>
            </w:r>
          </w:p>
          <w:p w14:paraId="683BB90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lang w:val="en-US" w:eastAsia="zh-CN"/>
              </w:rPr>
              <w:t>贮存库内不同贮存分区之间应采取隔离措施。隔离措施可根据危险废物特性采用过道、隔板或隔墙等方式。</w:t>
            </w:r>
          </w:p>
          <w:p w14:paraId="563EDEF1">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lang w:val="en-US" w:eastAsia="zh-CN"/>
              </w:rPr>
              <w:t>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w:t>
            </w:r>
          </w:p>
          <w:p w14:paraId="2B60C1E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b容器和包装物污染控制要求</w:t>
            </w:r>
          </w:p>
          <w:p w14:paraId="4BEC5ED7">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lang w:eastAsia="zh-CN"/>
              </w:rPr>
            </w:pPr>
            <w:r>
              <w:rPr>
                <w:rFonts w:hint="default" w:ascii="Times New Roman" w:hAnsi="Times New Roman" w:eastAsia="宋体" w:cs="Times New Roman"/>
                <w:color w:val="auto"/>
                <w:sz w:val="24"/>
                <w:szCs w:val="22"/>
                <w:highlight w:val="none"/>
              </w:rPr>
              <w:t>容器和包装物材质、内衬应与盛装的危险废物相容。针对不同类别、形态、物理化学性质的危险废物，其容器和包装物应满足相应的防渗、防漏、防腐和强度等要求。容器和包装物外表面应保持清洁</w:t>
            </w:r>
            <w:r>
              <w:rPr>
                <w:rFonts w:hint="default" w:ascii="Times New Roman" w:hAnsi="Times New Roman" w:eastAsia="宋体" w:cs="Times New Roman"/>
                <w:color w:val="auto"/>
                <w:sz w:val="24"/>
                <w:szCs w:val="22"/>
                <w:highlight w:val="none"/>
                <w:lang w:eastAsia="zh-CN"/>
              </w:rPr>
              <w:t>；</w:t>
            </w:r>
          </w:p>
          <w:p w14:paraId="4E716358">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lang w:eastAsia="zh-CN"/>
              </w:rPr>
            </w:pPr>
            <w:r>
              <w:rPr>
                <w:rFonts w:hint="default" w:ascii="Times New Roman" w:hAnsi="Times New Roman" w:eastAsia="宋体" w:cs="Times New Roman"/>
                <w:color w:val="auto"/>
                <w:sz w:val="24"/>
                <w:szCs w:val="22"/>
                <w:highlight w:val="none"/>
              </w:rPr>
              <w:t>硬质容器和包装物及其支护结构堆叠码放时不应有明显变形，无破损泄漏。柔性容器和包装物堆叠码放时应封口严密，无破损泄漏</w:t>
            </w:r>
            <w:r>
              <w:rPr>
                <w:rFonts w:hint="default" w:ascii="Times New Roman" w:hAnsi="Times New Roman" w:eastAsia="宋体" w:cs="Times New Roman"/>
                <w:color w:val="auto"/>
                <w:sz w:val="24"/>
                <w:szCs w:val="22"/>
                <w:highlight w:val="none"/>
                <w:lang w:eastAsia="zh-CN"/>
              </w:rPr>
              <w:t>；</w:t>
            </w:r>
          </w:p>
          <w:p w14:paraId="2D438736">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使用容器盛装液态、半固态危险废物时，容器内部应留有适当的空间，以适应因温度变化等可能引发的收缩和膨胀，防止其导致容器渗漏或永久变形。</w:t>
            </w:r>
          </w:p>
          <w:p w14:paraId="455B95C4">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c贮存过程污染控制要求</w:t>
            </w:r>
          </w:p>
          <w:p w14:paraId="00E4B825">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危险废物存入贮存设施前应对危险废物类别和特性与危险废物标签等危险废物识别标志的一致性进行核验，不一致的或类别、特性不明的不应存入。</w:t>
            </w:r>
          </w:p>
          <w:p w14:paraId="40AD0524">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应定期检查危险废物的贮存状况，及时清理贮存设施地面，更换破损泄漏的危险废物贮存容器和包装物，保证堆存危险废物的防雨、防风、防扬尘等设施功能完好。</w:t>
            </w:r>
          </w:p>
          <w:p w14:paraId="46F3FC0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作业设备及车辆等结束作业离开贮存设施时，应对其残留的危险废物进行清理，清理的废物或清洗废水应收集处理。</w:t>
            </w:r>
          </w:p>
          <w:p w14:paraId="3186E7A3">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贮存设施运行期间，应按国家有关标准和规定建立危险废物管理台账并保存。</w:t>
            </w:r>
          </w:p>
          <w:p w14:paraId="25905299">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贮存设施所有者或运营者应建立贮存设施环境管理制度、管理人员岗位职责制度、设施运行操作制度、人员岗位培训制度等。</w:t>
            </w:r>
          </w:p>
          <w:p w14:paraId="771B26AB">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贮存设施所有者或运营者应依据国家土壤和地下水污染防治的有关规定，结合贮存设施特点建立土壤和地下水污染隐患排查制度，并定期开展隐患排查；发现隐患应及时采取措施消除隐患，并建立档案。</w:t>
            </w:r>
          </w:p>
          <w:p w14:paraId="39DFC350">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贮存设施所有者或运营者应建立贮存设施全部档案，包括设计、施工、验收、运行、监测和环境应急等，应按国家有关档案管理的法律法规进行整理和归档。</w:t>
            </w:r>
          </w:p>
          <w:p w14:paraId="0658B8F8">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rPr>
              <w:t>采取上述措施后，项目</w:t>
            </w:r>
            <w:r>
              <w:rPr>
                <w:rFonts w:hint="default" w:ascii="Times New Roman" w:hAnsi="Times New Roman" w:eastAsia="宋体" w:cs="Times New Roman"/>
                <w:color w:val="auto"/>
                <w:sz w:val="24"/>
                <w:szCs w:val="22"/>
                <w:highlight w:val="none"/>
                <w:lang w:val="en-US" w:eastAsia="zh-CN"/>
              </w:rPr>
              <w:t>固体废物</w:t>
            </w:r>
            <w:r>
              <w:rPr>
                <w:rFonts w:hint="default" w:ascii="Times New Roman" w:hAnsi="Times New Roman" w:eastAsia="宋体" w:cs="Times New Roman"/>
                <w:color w:val="auto"/>
                <w:sz w:val="24"/>
                <w:szCs w:val="22"/>
                <w:highlight w:val="none"/>
              </w:rPr>
              <w:t>均能够得到合理妥善处置，不产生二次污染，对外环境影响较小</w:t>
            </w:r>
            <w:r>
              <w:rPr>
                <w:rFonts w:hint="default" w:ascii="Times New Roman" w:hAnsi="Times New Roman" w:eastAsia="宋体" w:cs="Times New Roman"/>
                <w:color w:val="auto"/>
                <w:sz w:val="24"/>
                <w:szCs w:val="22"/>
                <w:highlight w:val="none"/>
                <w:lang w:eastAsia="zh-CN"/>
              </w:rPr>
              <w:t>。</w:t>
            </w:r>
          </w:p>
          <w:p w14:paraId="50B30A4A">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5、地下水、土壤</w:t>
            </w:r>
          </w:p>
          <w:p w14:paraId="5F4183DA">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（1）地下水、土壤环境影响途径</w:t>
            </w:r>
          </w:p>
          <w:p w14:paraId="32AB6CEE">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生产车间采取分区防渗，正常情况下危险废物、一般固废等不会对地下水以及土壤造成影响，如因人员操作不当或桶体破损等导致物料发生泄漏，泄漏物料可能会泄漏至外环境，从而污染地下水、土壤环境。</w:t>
            </w:r>
          </w:p>
          <w:p w14:paraId="7CFECAD9">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（2）污染防护措施</w:t>
            </w:r>
          </w:p>
          <w:p w14:paraId="72869BA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针对项目可能发生的地下水、土壤污染，地下水、土壤污染防治措施按照</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源头控制、分区防治、应急响应</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相结合的原则，从污染物的产生、入渗、扩散、应急响应全方位进行控制。</w:t>
            </w:r>
          </w:p>
          <w:p w14:paraId="4931468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分区防渗控制措施：</w:t>
            </w:r>
          </w:p>
          <w:p w14:paraId="69B96644">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①重点防渗区：主要是危废贮存库，采用防渗混凝土硬化，地面与裙角采用防渗涂料进行防渗处理。物料分区堆放，并设置托盘。</w:t>
            </w:r>
          </w:p>
          <w:p w14:paraId="7F386645">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②一般防渗区：生产厂房等采取地面硬化处理。</w:t>
            </w:r>
          </w:p>
          <w:p w14:paraId="3079B62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因此，本项目采取上述污染防护措施后，将不会对地下水、土壤环境造成污染。</w:t>
            </w:r>
          </w:p>
          <w:p w14:paraId="34BB233E">
            <w:pPr>
              <w:numPr>
                <w:ilvl w:val="0"/>
                <w:numId w:val="0"/>
              </w:numPr>
              <w:adjustRightInd w:val="0"/>
              <w:snapToGrid w:val="0"/>
              <w:spacing w:line="360" w:lineRule="auto"/>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
                <w:bCs/>
                <w:color w:val="auto"/>
                <w:spacing w:val="-10"/>
                <w:kern w:val="2"/>
                <w:sz w:val="24"/>
                <w:szCs w:val="24"/>
                <w:highlight w:val="none"/>
                <w:lang w:val="en-US" w:eastAsia="zh-CN" w:bidi="ar-SA"/>
              </w:rPr>
              <w:t>6、</w:t>
            </w:r>
            <w:r>
              <w:rPr>
                <w:rFonts w:hint="default" w:ascii="Times New Roman" w:hAnsi="Times New Roman" w:cs="Times New Roman"/>
                <w:b/>
                <w:bCs w:val="0"/>
                <w:color w:val="auto"/>
                <w:spacing w:val="-10"/>
                <w:sz w:val="24"/>
                <w:szCs w:val="24"/>
                <w:highlight w:val="none"/>
                <w:lang w:val="en-US" w:eastAsia="zh-CN"/>
              </w:rPr>
              <w:t>环境风险</w:t>
            </w:r>
          </w:p>
          <w:p w14:paraId="46E62122">
            <w:pPr>
              <w:numPr>
                <w:ilvl w:val="0"/>
                <w:numId w:val="0"/>
              </w:numPr>
              <w:adjustRightInd w:val="0"/>
              <w:snapToGrid w:val="0"/>
              <w:spacing w:line="360" w:lineRule="auto"/>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Cs/>
                <w:color w:val="auto"/>
                <w:spacing w:val="-10"/>
                <w:sz w:val="24"/>
                <w:szCs w:val="24"/>
                <w:highlight w:val="none"/>
                <w:lang w:val="en-US" w:eastAsia="zh-CN"/>
              </w:rPr>
              <w:t>（1）危险物质和风险源分布</w:t>
            </w:r>
          </w:p>
          <w:p w14:paraId="19C7032C">
            <w:pPr>
              <w:pStyle w:val="41"/>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sz w:val="24"/>
                <w:highlight w:val="none"/>
              </w:rPr>
              <w:t>根据《建设项目环境风险评价技术导则》（HJ169-2018）中的标准进行危险性识别，</w:t>
            </w:r>
            <w:r>
              <w:rPr>
                <w:rFonts w:hint="default" w:ascii="Times New Roman" w:hAnsi="Times New Roman" w:cs="Times New Roman"/>
                <w:color w:val="auto"/>
                <w:sz w:val="24"/>
                <w:szCs w:val="24"/>
                <w:highlight w:val="none"/>
              </w:rPr>
              <w:t>本项目所</w:t>
            </w:r>
            <w:r>
              <w:rPr>
                <w:rFonts w:hint="default" w:ascii="Times New Roman" w:hAnsi="Times New Roman" w:cs="Times New Roman"/>
                <w:color w:val="auto"/>
                <w:sz w:val="24"/>
                <w:szCs w:val="24"/>
                <w:highlight w:val="none"/>
                <w:lang w:eastAsia="zh-CN"/>
              </w:rPr>
              <w:t>涉及</w:t>
            </w:r>
            <w:r>
              <w:rPr>
                <w:rFonts w:hint="default" w:ascii="Times New Roman" w:hAnsi="Times New Roman" w:cs="Times New Roman"/>
                <w:color w:val="auto"/>
                <w:sz w:val="24"/>
                <w:szCs w:val="24"/>
                <w:highlight w:val="none"/>
              </w:rPr>
              <w:t>的危险物质有：</w:t>
            </w:r>
            <w:r>
              <w:rPr>
                <w:rFonts w:hint="eastAsia" w:ascii="Times New Roman" w:hAnsi="Times New Roman" w:cs="Times New Roman"/>
                <w:color w:val="auto"/>
                <w:sz w:val="24"/>
                <w:szCs w:val="24"/>
                <w:highlight w:val="none"/>
                <w:lang w:val="en-US" w:eastAsia="zh-CN"/>
              </w:rPr>
              <w:t>润滑油和废润滑油</w:t>
            </w:r>
            <w:r>
              <w:rPr>
                <w:rFonts w:hint="default" w:ascii="Times New Roman" w:hAnsi="Times New Roman" w:eastAsia="宋体" w:cs="Times New Roman"/>
                <w:color w:val="auto"/>
                <w:sz w:val="24"/>
                <w:szCs w:val="24"/>
                <w:highlight w:val="none"/>
              </w:rPr>
              <w:t>。</w:t>
            </w:r>
          </w:p>
          <w:p w14:paraId="55B15EE5">
            <w:pPr>
              <w:pStyle w:val="20"/>
              <w:adjustRightInd w:val="0"/>
              <w:spacing w:after="0"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本项目危险物质数量与临界量比值见</w:t>
            </w:r>
            <w:r>
              <w:rPr>
                <w:rFonts w:hint="default" w:ascii="Times New Roman" w:hAnsi="Times New Roman" w:cs="Times New Roman"/>
                <w:color w:val="auto"/>
                <w:kern w:val="0"/>
                <w:sz w:val="24"/>
                <w:highlight w:val="none"/>
                <w:lang w:val="en-US" w:eastAsia="zh-CN"/>
              </w:rPr>
              <w:t>下</w:t>
            </w:r>
            <w:r>
              <w:rPr>
                <w:rFonts w:hint="default" w:ascii="Times New Roman" w:hAnsi="Times New Roman" w:cs="Times New Roman"/>
                <w:color w:val="auto"/>
                <w:kern w:val="0"/>
                <w:sz w:val="24"/>
                <w:highlight w:val="none"/>
              </w:rPr>
              <w:t>表。</w:t>
            </w:r>
          </w:p>
          <w:p w14:paraId="7EC0984A">
            <w:pPr>
              <w:spacing w:line="240" w:lineRule="auto"/>
              <w:jc w:val="center"/>
              <w:rPr>
                <w:rFonts w:hint="default" w:ascii="Times New Roman" w:hAnsi="Times New Roman" w:cs="Times New Roman"/>
                <w:color w:val="auto"/>
                <w:highlight w:val="none"/>
                <w:lang w:val="zh-CN"/>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4-11</w:t>
            </w:r>
            <w:r>
              <w:rPr>
                <w:rFonts w:hint="eastAsia" w:cs="Times New Roman"/>
                <w:b/>
                <w:bCs/>
                <w:color w:val="auto"/>
                <w:highlight w:val="none"/>
                <w:lang w:val="en-US" w:eastAsia="zh-CN"/>
              </w:rPr>
              <w:t xml:space="preserve"> </w:t>
            </w:r>
            <w:r>
              <w:rPr>
                <w:rFonts w:hint="eastAsia" w:ascii="Times New Roman" w:hAnsi="Times New Roman" w:cs="Times New Roman"/>
                <w:b/>
                <w:bCs/>
                <w:color w:val="auto"/>
                <w:kern w:val="0"/>
                <w:szCs w:val="28"/>
                <w:highlight w:val="none"/>
                <w:lang w:val="en-US" w:eastAsia="zh-CN"/>
              </w:rPr>
              <w:t>环境风险物质</w:t>
            </w:r>
            <w:r>
              <w:rPr>
                <w:rFonts w:hint="default" w:ascii="Times New Roman" w:hAnsi="Times New Roman" w:cs="Times New Roman"/>
                <w:b/>
                <w:bCs/>
                <w:color w:val="auto"/>
                <w:kern w:val="0"/>
                <w:szCs w:val="28"/>
                <w:highlight w:val="none"/>
                <w:lang w:val="zh-CN"/>
              </w:rPr>
              <w:t>识别表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077"/>
              <w:gridCol w:w="2031"/>
              <w:gridCol w:w="1323"/>
              <w:gridCol w:w="1950"/>
              <w:gridCol w:w="1356"/>
            </w:tblGrid>
            <w:tr w14:paraId="11AA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 w:type="pct"/>
                  <w:noWrap w:val="0"/>
                  <w:vAlign w:val="center"/>
                </w:tcPr>
                <w:p w14:paraId="576C3952">
                  <w:pPr>
                    <w:pStyle w:val="3"/>
                    <w:tabs>
                      <w:tab w:val="left" w:pos="576"/>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3" w:name="_Toc30074"/>
                  <w:r>
                    <w:rPr>
                      <w:rFonts w:hint="default" w:ascii="Times New Roman" w:hAnsi="Times New Roman" w:eastAsia="宋体" w:cs="Times New Roman"/>
                      <w:b/>
                      <w:bCs w:val="0"/>
                      <w:color w:val="auto"/>
                      <w:w w:val="100"/>
                      <w:kern w:val="2"/>
                      <w:sz w:val="21"/>
                      <w:szCs w:val="21"/>
                      <w:highlight w:val="none"/>
                      <w:lang w:val="en-US" w:eastAsia="zh-CN" w:bidi="ar-SA"/>
                    </w:rPr>
                    <w:t>序号</w:t>
                  </w:r>
                  <w:bookmarkEnd w:id="23"/>
                </w:p>
              </w:tc>
              <w:tc>
                <w:tcPr>
                  <w:tcW w:w="1893" w:type="pct"/>
                  <w:gridSpan w:val="2"/>
                  <w:noWrap w:val="0"/>
                  <w:vAlign w:val="center"/>
                </w:tcPr>
                <w:p w14:paraId="0BFCE5AD">
                  <w:pPr>
                    <w:pStyle w:val="3"/>
                    <w:tabs>
                      <w:tab w:val="left" w:pos="495"/>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4" w:name="_Toc25281"/>
                  <w:r>
                    <w:rPr>
                      <w:rFonts w:hint="default" w:ascii="Times New Roman" w:hAnsi="Times New Roman" w:eastAsia="宋体" w:cs="Times New Roman"/>
                      <w:b/>
                      <w:bCs w:val="0"/>
                      <w:color w:val="auto"/>
                      <w:w w:val="100"/>
                      <w:kern w:val="2"/>
                      <w:sz w:val="21"/>
                      <w:szCs w:val="21"/>
                      <w:highlight w:val="none"/>
                      <w:lang w:val="en-US" w:eastAsia="zh-CN" w:bidi="ar-SA"/>
                    </w:rPr>
                    <w:t>危险物质名称</w:t>
                  </w:r>
                  <w:bookmarkEnd w:id="24"/>
                </w:p>
              </w:tc>
              <w:tc>
                <w:tcPr>
                  <w:tcW w:w="805" w:type="pct"/>
                  <w:noWrap w:val="0"/>
                  <w:vAlign w:val="center"/>
                </w:tcPr>
                <w:p w14:paraId="79FBF715">
                  <w:pPr>
                    <w:pStyle w:val="3"/>
                    <w:tabs>
                      <w:tab w:val="left" w:pos="576"/>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5" w:name="_Toc7125"/>
                  <w:r>
                    <w:rPr>
                      <w:rFonts w:hint="default" w:ascii="Times New Roman" w:hAnsi="Times New Roman" w:eastAsia="宋体" w:cs="Times New Roman"/>
                      <w:b/>
                      <w:bCs w:val="0"/>
                      <w:color w:val="auto"/>
                      <w:w w:val="100"/>
                      <w:kern w:val="2"/>
                      <w:sz w:val="21"/>
                      <w:szCs w:val="21"/>
                      <w:highlight w:val="none"/>
                      <w:lang w:val="en-US" w:eastAsia="zh-CN" w:bidi="ar-SA"/>
                    </w:rPr>
                    <w:t>最大储存量qn/t</w:t>
                  </w:r>
                  <w:bookmarkEnd w:id="25"/>
                </w:p>
              </w:tc>
              <w:tc>
                <w:tcPr>
                  <w:tcW w:w="1187" w:type="pct"/>
                  <w:noWrap w:val="0"/>
                  <w:vAlign w:val="center"/>
                </w:tcPr>
                <w:p w14:paraId="6C159C1A">
                  <w:pPr>
                    <w:pStyle w:val="3"/>
                    <w:tabs>
                      <w:tab w:val="left" w:pos="576"/>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6" w:name="_Toc7570"/>
                  <w:r>
                    <w:rPr>
                      <w:rFonts w:hint="default" w:ascii="Times New Roman" w:hAnsi="Times New Roman" w:eastAsia="宋体" w:cs="Times New Roman"/>
                      <w:b/>
                      <w:bCs w:val="0"/>
                      <w:color w:val="auto"/>
                      <w:w w:val="100"/>
                      <w:kern w:val="2"/>
                      <w:sz w:val="21"/>
                      <w:szCs w:val="21"/>
                      <w:highlight w:val="none"/>
                      <w:lang w:val="en-US" w:eastAsia="zh-CN" w:bidi="ar-SA"/>
                    </w:rPr>
                    <w:t>HJ169—2018</w:t>
                  </w:r>
                  <w:bookmarkEnd w:id="26"/>
                </w:p>
                <w:p w14:paraId="3F9923F0">
                  <w:pPr>
                    <w:pStyle w:val="3"/>
                    <w:tabs>
                      <w:tab w:val="left" w:pos="576"/>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7" w:name="_Toc16996"/>
                  <w:r>
                    <w:rPr>
                      <w:rFonts w:hint="default" w:ascii="Times New Roman" w:hAnsi="Times New Roman" w:eastAsia="宋体" w:cs="Times New Roman"/>
                      <w:b/>
                      <w:bCs w:val="0"/>
                      <w:color w:val="auto"/>
                      <w:w w:val="100"/>
                      <w:kern w:val="2"/>
                      <w:sz w:val="21"/>
                      <w:szCs w:val="21"/>
                      <w:highlight w:val="none"/>
                      <w:lang w:val="en-US" w:eastAsia="zh-CN" w:bidi="ar-SA"/>
                    </w:rPr>
                    <w:t>附录B临界量Qn/t</w:t>
                  </w:r>
                  <w:bookmarkEnd w:id="27"/>
                </w:p>
              </w:tc>
              <w:tc>
                <w:tcPr>
                  <w:tcW w:w="826" w:type="pct"/>
                  <w:noWrap w:val="0"/>
                  <w:vAlign w:val="center"/>
                </w:tcPr>
                <w:p w14:paraId="1C9ABD45">
                  <w:pPr>
                    <w:pStyle w:val="3"/>
                    <w:tabs>
                      <w:tab w:val="left" w:pos="576"/>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8" w:name="_Toc768"/>
                  <w:r>
                    <w:rPr>
                      <w:rFonts w:hint="default" w:ascii="Times New Roman" w:hAnsi="Times New Roman" w:eastAsia="宋体" w:cs="Times New Roman"/>
                      <w:b/>
                      <w:bCs w:val="0"/>
                      <w:color w:val="auto"/>
                      <w:w w:val="100"/>
                      <w:kern w:val="2"/>
                      <w:sz w:val="21"/>
                      <w:szCs w:val="21"/>
                      <w:highlight w:val="none"/>
                      <w:lang w:val="en-US" w:eastAsia="zh-CN" w:bidi="ar-SA"/>
                    </w:rPr>
                    <w:t>该种危险</w:t>
                  </w:r>
                  <w:bookmarkEnd w:id="28"/>
                </w:p>
                <w:p w14:paraId="0B00FC49">
                  <w:pPr>
                    <w:pStyle w:val="3"/>
                    <w:tabs>
                      <w:tab w:val="left" w:pos="576"/>
                    </w:tabs>
                    <w:snapToGrid w:val="0"/>
                    <w:spacing w:line="240" w:lineRule="auto"/>
                    <w:jc w:val="center"/>
                    <w:outlineLvl w:val="1"/>
                    <w:rPr>
                      <w:rFonts w:hint="default" w:ascii="Times New Roman" w:hAnsi="Times New Roman" w:eastAsia="宋体" w:cs="Times New Roman"/>
                      <w:b/>
                      <w:bCs w:val="0"/>
                      <w:color w:val="auto"/>
                      <w:w w:val="100"/>
                      <w:kern w:val="2"/>
                      <w:sz w:val="21"/>
                      <w:szCs w:val="21"/>
                      <w:highlight w:val="none"/>
                      <w:lang w:val="en-US" w:eastAsia="zh-CN" w:bidi="ar-SA"/>
                    </w:rPr>
                  </w:pPr>
                  <w:bookmarkStart w:id="29" w:name="_Toc27747"/>
                  <w:r>
                    <w:rPr>
                      <w:rFonts w:hint="default" w:ascii="Times New Roman" w:hAnsi="Times New Roman" w:eastAsia="宋体" w:cs="Times New Roman"/>
                      <w:b/>
                      <w:bCs w:val="0"/>
                      <w:color w:val="auto"/>
                      <w:w w:val="100"/>
                      <w:kern w:val="2"/>
                      <w:sz w:val="21"/>
                      <w:szCs w:val="21"/>
                      <w:highlight w:val="none"/>
                      <w:lang w:val="en-US" w:eastAsia="zh-CN" w:bidi="ar-SA"/>
                    </w:rPr>
                    <w:t>物质Q值</w:t>
                  </w:r>
                  <w:bookmarkEnd w:id="29"/>
                </w:p>
              </w:tc>
            </w:tr>
            <w:tr w14:paraId="0ED1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 w:type="pct"/>
                  <w:noWrap w:val="0"/>
                  <w:vAlign w:val="center"/>
                </w:tcPr>
                <w:p w14:paraId="066B26B6">
                  <w:pPr>
                    <w:pStyle w:val="3"/>
                    <w:tabs>
                      <w:tab w:val="left" w:pos="576"/>
                    </w:tabs>
                    <w:snapToGrid w:val="0"/>
                    <w:spacing w:line="240" w:lineRule="auto"/>
                    <w:jc w:val="center"/>
                    <w:outlineLvl w:val="1"/>
                    <w:rPr>
                      <w:rFonts w:hint="eastAsia" w:ascii="Times New Roman" w:hAnsi="Times New Roman" w:eastAsia="宋体" w:cs="Times New Roman"/>
                      <w:b w:val="0"/>
                      <w:color w:val="auto"/>
                      <w:sz w:val="21"/>
                      <w:szCs w:val="21"/>
                      <w:highlight w:val="none"/>
                      <w:lang w:val="en-US" w:eastAsia="zh-CN"/>
                    </w:rPr>
                  </w:pPr>
                  <w:bookmarkStart w:id="30" w:name="_Toc17736"/>
                  <w:r>
                    <w:rPr>
                      <w:rFonts w:hint="eastAsia" w:ascii="Times New Roman" w:hAnsi="Times New Roman" w:cs="Times New Roman"/>
                      <w:b w:val="0"/>
                      <w:color w:val="auto"/>
                      <w:sz w:val="21"/>
                      <w:szCs w:val="21"/>
                      <w:highlight w:val="none"/>
                      <w:lang w:val="en-US" w:eastAsia="zh-CN"/>
                    </w:rPr>
                    <w:t>1</w:t>
                  </w:r>
                </w:p>
              </w:tc>
              <w:tc>
                <w:tcPr>
                  <w:tcW w:w="656" w:type="pct"/>
                  <w:vMerge w:val="restart"/>
                  <w:noWrap w:val="0"/>
                  <w:vAlign w:val="center"/>
                </w:tcPr>
                <w:p w14:paraId="3A4BDFB9">
                  <w:pPr>
                    <w:tabs>
                      <w:tab w:val="left" w:pos="576"/>
                    </w:tabs>
                    <w:spacing w:line="240" w:lineRule="auto"/>
                    <w:ind w:firstLine="0" w:firstLineChars="0"/>
                    <w:jc w:val="center"/>
                    <w:rPr>
                      <w:rFonts w:hint="default" w:ascii="Times New Roman" w:hAnsi="Times New Roman" w:cs="Times New Roman"/>
                      <w:b/>
                      <w:color w:val="auto"/>
                      <w:sz w:val="21"/>
                      <w:szCs w:val="21"/>
                      <w:highlight w:val="none"/>
                    </w:rPr>
                  </w:pPr>
                  <w:r>
                    <w:rPr>
                      <w:rFonts w:hint="default" w:ascii="Times New Roman" w:hAnsi="Times New Roman" w:cs="Times New Roman"/>
                      <w:bCs/>
                      <w:color w:val="auto"/>
                      <w:sz w:val="21"/>
                      <w:szCs w:val="21"/>
                      <w:highlight w:val="none"/>
                    </w:rPr>
                    <w:t>油类物质</w:t>
                  </w:r>
                </w:p>
              </w:tc>
              <w:tc>
                <w:tcPr>
                  <w:tcW w:w="1237" w:type="pct"/>
                  <w:noWrap w:val="0"/>
                  <w:vAlign w:val="center"/>
                </w:tcPr>
                <w:p w14:paraId="09891AAF">
                  <w:pPr>
                    <w:pStyle w:val="3"/>
                    <w:tabs>
                      <w:tab w:val="left" w:pos="576"/>
                    </w:tabs>
                    <w:snapToGrid w:val="0"/>
                    <w:spacing w:line="240" w:lineRule="auto"/>
                    <w:jc w:val="center"/>
                    <w:outlineLvl w:val="1"/>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润滑油</w:t>
                  </w:r>
                </w:p>
              </w:tc>
              <w:tc>
                <w:tcPr>
                  <w:tcW w:w="805" w:type="pct"/>
                  <w:noWrap w:val="0"/>
                  <w:vAlign w:val="center"/>
                </w:tcPr>
                <w:p w14:paraId="160963D2">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0.17</w:t>
                  </w:r>
                </w:p>
              </w:tc>
              <w:tc>
                <w:tcPr>
                  <w:tcW w:w="1187" w:type="pct"/>
                  <w:noWrap w:val="0"/>
                  <w:vAlign w:val="center"/>
                </w:tcPr>
                <w:p w14:paraId="5D9480F2">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2500</w:t>
                  </w:r>
                </w:p>
              </w:tc>
              <w:tc>
                <w:tcPr>
                  <w:tcW w:w="826" w:type="pct"/>
                  <w:noWrap w:val="0"/>
                  <w:vAlign w:val="center"/>
                </w:tcPr>
                <w:p w14:paraId="76B46C41">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0.000068</w:t>
                  </w:r>
                </w:p>
              </w:tc>
            </w:tr>
            <w:bookmarkEnd w:id="30"/>
            <w:tr w14:paraId="6ECB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 w:type="pct"/>
                  <w:noWrap w:val="0"/>
                  <w:vAlign w:val="center"/>
                </w:tcPr>
                <w:p w14:paraId="4EAA20E4">
                  <w:pPr>
                    <w:pStyle w:val="3"/>
                    <w:tabs>
                      <w:tab w:val="left" w:pos="576"/>
                    </w:tabs>
                    <w:snapToGrid w:val="0"/>
                    <w:spacing w:line="240" w:lineRule="auto"/>
                    <w:jc w:val="center"/>
                    <w:outlineLvl w:val="1"/>
                    <w:rPr>
                      <w:rFonts w:hint="eastAsia" w:ascii="Times New Roman" w:hAnsi="Times New Roman" w:eastAsia="宋体" w:cs="Times New Roman"/>
                      <w:b w:val="0"/>
                      <w:color w:val="auto"/>
                      <w:sz w:val="21"/>
                      <w:szCs w:val="21"/>
                      <w:highlight w:val="none"/>
                      <w:lang w:eastAsia="zh-CN"/>
                    </w:rPr>
                  </w:pPr>
                  <w:r>
                    <w:rPr>
                      <w:rFonts w:hint="eastAsia" w:ascii="Times New Roman" w:hAnsi="Times New Roman" w:cs="Times New Roman"/>
                      <w:b w:val="0"/>
                      <w:color w:val="auto"/>
                      <w:sz w:val="21"/>
                      <w:szCs w:val="21"/>
                      <w:highlight w:val="none"/>
                      <w:lang w:val="en-US" w:eastAsia="zh-CN"/>
                    </w:rPr>
                    <w:t>2</w:t>
                  </w:r>
                </w:p>
              </w:tc>
              <w:tc>
                <w:tcPr>
                  <w:tcW w:w="656" w:type="pct"/>
                  <w:vMerge w:val="continue"/>
                  <w:noWrap w:val="0"/>
                  <w:vAlign w:val="center"/>
                </w:tcPr>
                <w:p w14:paraId="7CED1AFF">
                  <w:pPr>
                    <w:tabs>
                      <w:tab w:val="left" w:pos="576"/>
                    </w:tabs>
                    <w:spacing w:line="240" w:lineRule="auto"/>
                    <w:ind w:firstLine="0" w:firstLineChars="0"/>
                    <w:jc w:val="center"/>
                    <w:rPr>
                      <w:rFonts w:hint="default" w:ascii="Times New Roman" w:hAnsi="Times New Roman" w:cs="Times New Roman"/>
                      <w:b/>
                      <w:color w:val="auto"/>
                      <w:sz w:val="21"/>
                      <w:szCs w:val="21"/>
                      <w:highlight w:val="none"/>
                    </w:rPr>
                  </w:pPr>
                </w:p>
              </w:tc>
              <w:tc>
                <w:tcPr>
                  <w:tcW w:w="1237" w:type="pct"/>
                  <w:noWrap w:val="0"/>
                  <w:vAlign w:val="center"/>
                </w:tcPr>
                <w:p w14:paraId="5818F28A">
                  <w:pPr>
                    <w:pStyle w:val="3"/>
                    <w:tabs>
                      <w:tab w:val="left" w:pos="576"/>
                    </w:tabs>
                    <w:snapToGrid w:val="0"/>
                    <w:spacing w:line="240" w:lineRule="auto"/>
                    <w:jc w:val="center"/>
                    <w:outlineLvl w:val="1"/>
                    <w:rPr>
                      <w:rFonts w:hint="default" w:ascii="Times New Roman" w:hAnsi="Times New Roman" w:cs="Times New Roman"/>
                      <w:b w:val="0"/>
                      <w:color w:val="auto"/>
                      <w:sz w:val="21"/>
                      <w:szCs w:val="21"/>
                      <w:highlight w:val="none"/>
                    </w:rPr>
                  </w:pPr>
                  <w:bookmarkStart w:id="31" w:name="_Toc4596"/>
                  <w:r>
                    <w:rPr>
                      <w:rFonts w:hint="default" w:ascii="Times New Roman" w:hAnsi="Times New Roman" w:eastAsia="宋体" w:cs="Times New Roman"/>
                      <w:bCs/>
                      <w:color w:val="auto"/>
                      <w:sz w:val="21"/>
                      <w:szCs w:val="21"/>
                      <w:highlight w:val="none"/>
                      <w:lang w:eastAsia="zh-CN"/>
                    </w:rPr>
                    <w:t>废润滑油</w:t>
                  </w:r>
                  <w:bookmarkEnd w:id="31"/>
                </w:p>
              </w:tc>
              <w:tc>
                <w:tcPr>
                  <w:tcW w:w="805" w:type="pct"/>
                  <w:noWrap w:val="0"/>
                  <w:vAlign w:val="center"/>
                </w:tcPr>
                <w:p w14:paraId="39514F89">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0.408</w:t>
                  </w:r>
                </w:p>
              </w:tc>
              <w:tc>
                <w:tcPr>
                  <w:tcW w:w="1187" w:type="pct"/>
                  <w:noWrap w:val="0"/>
                  <w:vAlign w:val="center"/>
                </w:tcPr>
                <w:p w14:paraId="024488C7">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50</w:t>
                  </w:r>
                </w:p>
              </w:tc>
              <w:tc>
                <w:tcPr>
                  <w:tcW w:w="826" w:type="pct"/>
                  <w:noWrap w:val="0"/>
                  <w:vAlign w:val="center"/>
                </w:tcPr>
                <w:p w14:paraId="403A79CD">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0.00816</w:t>
                  </w:r>
                </w:p>
              </w:tc>
            </w:tr>
            <w:tr w14:paraId="7643F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73" w:type="pct"/>
                  <w:gridSpan w:val="5"/>
                  <w:noWrap w:val="0"/>
                  <w:vAlign w:val="center"/>
                </w:tcPr>
                <w:p w14:paraId="31E51861">
                  <w:pPr>
                    <w:pStyle w:val="3"/>
                    <w:tabs>
                      <w:tab w:val="left" w:pos="576"/>
                    </w:tabs>
                    <w:snapToGrid w:val="0"/>
                    <w:spacing w:line="240" w:lineRule="auto"/>
                    <w:jc w:val="center"/>
                    <w:outlineLvl w:val="1"/>
                    <w:rPr>
                      <w:rFonts w:hint="default" w:ascii="Times New Roman" w:hAnsi="Times New Roman" w:cs="Times New Roman"/>
                      <w:b w:val="0"/>
                      <w:bCs w:val="0"/>
                      <w:color w:val="auto"/>
                      <w:sz w:val="21"/>
                      <w:szCs w:val="21"/>
                      <w:highlight w:val="none"/>
                    </w:rPr>
                  </w:pPr>
                  <w:bookmarkStart w:id="32" w:name="_Toc8523"/>
                  <w:r>
                    <w:rPr>
                      <w:rFonts w:hint="default" w:ascii="Times New Roman" w:hAnsi="Times New Roman" w:eastAsia="宋体" w:cs="Times New Roman"/>
                      <w:b w:val="0"/>
                      <w:bCs w:val="0"/>
                      <w:color w:val="auto"/>
                      <w:w w:val="100"/>
                      <w:kern w:val="2"/>
                      <w:sz w:val="21"/>
                      <w:szCs w:val="21"/>
                      <w:highlight w:val="none"/>
                      <w:lang w:val="en-US" w:eastAsia="zh-CN" w:bidi="ar-SA"/>
                    </w:rPr>
                    <w:t>项目Q值∑</w:t>
                  </w:r>
                  <w:bookmarkEnd w:id="32"/>
                </w:p>
              </w:tc>
              <w:tc>
                <w:tcPr>
                  <w:tcW w:w="826" w:type="pct"/>
                  <w:noWrap w:val="0"/>
                  <w:vAlign w:val="center"/>
                </w:tcPr>
                <w:p w14:paraId="0674BCB5">
                  <w:pPr>
                    <w:tabs>
                      <w:tab w:val="left" w:pos="576"/>
                    </w:tabs>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0.008228</w:t>
                  </w:r>
                </w:p>
              </w:tc>
            </w:tr>
          </w:tbl>
          <w:p w14:paraId="53397416">
            <w:pPr>
              <w:numPr>
                <w:ilvl w:val="0"/>
                <w:numId w:val="0"/>
              </w:numPr>
              <w:adjustRightInd w:val="0"/>
              <w:snapToGrid w:val="0"/>
              <w:spacing w:line="360" w:lineRule="auto"/>
              <w:ind w:firstLine="48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由</w:t>
            </w:r>
            <w:r>
              <w:rPr>
                <w:rFonts w:hint="default" w:ascii="Times New Roman" w:hAnsi="Times New Roman" w:cs="Times New Roman"/>
                <w:color w:val="auto"/>
                <w:kern w:val="0"/>
                <w:sz w:val="24"/>
                <w:szCs w:val="24"/>
                <w:highlight w:val="none"/>
              </w:rPr>
              <w:t>上表可知，本项目</w:t>
            </w:r>
            <w:r>
              <w:rPr>
                <w:rFonts w:hint="default" w:ascii="Times New Roman" w:hAnsi="Times New Roman" w:cs="Times New Roman"/>
                <w:color w:val="auto"/>
                <w:kern w:val="0"/>
                <w:sz w:val="24"/>
                <w:szCs w:val="24"/>
                <w:highlight w:val="none"/>
                <w:lang w:val="en-US" w:eastAsia="zh-CN"/>
              </w:rPr>
              <w:t>环境风险</w:t>
            </w:r>
            <w:r>
              <w:rPr>
                <w:rFonts w:hint="default" w:ascii="Times New Roman" w:hAnsi="Times New Roman" w:cs="Times New Roman"/>
                <w:color w:val="auto"/>
                <w:kern w:val="0"/>
                <w:sz w:val="24"/>
                <w:szCs w:val="24"/>
                <w:highlight w:val="none"/>
              </w:rPr>
              <w:t>物质数量与临界量比值Q＜1</w:t>
            </w:r>
            <w:r>
              <w:rPr>
                <w:rFonts w:hint="eastAsia" w:ascii="Times New Roman" w:hAnsi="Times New Roman" w:eastAsia="宋体" w:cs="Times New Roman"/>
                <w:color w:val="auto"/>
                <w:kern w:val="0"/>
                <w:sz w:val="24"/>
                <w:szCs w:val="24"/>
                <w:highlight w:val="none"/>
                <w:lang w:val="en-US" w:eastAsia="zh-CN"/>
              </w:rPr>
              <w:t>。</w:t>
            </w:r>
          </w:p>
          <w:p w14:paraId="713F3AF0">
            <w:pPr>
              <w:numPr>
                <w:ilvl w:val="0"/>
                <w:numId w:val="0"/>
              </w:numPr>
              <w:adjustRightInd w:val="0"/>
              <w:snapToGrid w:val="0"/>
              <w:spacing w:line="360" w:lineRule="auto"/>
              <w:ind w:left="0" w:leftChars="0" w:firstLine="44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Cs/>
                <w:color w:val="auto"/>
                <w:spacing w:val="-10"/>
                <w:kern w:val="2"/>
                <w:sz w:val="24"/>
                <w:szCs w:val="24"/>
                <w:highlight w:val="none"/>
                <w:lang w:val="en-US" w:eastAsia="zh-CN" w:bidi="ar-SA"/>
              </w:rPr>
              <w:t>（2）</w:t>
            </w:r>
            <w:r>
              <w:rPr>
                <w:rFonts w:hint="default" w:ascii="Times New Roman" w:hAnsi="Times New Roman" w:cs="Times New Roman"/>
                <w:bCs/>
                <w:color w:val="auto"/>
                <w:spacing w:val="-10"/>
                <w:sz w:val="24"/>
                <w:szCs w:val="24"/>
                <w:highlight w:val="none"/>
                <w:lang w:val="en-US" w:eastAsia="zh-CN"/>
              </w:rPr>
              <w:t>影响途径</w:t>
            </w:r>
          </w:p>
          <w:p w14:paraId="75C00ED8">
            <w:pPr>
              <w:widowControl/>
              <w:spacing w:line="360" w:lineRule="auto"/>
              <w:ind w:firstLine="480" w:firstLineChars="200"/>
              <w:jc w:val="left"/>
              <w:rPr>
                <w:rFonts w:hint="default" w:ascii="Times New Roman" w:hAnsi="Times New Roman" w:eastAsia="TimesNewRomanPSMT"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eastAsia="zh-CN" w:bidi="ar"/>
              </w:rPr>
              <w:t>油类物质泄漏</w:t>
            </w:r>
            <w:r>
              <w:rPr>
                <w:rFonts w:hint="default" w:ascii="Times New Roman" w:hAnsi="Times New Roman" w:eastAsia="TimesNewRomanPSMT" w:cs="Times New Roman"/>
                <w:color w:val="auto"/>
                <w:kern w:val="0"/>
                <w:sz w:val="24"/>
                <w:szCs w:val="24"/>
                <w:highlight w:val="none"/>
                <w:lang w:bidi="ar"/>
              </w:rPr>
              <w:t>通过地表径流进入地表水或通过土壤渗透至地下水；</w:t>
            </w:r>
            <w:r>
              <w:rPr>
                <w:rFonts w:hint="eastAsia" w:eastAsia="宋体" w:cs="Times New Roman"/>
                <w:color w:val="auto"/>
                <w:kern w:val="0"/>
                <w:sz w:val="24"/>
                <w:szCs w:val="24"/>
                <w:highlight w:val="none"/>
                <w:lang w:val="en-US" w:eastAsia="zh-CN" w:bidi="ar"/>
              </w:rPr>
              <w:t>含油废物</w:t>
            </w:r>
            <w:r>
              <w:rPr>
                <w:rFonts w:hint="default" w:ascii="Times New Roman" w:hAnsi="Times New Roman" w:cs="Times New Roman"/>
                <w:color w:val="auto"/>
                <w:kern w:val="0"/>
                <w:sz w:val="24"/>
                <w:szCs w:val="24"/>
                <w:highlight w:val="none"/>
              </w:rPr>
              <w:t>燃烧产生的一氧化碳通过空气影响大气环境</w:t>
            </w:r>
            <w:r>
              <w:rPr>
                <w:rFonts w:hint="default" w:ascii="Times New Roman" w:hAnsi="Times New Roman" w:eastAsia="TimesNewRomanPSMT" w:cs="Times New Roman"/>
                <w:color w:val="auto"/>
                <w:kern w:val="0"/>
                <w:sz w:val="24"/>
                <w:szCs w:val="24"/>
                <w:highlight w:val="none"/>
                <w:lang w:bidi="ar"/>
              </w:rPr>
              <w:t>。则本厂最大可信事故为：油液</w:t>
            </w:r>
            <w:r>
              <w:rPr>
                <w:rFonts w:hint="default" w:ascii="Times New Roman" w:hAnsi="Times New Roman" w:eastAsia="宋体" w:cs="Times New Roman"/>
                <w:color w:val="auto"/>
                <w:kern w:val="0"/>
                <w:sz w:val="24"/>
                <w:szCs w:val="24"/>
                <w:highlight w:val="none"/>
                <w:lang w:eastAsia="zh-CN" w:bidi="ar"/>
              </w:rPr>
              <w:t>泄漏</w:t>
            </w:r>
            <w:r>
              <w:rPr>
                <w:rFonts w:hint="default" w:ascii="Times New Roman" w:hAnsi="Times New Roman" w:eastAsia="TimesNewRomanPSMT" w:cs="Times New Roman"/>
                <w:color w:val="auto"/>
                <w:kern w:val="0"/>
                <w:sz w:val="24"/>
                <w:szCs w:val="24"/>
                <w:highlight w:val="none"/>
                <w:lang w:bidi="ar"/>
              </w:rPr>
              <w:t>。</w:t>
            </w:r>
          </w:p>
          <w:p w14:paraId="76A2E11D">
            <w:pPr>
              <w:widowControl/>
              <w:spacing w:line="360" w:lineRule="auto"/>
              <w:ind w:firstLine="480" w:firstLineChars="200"/>
              <w:jc w:val="left"/>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eastAsia="TimesNewRomanPSMT" w:cs="Times New Roman"/>
                <w:color w:val="auto"/>
                <w:kern w:val="0"/>
                <w:sz w:val="24"/>
                <w:szCs w:val="24"/>
                <w:highlight w:val="none"/>
                <w:lang w:bidi="ar"/>
              </w:rPr>
              <w:t>本项目风险物质中</w:t>
            </w:r>
            <w:r>
              <w:rPr>
                <w:rFonts w:hint="default" w:ascii="Times New Roman" w:hAnsi="Times New Roman" w:eastAsia="宋体" w:cs="Times New Roman"/>
                <w:color w:val="auto"/>
                <w:kern w:val="0"/>
                <w:sz w:val="24"/>
                <w:szCs w:val="24"/>
                <w:highlight w:val="none"/>
                <w:lang w:eastAsia="zh-CN" w:bidi="ar"/>
              </w:rPr>
              <w:t>油类物质</w:t>
            </w:r>
            <w:r>
              <w:rPr>
                <w:rFonts w:hint="default" w:ascii="Times New Roman" w:hAnsi="Times New Roman" w:eastAsia="TimesNewRomanPSMT" w:cs="Times New Roman"/>
                <w:color w:val="auto"/>
                <w:kern w:val="0"/>
                <w:sz w:val="24"/>
                <w:szCs w:val="24"/>
                <w:highlight w:val="none"/>
                <w:lang w:bidi="ar"/>
              </w:rPr>
              <w:t>具有有毒有害特性，储存于防渗处理的库房内</w:t>
            </w:r>
            <w:r>
              <w:rPr>
                <w:rFonts w:hint="default" w:ascii="Times New Roman" w:hAnsi="Times New Roman" w:eastAsia="宋体" w:cs="Times New Roman"/>
                <w:color w:val="auto"/>
                <w:kern w:val="0"/>
                <w:sz w:val="24"/>
                <w:szCs w:val="24"/>
                <w:highlight w:val="none"/>
                <w:lang w:eastAsia="zh-CN" w:bidi="ar"/>
              </w:rPr>
              <w:t>。</w:t>
            </w:r>
          </w:p>
          <w:p w14:paraId="7F16825D">
            <w:pPr>
              <w:numPr>
                <w:ilvl w:val="0"/>
                <w:numId w:val="0"/>
              </w:numPr>
              <w:adjustRightInd w:val="0"/>
              <w:snapToGrid w:val="0"/>
              <w:spacing w:line="360" w:lineRule="auto"/>
              <w:ind w:left="0" w:leftChars="0" w:firstLine="44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Cs/>
                <w:color w:val="auto"/>
                <w:spacing w:val="-10"/>
                <w:kern w:val="2"/>
                <w:sz w:val="24"/>
                <w:szCs w:val="24"/>
                <w:highlight w:val="none"/>
                <w:lang w:val="en-US" w:eastAsia="zh-CN" w:bidi="ar-SA"/>
              </w:rPr>
              <w:t>（3）</w:t>
            </w:r>
            <w:r>
              <w:rPr>
                <w:rFonts w:hint="default" w:ascii="Times New Roman" w:hAnsi="Times New Roman" w:cs="Times New Roman"/>
                <w:bCs/>
                <w:color w:val="auto"/>
                <w:spacing w:val="-10"/>
                <w:sz w:val="24"/>
                <w:szCs w:val="24"/>
                <w:highlight w:val="none"/>
                <w:lang w:val="en-US" w:eastAsia="zh-CN"/>
              </w:rPr>
              <w:t>环境风险防范措施</w:t>
            </w:r>
          </w:p>
          <w:p w14:paraId="441E85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①</w:t>
            </w:r>
            <w:r>
              <w:rPr>
                <w:rFonts w:hint="default" w:ascii="Times New Roman" w:hAnsi="Times New Roman" w:cs="Times New Roman"/>
                <w:color w:val="auto"/>
                <w:sz w:val="24"/>
                <w:szCs w:val="24"/>
                <w:highlight w:val="none"/>
              </w:rPr>
              <w:t>贮存过程风险防范措施：危险物品入库必须检查验收登记，查看包装是否密封；装卸、搬运时应轻装轻卸；贮存场所应设置应急措施，如托盘等，且其建设应做好硬化、防渗工作；贮存的危险化学品必须有明显的标志，其库房和场所的消防设施、用电设施等必须符合国家的相关规定；要严格遵守有关贮存的安全规定，包括《仓库防火安全管理规则</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建筑设计防火规范</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易燃易爆化学物品消防安全监督管理办法》等。</w:t>
            </w:r>
          </w:p>
          <w:p w14:paraId="35AC48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②</w:t>
            </w:r>
            <w:r>
              <w:rPr>
                <w:rFonts w:hint="default" w:ascii="Times New Roman" w:hAnsi="Times New Roman" w:cs="Times New Roman"/>
                <w:color w:val="auto"/>
                <w:sz w:val="24"/>
                <w:szCs w:val="24"/>
                <w:highlight w:val="none"/>
              </w:rPr>
              <w:t>生产过程风险防范措施：生产过程事故风险防范是安全生产的重要环节，建设单位应该做到以下防范措施：定期组织员工学习、贯彻各项安全生产政策，并将国家要求和安全技术规范转化为各自岗位的安全操作规程，并悬挂于醒目位置，规范岗位操作，降低事故概率。</w:t>
            </w:r>
          </w:p>
          <w:p w14:paraId="56910E2D">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③</w:t>
            </w:r>
            <w:r>
              <w:rPr>
                <w:rFonts w:hint="default" w:ascii="Times New Roman" w:hAnsi="Times New Roman" w:cs="Times New Roman"/>
                <w:color w:val="auto"/>
                <w:sz w:val="24"/>
                <w:szCs w:val="24"/>
                <w:highlight w:val="none"/>
              </w:rPr>
              <w:t>加强风险物质储存区域的检查，</w:t>
            </w:r>
            <w:r>
              <w:rPr>
                <w:rFonts w:hint="default" w:ascii="Times New Roman" w:hAnsi="Times New Roman" w:cs="Times New Roman"/>
                <w:color w:val="auto"/>
                <w:sz w:val="24"/>
                <w:szCs w:val="24"/>
                <w:highlight w:val="none"/>
                <w:lang w:eastAsia="zh-CN"/>
              </w:rPr>
              <w:t>一旦</w:t>
            </w:r>
            <w:r>
              <w:rPr>
                <w:rFonts w:hint="default" w:ascii="Times New Roman" w:hAnsi="Times New Roman" w:cs="Times New Roman"/>
                <w:color w:val="auto"/>
                <w:sz w:val="24"/>
                <w:szCs w:val="24"/>
                <w:highlight w:val="none"/>
              </w:rPr>
              <w:t>发生</w:t>
            </w:r>
            <w:r>
              <w:rPr>
                <w:rFonts w:hint="default" w:ascii="Times New Roman" w:hAnsi="Times New Roman" w:cs="Times New Roman"/>
                <w:color w:val="auto"/>
                <w:sz w:val="24"/>
                <w:szCs w:val="24"/>
                <w:highlight w:val="none"/>
                <w:lang w:eastAsia="zh-CN"/>
              </w:rPr>
              <w:t>泄漏</w:t>
            </w:r>
            <w:r>
              <w:rPr>
                <w:rFonts w:hint="default" w:ascii="Times New Roman" w:hAnsi="Times New Roman" w:cs="Times New Roman"/>
                <w:color w:val="auto"/>
                <w:sz w:val="24"/>
                <w:szCs w:val="24"/>
                <w:highlight w:val="none"/>
              </w:rPr>
              <w:t>事故，应立即停产，将危险物质转移到其他容器中，检修完毕后方能投入生产。</w:t>
            </w:r>
          </w:p>
          <w:p w14:paraId="41106EAB">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④储存容器一旦因本身质量、外界因素或人为因素发生大量泄漏后，泄漏的原料将向低处流动。有效的围堵可将泄漏的原料限制在一定的安全范围内，防止火灾事故的发生，同时也有利于溢出物料的收集。因此建议建设单位在风险物品贮存区设置围堰，可有效</w:t>
            </w:r>
            <w:r>
              <w:rPr>
                <w:rFonts w:hint="default" w:ascii="Times New Roman" w:hAnsi="Times New Roman" w:cs="Times New Roman"/>
                <w:color w:val="auto"/>
                <w:sz w:val="24"/>
                <w:szCs w:val="24"/>
                <w:highlight w:val="none"/>
                <w:lang w:eastAsia="zh-CN"/>
              </w:rPr>
              <w:t>防止</w:t>
            </w:r>
            <w:r>
              <w:rPr>
                <w:rFonts w:hint="default" w:ascii="Times New Roman" w:hAnsi="Times New Roman" w:cs="Times New Roman"/>
                <w:color w:val="auto"/>
                <w:sz w:val="24"/>
                <w:szCs w:val="24"/>
                <w:highlight w:val="none"/>
              </w:rPr>
              <w:t>事故状态下风险物品的外泄。</w:t>
            </w:r>
          </w:p>
          <w:p w14:paraId="54AC8ACC">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⑤</w:t>
            </w:r>
            <w:r>
              <w:rPr>
                <w:rFonts w:hint="default" w:ascii="Times New Roman" w:hAnsi="Times New Roman" w:cs="Times New Roman"/>
                <w:color w:val="auto"/>
                <w:sz w:val="24"/>
                <w:szCs w:val="24"/>
                <w:highlight w:val="none"/>
              </w:rPr>
              <w:t>危废暂存风险防范措施</w:t>
            </w:r>
          </w:p>
          <w:p w14:paraId="32D85C8A">
            <w:pPr>
              <w:pStyle w:val="7"/>
              <w:adjustRightInd w:val="0"/>
              <w:spacing w:after="0" w:line="360" w:lineRule="auto"/>
              <w:ind w:left="0" w:leftChars="0" w:firstLine="48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color w:val="auto"/>
                <w:sz w:val="24"/>
                <w:szCs w:val="24"/>
                <w:highlight w:val="none"/>
              </w:rPr>
              <w:t>根据《危险废物贮存污染控制标准》(GB18597-20</w:t>
            </w:r>
            <w:r>
              <w:rPr>
                <w:rFonts w:hint="default" w:ascii="Times New Roman" w:hAnsi="Times New Roman" w:cs="Times New Roman"/>
                <w:color w:val="auto"/>
                <w:sz w:val="24"/>
                <w:szCs w:val="24"/>
                <w:highlight w:val="none"/>
                <w:lang w:val="en-US" w:eastAsia="zh-CN"/>
              </w:rPr>
              <w:t>23</w:t>
            </w:r>
            <w:r>
              <w:rPr>
                <w:rFonts w:hint="default" w:ascii="Times New Roman" w:hAnsi="Times New Roman" w:cs="Times New Roman"/>
                <w:color w:val="auto"/>
                <w:sz w:val="24"/>
                <w:szCs w:val="24"/>
                <w:highlight w:val="none"/>
              </w:rPr>
              <w:t>)，地面与裙脚用坚固、防渗的材料建造，防渗层采用2mm厚的防渗材料，保证防渗层为至少1m厚黏土层（渗透系数不大于10</w:t>
            </w:r>
            <w:r>
              <w:rPr>
                <w:rFonts w:hint="default" w:ascii="Times New Roman" w:hAnsi="Times New Roman" w:cs="Times New Roman"/>
                <w:color w:val="auto"/>
                <w:sz w:val="24"/>
                <w:szCs w:val="24"/>
                <w:highlight w:val="none"/>
                <w:vertAlign w:val="superscript"/>
              </w:rPr>
              <w:t>-7</w:t>
            </w:r>
            <w:r>
              <w:rPr>
                <w:rFonts w:hint="default" w:ascii="Times New Roman" w:hAnsi="Times New Roman" w:cs="Times New Roman"/>
                <w:color w:val="auto"/>
                <w:sz w:val="24"/>
                <w:szCs w:val="24"/>
                <w:highlight w:val="none"/>
              </w:rPr>
              <w:t>cm/s），或至少2mm厚高密度聚乙烯膜等人工防渗材料（渗透系数不大于10</w:t>
            </w:r>
            <w:r>
              <w:rPr>
                <w:rFonts w:hint="default" w:ascii="Times New Roman" w:hAnsi="Times New Roman" w:cs="Times New Roman"/>
                <w:color w:val="auto"/>
                <w:sz w:val="24"/>
                <w:szCs w:val="24"/>
                <w:highlight w:val="none"/>
                <w:vertAlign w:val="superscript"/>
              </w:rPr>
              <w:t>-10</w:t>
            </w:r>
            <w:r>
              <w:rPr>
                <w:rFonts w:hint="default" w:ascii="Times New Roman" w:hAnsi="Times New Roman" w:cs="Times New Roman"/>
                <w:color w:val="auto"/>
                <w:sz w:val="24"/>
                <w:szCs w:val="24"/>
                <w:highlight w:val="none"/>
              </w:rPr>
              <w:t>cm/s）</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防雨</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防漏</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设置明显标志。危废存放过程中，注意存放危险废物堆的防晒、防水等。不相容危险废物要分别存放或存放在不渗透间隔分开的区域内，每个部分都应有防渗漏脚，防漏裙脚的材料要与危险废物相容。</w:t>
            </w:r>
          </w:p>
          <w:p w14:paraId="3543C2F4">
            <w:pPr>
              <w:numPr>
                <w:ilvl w:val="0"/>
                <w:numId w:val="0"/>
              </w:numPr>
              <w:adjustRightInd w:val="0"/>
              <w:snapToGrid w:val="0"/>
              <w:spacing w:line="360" w:lineRule="auto"/>
              <w:ind w:left="0" w:leftChars="0" w:firstLine="44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Cs/>
                <w:color w:val="auto"/>
                <w:spacing w:val="-10"/>
                <w:kern w:val="2"/>
                <w:sz w:val="24"/>
                <w:szCs w:val="24"/>
                <w:highlight w:val="none"/>
                <w:lang w:val="en-US" w:eastAsia="zh-CN" w:bidi="ar-SA"/>
              </w:rPr>
              <w:t>（4）</w:t>
            </w:r>
            <w:r>
              <w:rPr>
                <w:rFonts w:hint="default" w:ascii="Times New Roman" w:hAnsi="Times New Roman" w:cs="Times New Roman"/>
                <w:bCs/>
                <w:color w:val="auto"/>
                <w:spacing w:val="-10"/>
                <w:sz w:val="24"/>
                <w:szCs w:val="24"/>
                <w:highlight w:val="none"/>
                <w:lang w:val="en-US" w:eastAsia="zh-CN"/>
              </w:rPr>
              <w:t>风险应急预案</w:t>
            </w:r>
          </w:p>
          <w:p w14:paraId="36A2E022">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项目建成后应按照《关于进一步加强环境影响评价管理防范环境风险的通知》《企业事业单位突发环境事件应急预案备案管理办法（试行）》）等要求编制环境风险应急预案并进行备案登记。</w:t>
            </w:r>
          </w:p>
          <w:p w14:paraId="0EC1B053">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为了有效地</w:t>
            </w:r>
            <w:r>
              <w:rPr>
                <w:rFonts w:hint="default" w:ascii="Times New Roman" w:hAnsi="Times New Roman" w:cs="Times New Roman"/>
                <w:color w:val="auto"/>
                <w:sz w:val="24"/>
                <w:szCs w:val="24"/>
                <w:highlight w:val="none"/>
              </w:rPr>
              <w:t>处理风险事故，应有切实可行的处理措施。项目风险事故应急措施包括设备器材、事故现场指挥、救护、通讯等系统的建立、现场应急措施方案、事故危害监测队伍、现场撤离和善后措施方案等。</w:t>
            </w:r>
          </w:p>
          <w:p w14:paraId="23F383F9">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①设立报警、通讯系统以及事故处理领导体系：明确职责，并落实有关人员。</w:t>
            </w:r>
          </w:p>
          <w:p w14:paraId="13A20DD1">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②制定有效处理事故的应急行动方案，并得到有关部门的认可，能与有关部门有效配合。</w:t>
            </w:r>
          </w:p>
          <w:p w14:paraId="5AFE66DD">
            <w:pPr>
              <w:pStyle w:val="7"/>
              <w:adjustRightInd w:val="0"/>
              <w:spacing w:after="0" w:line="360" w:lineRule="auto"/>
              <w:ind w:left="0" w:lef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③制定控制和减少事故影响范围以及补救行动的实施计划。</w:t>
            </w:r>
          </w:p>
          <w:p w14:paraId="1223CE88">
            <w:pPr>
              <w:pStyle w:val="7"/>
              <w:adjustRightInd w:val="0"/>
              <w:spacing w:after="0" w:line="360" w:lineRule="auto"/>
              <w:ind w:left="0" w:leftChars="0" w:firstLine="48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color w:val="auto"/>
                <w:sz w:val="24"/>
                <w:szCs w:val="24"/>
                <w:highlight w:val="none"/>
              </w:rPr>
              <w:t>④对事故现场管理以及事故处置全过程的监督，应由事故处置人员或有关部门工作人员承担。</w:t>
            </w:r>
          </w:p>
          <w:p w14:paraId="1B0A9BC6">
            <w:pPr>
              <w:numPr>
                <w:ilvl w:val="0"/>
                <w:numId w:val="0"/>
              </w:numPr>
              <w:adjustRightInd w:val="0"/>
              <w:snapToGrid w:val="0"/>
              <w:spacing w:line="360" w:lineRule="auto"/>
              <w:ind w:left="0" w:leftChars="0" w:firstLine="44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cs="Times New Roman"/>
                <w:bCs/>
                <w:color w:val="auto"/>
                <w:spacing w:val="-10"/>
                <w:kern w:val="2"/>
                <w:sz w:val="24"/>
                <w:szCs w:val="24"/>
                <w:highlight w:val="none"/>
                <w:lang w:val="en-US" w:eastAsia="zh-CN" w:bidi="ar-SA"/>
              </w:rPr>
              <w:t>（5）</w:t>
            </w:r>
            <w:r>
              <w:rPr>
                <w:rFonts w:hint="default" w:ascii="Times New Roman" w:hAnsi="Times New Roman" w:cs="Times New Roman"/>
                <w:bCs/>
                <w:color w:val="auto"/>
                <w:spacing w:val="-10"/>
                <w:sz w:val="24"/>
                <w:szCs w:val="24"/>
                <w:highlight w:val="none"/>
                <w:lang w:val="en-US" w:eastAsia="zh-CN"/>
              </w:rPr>
              <w:t>评价结论及建议</w:t>
            </w:r>
          </w:p>
          <w:p w14:paraId="07204EE8">
            <w:pPr>
              <w:numPr>
                <w:ilvl w:val="0"/>
                <w:numId w:val="0"/>
              </w:numPr>
              <w:adjustRightInd w:val="0"/>
              <w:snapToGrid w:val="0"/>
              <w:spacing w:line="360" w:lineRule="auto"/>
              <w:ind w:firstLine="480" w:firstLineChars="200"/>
              <w:rPr>
                <w:rFonts w:hint="default" w:ascii="Times New Roman" w:hAnsi="Times New Roman" w:cs="Times New Roman"/>
                <w:bCs/>
                <w:color w:val="auto"/>
                <w:spacing w:val="-10"/>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根据环境风险判定结果，</w:t>
            </w:r>
            <w:r>
              <w:rPr>
                <w:rFonts w:hint="eastAsia" w:ascii="Times New Roman" w:hAnsi="Times New Roman" w:eastAsia="宋体" w:cs="Times New Roman"/>
                <w:color w:val="auto"/>
                <w:kern w:val="0"/>
                <w:sz w:val="24"/>
                <w:szCs w:val="24"/>
                <w:highlight w:val="none"/>
                <w:lang w:val="en-US" w:eastAsia="zh-CN"/>
              </w:rPr>
              <w:t>本项目不需要设置专题。</w:t>
            </w:r>
            <w:r>
              <w:rPr>
                <w:rFonts w:hint="default" w:ascii="Times New Roman" w:hAnsi="Times New Roman" w:eastAsia="宋体" w:cs="Times New Roman"/>
                <w:color w:val="auto"/>
                <w:sz w:val="24"/>
                <w:szCs w:val="24"/>
                <w:highlight w:val="none"/>
                <w:lang w:val="en-US" w:eastAsia="zh-CN"/>
              </w:rPr>
              <w:t>建设单位通过强化对环境风险物质控制措施，同时制定有针对性的应急计划，购置相关的应急物资，建设项目环境风险可控。</w:t>
            </w:r>
          </w:p>
          <w:p w14:paraId="0FE31A41">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b/>
                <w:bCs/>
                <w:color w:val="auto"/>
                <w:kern w:val="0"/>
                <w:sz w:val="24"/>
                <w:szCs w:val="24"/>
                <w:highlight w:val="none"/>
                <w:lang w:val="en-US" w:eastAsia="zh-CN" w:bidi="ar"/>
              </w:rPr>
              <w:t>7、运输过程中环境影响分析</w:t>
            </w:r>
            <w:r>
              <w:rPr>
                <w:rFonts w:hint="eastAsia" w:ascii="Times New Roman" w:hAnsi="Times New Roman" w:cs="Times New Roman"/>
                <w:b/>
                <w:bCs/>
                <w:color w:val="auto"/>
                <w:kern w:val="0"/>
                <w:sz w:val="24"/>
                <w:szCs w:val="24"/>
                <w:highlight w:val="none"/>
                <w:lang w:val="en-US" w:eastAsia="zh-CN" w:bidi="ar"/>
              </w:rPr>
              <w:t xml:space="preserve"> </w:t>
            </w:r>
            <w:r>
              <w:rPr>
                <w:rFonts w:hint="eastAsia" w:ascii="Times New Roman" w:hAnsi="Times New Roman" w:cs="Times New Roman"/>
                <w:color w:val="auto"/>
                <w:kern w:val="0"/>
                <w:sz w:val="24"/>
                <w:szCs w:val="24"/>
                <w:highlight w:val="none"/>
                <w:lang w:val="en-US" w:eastAsia="zh-CN" w:bidi="ar"/>
              </w:rPr>
              <w:t xml:space="preserve">         </w:t>
            </w:r>
          </w:p>
          <w:p w14:paraId="13BCFA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运输车辆运输过程中</w:t>
            </w:r>
            <w:r>
              <w:rPr>
                <w:rFonts w:hint="default" w:ascii="Times New Roman" w:hAnsi="Times New Roman" w:cs="Times New Roman"/>
                <w:color w:val="auto"/>
                <w:sz w:val="24"/>
                <w:szCs w:val="24"/>
              </w:rPr>
              <w:t>主要排放颗粒物、氮氧化物等污染物。颗粒物会直接增加空气中PM</w:t>
            </w:r>
            <w:r>
              <w:rPr>
                <w:rFonts w:hint="default" w:ascii="Times New Roman" w:hAnsi="Times New Roman" w:cs="Times New Roman"/>
                <w:color w:val="auto"/>
                <w:sz w:val="24"/>
                <w:szCs w:val="24"/>
                <w:vertAlign w:val="subscript"/>
              </w:rPr>
              <w:t>2.5</w:t>
            </w:r>
            <w:r>
              <w:rPr>
                <w:rFonts w:hint="default" w:ascii="Times New Roman" w:hAnsi="Times New Roman" w:cs="Times New Roman"/>
                <w:color w:val="auto"/>
                <w:sz w:val="24"/>
                <w:szCs w:val="24"/>
              </w:rPr>
              <w:t>、PM</w:t>
            </w:r>
            <w:r>
              <w:rPr>
                <w:rFonts w:hint="default" w:ascii="Times New Roman" w:hAnsi="Times New Roman" w:cs="Times New Roman"/>
                <w:color w:val="auto"/>
                <w:sz w:val="24"/>
                <w:szCs w:val="24"/>
                <w:vertAlign w:val="subscript"/>
              </w:rPr>
              <w:t>10</w:t>
            </w:r>
            <w:r>
              <w:rPr>
                <w:rFonts w:hint="default" w:ascii="Times New Roman" w:hAnsi="Times New Roman" w:cs="Times New Roman"/>
                <w:color w:val="auto"/>
                <w:sz w:val="24"/>
                <w:szCs w:val="24"/>
              </w:rPr>
              <w:t>的浓度，导致空气质量下降，影响周边环境空气质量和居民健康。</w:t>
            </w:r>
            <w:r>
              <w:rPr>
                <w:rFonts w:hint="eastAsia" w:ascii="Times New Roman" w:hAnsi="Times New Roman" w:cs="Times New Roman"/>
                <w:color w:val="auto"/>
                <w:sz w:val="24"/>
                <w:szCs w:val="24"/>
                <w:lang w:val="en-US" w:eastAsia="zh-CN"/>
              </w:rPr>
              <w:t>建设单位</w:t>
            </w:r>
            <w:r>
              <w:rPr>
                <w:rFonts w:hint="default" w:ascii="Times New Roman" w:hAnsi="Times New Roman" w:cs="Times New Roman"/>
                <w:color w:val="auto"/>
                <w:sz w:val="24"/>
                <w:szCs w:val="24"/>
              </w:rPr>
              <w:t>优先选用符合国六及以上排放标准的</w:t>
            </w:r>
            <w:r>
              <w:rPr>
                <w:rFonts w:hint="eastAsia" w:ascii="Times New Roman" w:hAnsi="Times New Roman" w:cs="Times New Roman"/>
                <w:color w:val="auto"/>
                <w:sz w:val="24"/>
                <w:szCs w:val="24"/>
                <w:lang w:val="en-US" w:eastAsia="zh-CN"/>
              </w:rPr>
              <w:t>运输车辆</w:t>
            </w:r>
            <w:r>
              <w:rPr>
                <w:rFonts w:hint="default" w:ascii="Times New Roman" w:hAnsi="Times New Roman" w:cs="Times New Roman"/>
                <w:color w:val="auto"/>
                <w:sz w:val="24"/>
                <w:szCs w:val="24"/>
              </w:rPr>
              <w:t>，或直接采用新能源车辆（如纯电动、氢燃料电池货车），尤其在运输路线途经居民区、学校等敏感点时，新能源车辆占比需不低于30%；禁止使用已淘汰的黄标车、老旧车（使用年限</w:t>
            </w:r>
            <w:r>
              <w:rPr>
                <w:rFonts w:hint="eastAsia" w:ascii="Times New Roman" w:hAnsi="Times New Roman" w:cs="Times New Roman"/>
                <w:color w:val="auto"/>
                <w:sz w:val="24"/>
                <w:szCs w:val="24"/>
                <w:lang w:eastAsia="zh-CN"/>
              </w:rPr>
              <w:t>超过</w:t>
            </w:r>
            <w:r>
              <w:rPr>
                <w:rFonts w:hint="default" w:ascii="Times New Roman" w:hAnsi="Times New Roman" w:cs="Times New Roman"/>
                <w:color w:val="auto"/>
                <w:sz w:val="24"/>
                <w:szCs w:val="24"/>
              </w:rPr>
              <w:t>8年且未达国五标准）参与运输。运输散装物料（如建筑垃圾）时，必须使用带自动密闭顶盖的厢式货车，或对普通货车加装防雨布</w:t>
            </w:r>
            <w:r>
              <w:rPr>
                <w:rFonts w:hint="eastAsia" w:ascii="Times New Roman" w:hAnsi="Times New Roman" w:cs="Times New Roman"/>
                <w:color w:val="auto"/>
                <w:sz w:val="24"/>
                <w:szCs w:val="24"/>
                <w:lang w:val="en-US" w:eastAsia="zh-CN"/>
              </w:rPr>
              <w:t>和</w:t>
            </w:r>
            <w:r>
              <w:rPr>
                <w:rFonts w:hint="default" w:ascii="Times New Roman" w:hAnsi="Times New Roman" w:cs="Times New Roman"/>
                <w:color w:val="auto"/>
                <w:sz w:val="24"/>
                <w:szCs w:val="24"/>
              </w:rPr>
              <w:t>防尘网，防止物料遗撒产生扬尘。</w:t>
            </w:r>
          </w:p>
          <w:p w14:paraId="0923F1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运输车辆运输过程中</w:t>
            </w:r>
            <w:r>
              <w:rPr>
                <w:rFonts w:hint="default" w:ascii="Times New Roman" w:hAnsi="Times New Roman" w:cs="Times New Roman"/>
                <w:color w:val="auto"/>
                <w:sz w:val="24"/>
                <w:szCs w:val="24"/>
              </w:rPr>
              <w:t>会产生噪声，可能会对周围声环境敏感点</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如居民区、学校、医院等</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造成噪声污染，影响人们的正常生活、学习和工作。</w:t>
            </w:r>
            <w:r>
              <w:rPr>
                <w:rFonts w:hint="eastAsia" w:ascii="Times New Roman" w:hAnsi="Times New Roman" w:cs="Times New Roman"/>
                <w:color w:val="auto"/>
                <w:sz w:val="24"/>
                <w:szCs w:val="24"/>
                <w:lang w:val="en-US" w:eastAsia="zh-CN"/>
              </w:rPr>
              <w:t>运输车辆应</w:t>
            </w:r>
            <w:r>
              <w:rPr>
                <w:rFonts w:hint="default" w:ascii="Times New Roman" w:hAnsi="Times New Roman" w:cs="Times New Roman"/>
                <w:color w:val="auto"/>
                <w:sz w:val="24"/>
                <w:szCs w:val="24"/>
              </w:rPr>
              <w:t>避开环境敏感区（如居民区、医院、学校）</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且</w:t>
            </w:r>
            <w:r>
              <w:rPr>
                <w:rFonts w:hint="default" w:ascii="Times New Roman" w:hAnsi="Times New Roman" w:cs="Times New Roman"/>
                <w:color w:val="auto"/>
                <w:sz w:val="24"/>
                <w:szCs w:val="24"/>
              </w:rPr>
              <w:t>划定运输</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禁行/限行路段</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，若必须途经，需选择距离敏感点边界≥50米的路线；运输时段避开敏感点人员活动高峰，减少污染物与人群的接触时长。</w:t>
            </w:r>
          </w:p>
          <w:p w14:paraId="6388849A">
            <w:pPr>
              <w:keepNext w:val="0"/>
              <w:keepLines w:val="0"/>
              <w:pageBreakBefore w:val="0"/>
              <w:widowControl w:val="0"/>
              <w:numPr>
                <w:ilvl w:val="0"/>
                <w:numId w:val="11"/>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非道路移动机械环境保护管理要求</w:t>
            </w:r>
          </w:p>
          <w:p w14:paraId="468B1F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排放达标要求：</w:t>
            </w:r>
            <w:r>
              <w:rPr>
                <w:rFonts w:hint="eastAsia" w:ascii="Times New Roman" w:hAnsi="Times New Roman" w:cs="Times New Roman"/>
                <w:color w:val="auto"/>
                <w:sz w:val="24"/>
                <w:szCs w:val="24"/>
                <w:lang w:val="en-US" w:eastAsia="zh-CN"/>
              </w:rPr>
              <w:t>建设单位</w:t>
            </w:r>
            <w:r>
              <w:rPr>
                <w:rFonts w:hint="default" w:ascii="Times New Roman" w:hAnsi="Times New Roman" w:cs="Times New Roman"/>
                <w:color w:val="auto"/>
                <w:sz w:val="24"/>
                <w:szCs w:val="24"/>
              </w:rPr>
              <w:t>优先采购噪声源强≤85dB（A）的非道路移动机械</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对新入场机械，需提供厂家出具的噪声检测报告，确保符合《非道路移动机械噪声限值》（GB 20891-2014）要求</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非道路移动机械不得超过国家现行有效的排放标准排放大气污染物，如《非道路移动机械用柴油机排气污染物排放限值及测量方法（中国第三、四阶段）》（GB20891-2014）等相关标准。同时，要符合当地机动车及非道路移动机械低排放区有关管理要求。</w:t>
            </w:r>
          </w:p>
          <w:p w14:paraId="685C19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编码登记与标识管理：排污单位应对在用非道路移动机械进行环保编码登记，取得机械环保登记号码、环保信息采集卡，并按照国家相关规范悬挂、粘贴或喷涂环保号码（标牌），以便于管理和监督。</w:t>
            </w:r>
          </w:p>
          <w:p w14:paraId="2BB705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立环保管理台账：排污单位应建立移动源环保管理台账，记录移动源名称、发动机型号、识别代码、排放标准、车牌号或环保号牌、所有人或者使用人信息等，以及机动车车辆日进出登记情况、非道路移动机械日耗油量统计情况、车（机）污染防治装置安装情况及废气处理药剂使用记录等，以便追溯和管理。</w:t>
            </w:r>
          </w:p>
          <w:p w14:paraId="5D06BC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定期检测与维护：排污单位应定期对非道路移动机械进行检测和维护，确保其污染防治设施正常运行，污染物达标排放。</w:t>
            </w:r>
          </w:p>
          <w:p w14:paraId="2BD2D34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源头控制：在项目建设过程中，尽量选用低排放、高效能的非道路移动机械，从源头上减少污染物的排放。对于新购置或租赁的非道路移动机械，要确保其符合最新的排放标准和环保要求。</w:t>
            </w:r>
          </w:p>
          <w:p w14:paraId="445E4698">
            <w:pPr>
              <w:numPr>
                <w:ilvl w:val="0"/>
                <w:numId w:val="0"/>
              </w:numPr>
              <w:adjustRightInd w:val="0"/>
              <w:snapToGrid w:val="0"/>
              <w:spacing w:line="360" w:lineRule="auto"/>
              <w:rPr>
                <w:rFonts w:hint="default" w:ascii="Times New Roman" w:hAnsi="Times New Roman" w:cs="Times New Roman"/>
                <w:bCs/>
                <w:color w:val="auto"/>
                <w:spacing w:val="-10"/>
                <w:sz w:val="24"/>
                <w:szCs w:val="24"/>
                <w:highlight w:val="none"/>
                <w:lang w:val="en-US" w:eastAsia="zh-CN"/>
              </w:rPr>
            </w:pPr>
            <w:r>
              <w:rPr>
                <w:rFonts w:hint="eastAsia" w:cs="Times New Roman"/>
                <w:b/>
                <w:bCs/>
                <w:color w:val="auto"/>
                <w:spacing w:val="-10"/>
                <w:kern w:val="2"/>
                <w:sz w:val="24"/>
                <w:szCs w:val="24"/>
                <w:highlight w:val="none"/>
                <w:lang w:val="en-US" w:eastAsia="zh-CN" w:bidi="ar-SA"/>
              </w:rPr>
              <w:t>9</w:t>
            </w:r>
            <w:r>
              <w:rPr>
                <w:rFonts w:hint="default" w:ascii="Times New Roman" w:hAnsi="Times New Roman" w:cs="Times New Roman"/>
                <w:b/>
                <w:bCs/>
                <w:color w:val="auto"/>
                <w:spacing w:val="-10"/>
                <w:kern w:val="2"/>
                <w:sz w:val="24"/>
                <w:szCs w:val="24"/>
                <w:highlight w:val="none"/>
                <w:lang w:val="en-US" w:eastAsia="zh-CN" w:bidi="ar-SA"/>
              </w:rPr>
              <w:t>、</w:t>
            </w:r>
            <w:r>
              <w:rPr>
                <w:rFonts w:hint="default" w:ascii="Times New Roman" w:hAnsi="Times New Roman" w:cs="Times New Roman"/>
                <w:b/>
                <w:bCs w:val="0"/>
                <w:color w:val="auto"/>
                <w:spacing w:val="-10"/>
                <w:sz w:val="24"/>
                <w:szCs w:val="24"/>
                <w:highlight w:val="none"/>
                <w:lang w:val="en-US" w:eastAsia="zh-CN"/>
              </w:rPr>
              <w:t>环保投资</w:t>
            </w:r>
          </w:p>
          <w:p w14:paraId="01185EE8">
            <w:pPr>
              <w:numPr>
                <w:ilvl w:val="0"/>
                <w:numId w:val="0"/>
              </w:numPr>
              <w:adjustRightInd w:val="0"/>
              <w:snapToGrid w:val="0"/>
              <w:spacing w:line="360" w:lineRule="auto"/>
              <w:ind w:firstLine="440" w:firstLineChars="200"/>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cs="Times New Roman"/>
                <w:b w:val="0"/>
                <w:bCs/>
                <w:color w:val="auto"/>
                <w:spacing w:val="-10"/>
                <w:sz w:val="24"/>
                <w:szCs w:val="24"/>
                <w:highlight w:val="none"/>
                <w:lang w:val="en-US" w:eastAsia="zh-CN"/>
              </w:rPr>
              <w:t>本项目</w:t>
            </w:r>
            <w:r>
              <w:rPr>
                <w:rFonts w:hint="default" w:ascii="Times New Roman" w:hAnsi="Times New Roman" w:eastAsia="宋体" w:cs="Times New Roman"/>
                <w:color w:val="auto"/>
                <w:kern w:val="0"/>
                <w:sz w:val="24"/>
                <w:szCs w:val="24"/>
                <w:highlight w:val="none"/>
                <w:lang w:val="en-US" w:eastAsia="zh-CN" w:bidi="ar"/>
              </w:rPr>
              <w:t>总投资200</w:t>
            </w:r>
            <w:r>
              <w:rPr>
                <w:rFonts w:hint="eastAsia" w:ascii="Times New Roman" w:hAnsi="Times New Roman" w:eastAsia="宋体" w:cs="Times New Roman"/>
                <w:color w:val="auto"/>
                <w:kern w:val="0"/>
                <w:sz w:val="24"/>
                <w:szCs w:val="24"/>
                <w:highlight w:val="none"/>
                <w:lang w:val="en-US" w:eastAsia="zh-CN" w:bidi="ar"/>
              </w:rPr>
              <w:t>0</w:t>
            </w:r>
            <w:r>
              <w:rPr>
                <w:rFonts w:hint="default" w:ascii="Times New Roman" w:hAnsi="Times New Roman" w:eastAsia="宋体" w:cs="Times New Roman"/>
                <w:color w:val="auto"/>
                <w:kern w:val="0"/>
                <w:sz w:val="24"/>
                <w:szCs w:val="24"/>
                <w:highlight w:val="none"/>
                <w:lang w:val="en-US" w:eastAsia="zh-CN" w:bidi="ar"/>
              </w:rPr>
              <w:t>万元，其中环保</w:t>
            </w:r>
            <w:r>
              <w:rPr>
                <w:rFonts w:hint="default" w:ascii="Times New Roman" w:hAnsi="Times New Roman" w:eastAsia="宋体" w:cs="Times New Roman"/>
                <w:color w:val="auto"/>
                <w:sz w:val="24"/>
                <w:szCs w:val="24"/>
                <w:highlight w:val="none"/>
                <w:lang w:val="en-US" w:eastAsia="zh-CN"/>
              </w:rPr>
              <w:t>投资概算</w:t>
            </w:r>
            <w:r>
              <w:rPr>
                <w:rFonts w:hint="eastAsia" w:ascii="Times New Roman" w:hAnsi="Times New Roman" w:eastAsia="宋体" w:cs="Times New Roman"/>
                <w:color w:val="auto"/>
                <w:kern w:val="0"/>
                <w:sz w:val="24"/>
                <w:szCs w:val="24"/>
                <w:highlight w:val="none"/>
                <w:lang w:val="en-US" w:eastAsia="zh-CN" w:bidi="ar"/>
              </w:rPr>
              <w:t>35</w:t>
            </w:r>
            <w:r>
              <w:rPr>
                <w:rFonts w:hint="default" w:ascii="Times New Roman" w:hAnsi="Times New Roman" w:eastAsia="宋体" w:cs="Times New Roman"/>
                <w:color w:val="auto"/>
                <w:kern w:val="0"/>
                <w:sz w:val="24"/>
                <w:szCs w:val="24"/>
                <w:highlight w:val="none"/>
                <w:lang w:val="en-US" w:eastAsia="zh-CN" w:bidi="ar"/>
              </w:rPr>
              <w:t>万元，占总投资的</w:t>
            </w:r>
            <w:r>
              <w:rPr>
                <w:rFonts w:hint="eastAsia" w:ascii="Times New Roman" w:hAnsi="Times New Roman" w:eastAsia="宋体" w:cs="Times New Roman"/>
                <w:color w:val="auto"/>
                <w:kern w:val="0"/>
                <w:sz w:val="24"/>
                <w:szCs w:val="24"/>
                <w:highlight w:val="none"/>
                <w:lang w:val="en-US" w:eastAsia="zh-CN" w:bidi="ar"/>
              </w:rPr>
              <w:t>1.75</w:t>
            </w:r>
            <w:r>
              <w:rPr>
                <w:rFonts w:hint="default" w:ascii="Times New Roman" w:hAnsi="Times New Roman" w:eastAsia="宋体" w:cs="Times New Roman"/>
                <w:color w:val="auto"/>
                <w:kern w:val="0"/>
                <w:sz w:val="24"/>
                <w:szCs w:val="24"/>
                <w:highlight w:val="none"/>
                <w:lang w:val="en-US" w:eastAsia="zh-CN" w:bidi="ar"/>
              </w:rPr>
              <w:t>%，本项目运营期环保</w:t>
            </w:r>
            <w:r>
              <w:rPr>
                <w:rFonts w:hint="default" w:ascii="Times New Roman" w:hAnsi="Times New Roman" w:eastAsia="宋体" w:cs="Times New Roman"/>
                <w:color w:val="auto"/>
                <w:sz w:val="24"/>
                <w:szCs w:val="24"/>
                <w:highlight w:val="none"/>
                <w:lang w:val="en-US" w:eastAsia="zh-CN"/>
              </w:rPr>
              <w:t>投资概算</w:t>
            </w:r>
            <w:r>
              <w:rPr>
                <w:rFonts w:hint="default" w:ascii="Times New Roman" w:hAnsi="Times New Roman" w:eastAsia="宋体" w:cs="Times New Roman"/>
                <w:color w:val="auto"/>
                <w:kern w:val="0"/>
                <w:sz w:val="24"/>
                <w:szCs w:val="24"/>
                <w:highlight w:val="none"/>
                <w:lang w:val="en-US" w:eastAsia="zh-CN" w:bidi="ar"/>
              </w:rPr>
              <w:t>情况详见下表。</w:t>
            </w:r>
          </w:p>
          <w:p w14:paraId="46938265">
            <w:pPr>
              <w:numPr>
                <w:ilvl w:val="0"/>
                <w:numId w:val="0"/>
              </w:numPr>
              <w:adjustRightInd w:val="0"/>
              <w:snapToGrid w:val="0"/>
              <w:spacing w:line="240" w:lineRule="auto"/>
              <w:jc w:val="center"/>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1"/>
                <w:szCs w:val="21"/>
                <w:highlight w:val="none"/>
                <w:lang w:val="en-US" w:eastAsia="zh-CN"/>
              </w:rPr>
              <w:t>表4-12</w:t>
            </w:r>
            <w:r>
              <w:rPr>
                <w:rFonts w:hint="eastAsia" w:cs="Times New Roman"/>
                <w:b/>
                <w:bCs w:val="0"/>
                <w:color w:val="auto"/>
                <w:spacing w:val="-10"/>
                <w:sz w:val="21"/>
                <w:szCs w:val="21"/>
                <w:highlight w:val="none"/>
                <w:lang w:val="en-US" w:eastAsia="zh-CN"/>
              </w:rPr>
              <w:t xml:space="preserve"> </w:t>
            </w:r>
            <w:r>
              <w:rPr>
                <w:rFonts w:hint="default" w:ascii="Times New Roman" w:hAnsi="Times New Roman" w:cs="Times New Roman"/>
                <w:b/>
                <w:bCs w:val="0"/>
                <w:color w:val="auto"/>
                <w:spacing w:val="-10"/>
                <w:sz w:val="21"/>
                <w:szCs w:val="21"/>
                <w:highlight w:val="none"/>
                <w:lang w:val="en-US" w:eastAsia="zh-CN"/>
              </w:rPr>
              <w:t>环保投资一览表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484"/>
              <w:gridCol w:w="3116"/>
              <w:gridCol w:w="869"/>
              <w:gridCol w:w="1542"/>
            </w:tblGrid>
            <w:tr w14:paraId="4AFB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26738FDD">
                  <w:pPr>
                    <w:spacing w:line="240" w:lineRule="auto"/>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类型</w:t>
                  </w:r>
                </w:p>
              </w:tc>
              <w:tc>
                <w:tcPr>
                  <w:tcW w:w="1486" w:type="dxa"/>
                  <w:noWrap w:val="0"/>
                  <w:vAlign w:val="center"/>
                </w:tcPr>
                <w:p w14:paraId="369BB03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污染源</w:t>
                  </w:r>
                </w:p>
              </w:tc>
              <w:tc>
                <w:tcPr>
                  <w:tcW w:w="3120" w:type="dxa"/>
                  <w:noWrap w:val="0"/>
                  <w:vAlign w:val="center"/>
                </w:tcPr>
                <w:p w14:paraId="0E855FA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环保设施</w:t>
                  </w:r>
                  <w:r>
                    <w:rPr>
                      <w:rFonts w:hint="default" w:ascii="Times New Roman" w:hAnsi="Times New Roman" w:eastAsia="宋体" w:cs="Times New Roman"/>
                      <w:b/>
                      <w:bCs/>
                      <w:color w:val="auto"/>
                      <w:highlight w:val="none"/>
                      <w:lang w:val="en-US" w:eastAsia="zh-CN"/>
                    </w:rPr>
                    <w:t>或措施</w:t>
                  </w:r>
                </w:p>
              </w:tc>
              <w:tc>
                <w:tcPr>
                  <w:tcW w:w="870" w:type="dxa"/>
                  <w:noWrap w:val="0"/>
                  <w:vAlign w:val="center"/>
                </w:tcPr>
                <w:p w14:paraId="757911AA">
                  <w:pPr>
                    <w:spacing w:line="240" w:lineRule="auto"/>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数量</w:t>
                  </w:r>
                </w:p>
              </w:tc>
              <w:tc>
                <w:tcPr>
                  <w:tcW w:w="1544" w:type="dxa"/>
                  <w:noWrap w:val="0"/>
                  <w:vAlign w:val="center"/>
                </w:tcPr>
                <w:p w14:paraId="01F8E15C">
                  <w:pPr>
                    <w:spacing w:line="240" w:lineRule="auto"/>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环保投资/万元</w:t>
                  </w:r>
                </w:p>
              </w:tc>
            </w:tr>
            <w:tr w14:paraId="0028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29DDF202">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废气</w:t>
                  </w:r>
                </w:p>
              </w:tc>
              <w:tc>
                <w:tcPr>
                  <w:tcW w:w="1486" w:type="dxa"/>
                  <w:noWrap w:val="0"/>
                  <w:vAlign w:val="center"/>
                </w:tcPr>
                <w:p w14:paraId="61CE74E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上料、破碎和打包</w:t>
                  </w:r>
                  <w:r>
                    <w:rPr>
                      <w:rFonts w:hint="eastAsia" w:ascii="Times New Roman" w:hAnsi="Times New Roman" w:eastAsia="宋体" w:cs="Times New Roman"/>
                      <w:color w:val="auto"/>
                      <w:sz w:val="21"/>
                      <w:szCs w:val="21"/>
                      <w:highlight w:val="none"/>
                      <w:lang w:val="en-US" w:eastAsia="zh-CN"/>
                    </w:rPr>
                    <w:t>工序</w:t>
                  </w:r>
                  <w:r>
                    <w:rPr>
                      <w:rFonts w:hint="eastAsia" w:ascii="Times New Roman" w:hAnsi="Times New Roman" w:eastAsia="宋体" w:cs="Times New Roman"/>
                      <w:color w:val="auto"/>
                      <w:highlight w:val="none"/>
                      <w:lang w:val="en-US" w:eastAsia="zh-CN"/>
                    </w:rPr>
                    <w:t>废气</w:t>
                  </w:r>
                </w:p>
              </w:tc>
              <w:tc>
                <w:tcPr>
                  <w:tcW w:w="3120" w:type="dxa"/>
                  <w:noWrap w:val="0"/>
                  <w:vAlign w:val="center"/>
                </w:tcPr>
                <w:p w14:paraId="3A3CB085">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上料和打包工序</w:t>
                  </w:r>
                  <w:r>
                    <w:rPr>
                      <w:rFonts w:hint="eastAsia" w:cs="Times New Roman"/>
                      <w:color w:val="auto"/>
                      <w:highlight w:val="none"/>
                      <w:lang w:val="en-US" w:eastAsia="zh-CN"/>
                    </w:rPr>
                    <w:t>粉尘</w:t>
                  </w:r>
                  <w:r>
                    <w:rPr>
                      <w:rFonts w:hint="eastAsia" w:ascii="Times New Roman" w:hAnsi="Times New Roman" w:eastAsia="宋体" w:cs="Times New Roman"/>
                      <w:color w:val="auto"/>
                      <w:highlight w:val="none"/>
                      <w:lang w:val="en-US" w:eastAsia="zh-CN"/>
                    </w:rPr>
                    <w:t>经2个集气罩收集，破碎工序</w:t>
                  </w:r>
                  <w:r>
                    <w:rPr>
                      <w:rFonts w:hint="eastAsia" w:cs="Times New Roman"/>
                      <w:color w:val="auto"/>
                      <w:highlight w:val="none"/>
                      <w:lang w:val="en-US" w:eastAsia="zh-CN"/>
                    </w:rPr>
                    <w:t>粉尘</w:t>
                  </w:r>
                  <w:r>
                    <w:rPr>
                      <w:rFonts w:hint="eastAsia" w:ascii="Times New Roman" w:hAnsi="Times New Roman" w:eastAsia="宋体" w:cs="Times New Roman"/>
                      <w:color w:val="auto"/>
                      <w:highlight w:val="none"/>
                      <w:lang w:val="en-US" w:eastAsia="zh-CN"/>
                    </w:rPr>
                    <w:t>经管道收集</w:t>
                  </w:r>
                  <w:r>
                    <w:rPr>
                      <w:rFonts w:hint="eastAsia" w:cs="Times New Roman"/>
                      <w:color w:val="auto"/>
                      <w:highlight w:val="none"/>
                      <w:lang w:val="en-US" w:eastAsia="zh-CN"/>
                    </w:rPr>
                    <w:t>后</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最终汇入一根主管道，</w:t>
                  </w:r>
                  <w:r>
                    <w:rPr>
                      <w:rFonts w:hint="eastAsia" w:ascii="Times New Roman" w:hAnsi="Times New Roman" w:eastAsia="宋体" w:cs="Times New Roman"/>
                      <w:color w:val="auto"/>
                      <w:highlight w:val="none"/>
                      <w:lang w:val="en-US" w:eastAsia="zh-CN"/>
                    </w:rPr>
                    <w:t>经布袋除尘器处理，通过18</w:t>
                  </w:r>
                  <w:r>
                    <w:rPr>
                      <w:rFonts w:hint="default" w:ascii="Times New Roman" w:hAnsi="Times New Roman" w:eastAsia="宋体" w:cs="Times New Roman"/>
                      <w:color w:val="auto"/>
                      <w:highlight w:val="none"/>
                      <w:lang w:val="en-US" w:eastAsia="zh-CN"/>
                    </w:rPr>
                    <w:t>m排气筒</w:t>
                  </w:r>
                  <w:r>
                    <w:rPr>
                      <w:rFonts w:hint="eastAsia" w:ascii="Times New Roman" w:hAnsi="Times New Roman" w:eastAsia="宋体" w:cs="Times New Roman"/>
                      <w:color w:val="auto"/>
                      <w:highlight w:val="none"/>
                      <w:lang w:val="en-US" w:eastAsia="zh-CN"/>
                    </w:rPr>
                    <w:t>排放</w:t>
                  </w:r>
                </w:p>
              </w:tc>
              <w:tc>
                <w:tcPr>
                  <w:tcW w:w="870" w:type="dxa"/>
                  <w:noWrap w:val="0"/>
                  <w:vAlign w:val="center"/>
                </w:tcPr>
                <w:p w14:paraId="22090768">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1套</w:t>
                  </w:r>
                </w:p>
              </w:tc>
              <w:tc>
                <w:tcPr>
                  <w:tcW w:w="1544" w:type="dxa"/>
                  <w:noWrap w:val="0"/>
                  <w:vAlign w:val="center"/>
                </w:tcPr>
                <w:p w14:paraId="31D66FD5">
                  <w:pPr>
                    <w:spacing w:line="240" w:lineRule="auto"/>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24</w:t>
                  </w:r>
                </w:p>
              </w:tc>
            </w:tr>
            <w:tr w14:paraId="7E290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166A358E">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废水</w:t>
                  </w:r>
                </w:p>
              </w:tc>
              <w:tc>
                <w:tcPr>
                  <w:tcW w:w="1486" w:type="dxa"/>
                  <w:noWrap w:val="0"/>
                  <w:vAlign w:val="center"/>
                </w:tcPr>
                <w:p w14:paraId="39B056C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生活污水</w:t>
                  </w:r>
                </w:p>
              </w:tc>
              <w:tc>
                <w:tcPr>
                  <w:tcW w:w="3120" w:type="dxa"/>
                  <w:noWrap w:val="0"/>
                  <w:vAlign w:val="center"/>
                </w:tcPr>
                <w:p w14:paraId="23DE799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w:t>
                  </w:r>
                  <w:r>
                    <w:rPr>
                      <w:rFonts w:hint="eastAsia" w:ascii="Times New Roman" w:hAnsi="Times New Roman" w:eastAsia="宋体" w:cs="Times New Roman"/>
                      <w:color w:val="auto"/>
                      <w:highlight w:val="none"/>
                      <w:lang w:val="en-US" w:eastAsia="zh-CN"/>
                    </w:rPr>
                    <w:t>陕西国坤时代科技有限</w:t>
                  </w:r>
                  <w:r>
                    <w:rPr>
                      <w:rFonts w:hint="eastAsia"/>
                      <w:color w:val="auto"/>
                      <w:highlight w:val="none"/>
                      <w:lang w:val="en-US" w:eastAsia="zh-CN"/>
                    </w:rPr>
                    <w:t>公司</w:t>
                  </w:r>
                  <w:r>
                    <w:rPr>
                      <w:rFonts w:hint="eastAsia" w:ascii="Times New Roman" w:hAnsi="Times New Roman" w:eastAsia="宋体" w:cs="Times New Roman"/>
                      <w:color w:val="auto"/>
                      <w:highlight w:val="none"/>
                      <w:lang w:val="en-US" w:eastAsia="zh-CN"/>
                    </w:rPr>
                    <w:t>化粪池</w:t>
                  </w:r>
                </w:p>
              </w:tc>
              <w:tc>
                <w:tcPr>
                  <w:tcW w:w="870" w:type="dxa"/>
                  <w:noWrap w:val="0"/>
                  <w:vAlign w:val="center"/>
                </w:tcPr>
                <w:p w14:paraId="2DF45167">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544" w:type="dxa"/>
                  <w:noWrap w:val="0"/>
                  <w:vAlign w:val="center"/>
                </w:tcPr>
                <w:p w14:paraId="7E0E5A35">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r>
            <w:tr w14:paraId="6CC05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0409C24A">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噪声</w:t>
                  </w:r>
                </w:p>
              </w:tc>
              <w:tc>
                <w:tcPr>
                  <w:tcW w:w="4606" w:type="dxa"/>
                  <w:gridSpan w:val="2"/>
                  <w:noWrap w:val="0"/>
                  <w:vAlign w:val="center"/>
                </w:tcPr>
                <w:p w14:paraId="26B8A38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低噪声设备，基础减振，厂房隔声，风机搭建</w:t>
                  </w:r>
                </w:p>
                <w:p w14:paraId="47F8959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隔声房等</w:t>
                  </w:r>
                </w:p>
              </w:tc>
              <w:tc>
                <w:tcPr>
                  <w:tcW w:w="870" w:type="dxa"/>
                  <w:noWrap w:val="0"/>
                  <w:vAlign w:val="center"/>
                </w:tcPr>
                <w:p w14:paraId="7E6F1FBF">
                  <w:pPr>
                    <w:spacing w:line="240" w:lineRule="auto"/>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p>
              </w:tc>
              <w:tc>
                <w:tcPr>
                  <w:tcW w:w="1544" w:type="dxa"/>
                  <w:noWrap w:val="0"/>
                  <w:vAlign w:val="center"/>
                </w:tcPr>
                <w:p w14:paraId="15809AF9">
                  <w:pPr>
                    <w:spacing w:line="240" w:lineRule="auto"/>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4.5</w:t>
                  </w:r>
                </w:p>
              </w:tc>
            </w:tr>
            <w:tr w14:paraId="3784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restart"/>
                  <w:noWrap w:val="0"/>
                  <w:vAlign w:val="center"/>
                </w:tcPr>
                <w:p w14:paraId="4984E582">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固体废物</w:t>
                  </w:r>
                </w:p>
              </w:tc>
              <w:tc>
                <w:tcPr>
                  <w:tcW w:w="1486" w:type="dxa"/>
                  <w:noWrap w:val="0"/>
                  <w:vAlign w:val="center"/>
                </w:tcPr>
                <w:p w14:paraId="26F9B2BF">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生活垃圾</w:t>
                  </w:r>
                </w:p>
              </w:tc>
              <w:tc>
                <w:tcPr>
                  <w:tcW w:w="3120" w:type="dxa"/>
                  <w:noWrap w:val="0"/>
                  <w:vAlign w:val="center"/>
                </w:tcPr>
                <w:p w14:paraId="121AF0B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设置垃圾桶集中收集后，交由</w:t>
                  </w:r>
                </w:p>
                <w:p w14:paraId="7DF24DB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环卫部门统一收集处理</w:t>
                  </w:r>
                </w:p>
              </w:tc>
              <w:tc>
                <w:tcPr>
                  <w:tcW w:w="870" w:type="dxa"/>
                  <w:noWrap w:val="0"/>
                  <w:vAlign w:val="center"/>
                </w:tcPr>
                <w:p w14:paraId="2DBF7EC5">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若干</w:t>
                  </w:r>
                </w:p>
              </w:tc>
              <w:tc>
                <w:tcPr>
                  <w:tcW w:w="1544" w:type="dxa"/>
                  <w:noWrap w:val="0"/>
                  <w:vAlign w:val="center"/>
                </w:tcPr>
                <w:p w14:paraId="70C9A5D0">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r>
            <w:tr w14:paraId="0032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continue"/>
                  <w:noWrap w:val="0"/>
                  <w:vAlign w:val="center"/>
                </w:tcPr>
                <w:p w14:paraId="0282878F">
                  <w:pPr>
                    <w:spacing w:line="240" w:lineRule="auto"/>
                    <w:jc w:val="center"/>
                    <w:rPr>
                      <w:rFonts w:hint="default" w:ascii="Times New Roman" w:hAnsi="Times New Roman" w:eastAsia="宋体" w:cs="Times New Roman"/>
                      <w:color w:val="auto"/>
                      <w:highlight w:val="none"/>
                      <w:lang w:val="en-US" w:eastAsia="zh-CN"/>
                    </w:rPr>
                  </w:pPr>
                </w:p>
              </w:tc>
              <w:tc>
                <w:tcPr>
                  <w:tcW w:w="1486" w:type="dxa"/>
                  <w:noWrap w:val="0"/>
                  <w:vAlign w:val="center"/>
                </w:tcPr>
                <w:p w14:paraId="0750B40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一般固体废物</w:t>
                  </w:r>
                </w:p>
              </w:tc>
              <w:tc>
                <w:tcPr>
                  <w:tcW w:w="3120" w:type="dxa"/>
                  <w:noWrap w:val="0"/>
                  <w:vAlign w:val="center"/>
                </w:tcPr>
                <w:p w14:paraId="46C042DD">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设置一般固体废物暂存</w:t>
                  </w:r>
                  <w:r>
                    <w:rPr>
                      <w:rFonts w:hint="eastAsia" w:ascii="Times New Roman" w:hAnsi="Times New Roman" w:eastAsia="宋体" w:cs="Times New Roman"/>
                      <w:color w:val="auto"/>
                      <w:highlight w:val="none"/>
                      <w:lang w:val="en-US" w:eastAsia="zh-CN"/>
                    </w:rPr>
                    <w:t>间</w:t>
                  </w:r>
                  <w:r>
                    <w:rPr>
                      <w:rFonts w:hint="default" w:ascii="Times New Roman" w:hAnsi="Times New Roman" w:eastAsia="宋体" w:cs="Times New Roman"/>
                      <w:color w:val="auto"/>
                      <w:highlight w:val="none"/>
                      <w:lang w:val="en-US" w:eastAsia="zh-CN"/>
                    </w:rPr>
                    <w:t>，分类收集后</w:t>
                  </w:r>
                  <w:r>
                    <w:rPr>
                      <w:rFonts w:hint="eastAsia" w:ascii="Times New Roman" w:hAnsi="Times New Roman" w:eastAsia="宋体" w:cs="Times New Roman"/>
                      <w:color w:val="auto"/>
                      <w:highlight w:val="none"/>
                      <w:lang w:val="en-US" w:eastAsia="zh-CN"/>
                    </w:rPr>
                    <w:t>回用于生产或</w:t>
                  </w:r>
                  <w:r>
                    <w:rPr>
                      <w:rFonts w:hint="default" w:ascii="Times New Roman" w:hAnsi="Times New Roman" w:eastAsia="宋体" w:cs="Times New Roman"/>
                      <w:color w:val="auto"/>
                      <w:highlight w:val="none"/>
                      <w:lang w:val="en-US" w:eastAsia="zh-CN"/>
                    </w:rPr>
                    <w:t>外售综合利用</w:t>
                  </w:r>
                </w:p>
              </w:tc>
              <w:tc>
                <w:tcPr>
                  <w:tcW w:w="870" w:type="dxa"/>
                  <w:noWrap w:val="0"/>
                  <w:vAlign w:val="center"/>
                </w:tcPr>
                <w:p w14:paraId="36434B9F">
                  <w:pPr>
                    <w:spacing w:line="240" w:lineRule="auto"/>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p>
              </w:tc>
              <w:tc>
                <w:tcPr>
                  <w:tcW w:w="1544" w:type="dxa"/>
                  <w:noWrap w:val="0"/>
                  <w:vAlign w:val="center"/>
                </w:tcPr>
                <w:p w14:paraId="09776856">
                  <w:pPr>
                    <w:spacing w:line="240" w:lineRule="auto"/>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1.3</w:t>
                  </w:r>
                </w:p>
              </w:tc>
            </w:tr>
            <w:tr w14:paraId="4F960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continue"/>
                  <w:noWrap w:val="0"/>
                  <w:vAlign w:val="center"/>
                </w:tcPr>
                <w:p w14:paraId="45A0CDD2">
                  <w:pPr>
                    <w:spacing w:line="240" w:lineRule="auto"/>
                    <w:jc w:val="center"/>
                    <w:rPr>
                      <w:rFonts w:hint="default" w:ascii="Times New Roman" w:hAnsi="Times New Roman" w:eastAsia="宋体" w:cs="Times New Roman"/>
                      <w:color w:val="auto"/>
                      <w:highlight w:val="none"/>
                      <w:lang w:val="en-US" w:eastAsia="zh-CN"/>
                    </w:rPr>
                  </w:pPr>
                </w:p>
              </w:tc>
              <w:tc>
                <w:tcPr>
                  <w:tcW w:w="1486" w:type="dxa"/>
                  <w:noWrap w:val="0"/>
                  <w:vAlign w:val="center"/>
                </w:tcPr>
                <w:p w14:paraId="1C11D51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危险废物</w:t>
                  </w:r>
                </w:p>
              </w:tc>
              <w:tc>
                <w:tcPr>
                  <w:tcW w:w="3120" w:type="dxa"/>
                  <w:noWrap w:val="0"/>
                  <w:vAlign w:val="center"/>
                </w:tcPr>
                <w:p w14:paraId="5C855C4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设置危险废物贮存库（</w:t>
                  </w:r>
                  <w:r>
                    <w:rPr>
                      <w:rFonts w:hint="eastAsia" w:ascii="Times New Roman" w:hAnsi="Times New Roman" w:eastAsia="宋体" w:cs="Times New Roman"/>
                      <w:color w:val="auto"/>
                      <w:highlight w:val="none"/>
                      <w:lang w:val="en-US" w:eastAsia="zh-CN"/>
                    </w:rPr>
                    <w:t>6</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），分区贮存后</w:t>
                  </w:r>
                  <w:r>
                    <w:rPr>
                      <w:rFonts w:hint="eastAsia" w:ascii="Times New Roman" w:hAnsi="Times New Roman" w:eastAsia="宋体" w:cs="Times New Roman"/>
                      <w:color w:val="auto"/>
                      <w:highlight w:val="none"/>
                      <w:lang w:val="en-US" w:eastAsia="zh-CN"/>
                    </w:rPr>
                    <w:t>定期</w:t>
                  </w:r>
                  <w:r>
                    <w:rPr>
                      <w:rFonts w:hint="default" w:ascii="Times New Roman" w:hAnsi="Times New Roman" w:eastAsia="宋体" w:cs="Times New Roman"/>
                      <w:color w:val="auto"/>
                      <w:highlight w:val="none"/>
                      <w:lang w:val="en-US" w:eastAsia="zh-CN"/>
                    </w:rPr>
                    <w:t>交由有资质</w:t>
                  </w:r>
                </w:p>
                <w:p w14:paraId="532391A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单位处置</w:t>
                  </w:r>
                </w:p>
              </w:tc>
              <w:tc>
                <w:tcPr>
                  <w:tcW w:w="870" w:type="dxa"/>
                  <w:noWrap w:val="0"/>
                  <w:vAlign w:val="center"/>
                </w:tcPr>
                <w:p w14:paraId="3A8EA1D4">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1间</w:t>
                  </w:r>
                </w:p>
              </w:tc>
              <w:tc>
                <w:tcPr>
                  <w:tcW w:w="1544" w:type="dxa"/>
                  <w:noWrap w:val="0"/>
                  <w:vAlign w:val="center"/>
                </w:tcPr>
                <w:p w14:paraId="383D7812">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r>
            <w:tr w14:paraId="2D0BA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680" w:type="dxa"/>
                  <w:gridSpan w:val="4"/>
                  <w:noWrap w:val="0"/>
                  <w:vAlign w:val="center"/>
                </w:tcPr>
                <w:p w14:paraId="5C51B0C1">
                  <w:pPr>
                    <w:spacing w:line="240" w:lineRule="auto"/>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合计</w:t>
                  </w:r>
                </w:p>
              </w:tc>
              <w:tc>
                <w:tcPr>
                  <w:tcW w:w="1544" w:type="dxa"/>
                  <w:noWrap w:val="0"/>
                  <w:vAlign w:val="center"/>
                </w:tcPr>
                <w:p w14:paraId="60008806">
                  <w:pPr>
                    <w:spacing w:line="240" w:lineRule="auto"/>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35</w:t>
                  </w:r>
                </w:p>
              </w:tc>
            </w:tr>
          </w:tbl>
          <w:p w14:paraId="6FB8B4F3">
            <w:pPr>
              <w:numPr>
                <w:ilvl w:val="0"/>
                <w:numId w:val="0"/>
              </w:numPr>
              <w:adjustRightInd w:val="0"/>
              <w:snapToGrid w:val="0"/>
              <w:spacing w:line="360" w:lineRule="auto"/>
              <w:ind w:firstLine="440" w:firstLineChars="200"/>
              <w:rPr>
                <w:rFonts w:hint="default" w:ascii="Times New Roman" w:hAnsi="Times New Roman" w:cs="Times New Roman"/>
                <w:bCs/>
                <w:color w:val="auto"/>
                <w:spacing w:val="-10"/>
                <w:sz w:val="24"/>
                <w:szCs w:val="24"/>
                <w:highlight w:val="none"/>
                <w:lang w:val="en-US" w:eastAsia="zh-CN"/>
              </w:rPr>
            </w:pPr>
          </w:p>
        </w:tc>
      </w:tr>
    </w:tbl>
    <w:p w14:paraId="0DD4680C">
      <w:pPr>
        <w:adjustRightInd w:val="0"/>
        <w:snapToGrid w:val="0"/>
        <w:spacing w:line="360" w:lineRule="auto"/>
        <w:rPr>
          <w:rFonts w:hint="default" w:ascii="Times New Roman" w:hAnsi="Times New Roman" w:cs="Times New Roman"/>
          <w:b/>
          <w:color w:val="auto"/>
          <w:kern w:val="0"/>
          <w:sz w:val="28"/>
          <w:szCs w:val="28"/>
          <w:highlight w:val="none"/>
        </w:rPr>
        <w:sectPr>
          <w:pgSz w:w="11907" w:h="16840"/>
          <w:pgMar w:top="1701" w:right="1531" w:bottom="2127" w:left="1531" w:header="851" w:footer="851" w:gutter="0"/>
          <w:pgNumType w:fmt="decimal"/>
          <w:cols w:space="720" w:num="1"/>
          <w:docGrid w:linePitch="312" w:charSpace="0"/>
        </w:sectPr>
      </w:pPr>
    </w:p>
    <w:p w14:paraId="046ED9D7">
      <w:pPr>
        <w:pStyle w:val="21"/>
        <w:jc w:val="center"/>
        <w:outlineLvl w:val="0"/>
        <w:rPr>
          <w:rFonts w:hint="default" w:ascii="Times New Roman" w:hAnsi="Times New Roman" w:eastAsia="黑体" w:cs="Times New Roman"/>
          <w:snapToGrid w:val="0"/>
          <w:color w:val="auto"/>
          <w:sz w:val="30"/>
          <w:szCs w:val="30"/>
          <w:highlight w:val="none"/>
        </w:rPr>
      </w:pPr>
      <w:bookmarkStart w:id="33" w:name="_Toc2420"/>
      <w:r>
        <w:rPr>
          <w:rFonts w:hint="default" w:ascii="Times New Roman" w:hAnsi="Times New Roman" w:eastAsia="黑体" w:cs="Times New Roman"/>
          <w:snapToGrid w:val="0"/>
          <w:color w:val="auto"/>
          <w:sz w:val="30"/>
          <w:szCs w:val="30"/>
          <w:highlight w:val="none"/>
        </w:rPr>
        <w:t>五、</w:t>
      </w:r>
      <w:bookmarkStart w:id="34" w:name="_Hlk54167917"/>
      <w:r>
        <w:rPr>
          <w:rFonts w:hint="default" w:ascii="Times New Roman" w:hAnsi="Times New Roman" w:eastAsia="黑体" w:cs="Times New Roman"/>
          <w:snapToGrid w:val="0"/>
          <w:color w:val="auto"/>
          <w:sz w:val="30"/>
          <w:szCs w:val="30"/>
          <w:highlight w:val="none"/>
        </w:rPr>
        <w:t>环境保护措施监督检查清单</w:t>
      </w:r>
      <w:bookmarkEnd w:id="33"/>
      <w:bookmarkEnd w:id="34"/>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668"/>
        <w:gridCol w:w="1450"/>
        <w:gridCol w:w="1788"/>
        <w:gridCol w:w="2475"/>
      </w:tblGrid>
      <w:tr w14:paraId="095E6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1679" w:type="dxa"/>
            <w:tcBorders>
              <w:tl2br w:val="single" w:color="auto" w:sz="4" w:space="0"/>
            </w:tcBorders>
            <w:noWrap w:val="0"/>
            <w:vAlign w:val="top"/>
          </w:tcPr>
          <w:p w14:paraId="1D6E73C4">
            <w:pPr>
              <w:adjustRightInd w:val="0"/>
              <w:snapToGrid w:val="0"/>
              <w:ind w:firstLine="964" w:firstLineChars="4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内容</w:t>
            </w:r>
          </w:p>
          <w:p w14:paraId="345F1891">
            <w:pPr>
              <w:adjustRightInd w:val="0"/>
              <w:snapToGrid w:val="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要素</w:t>
            </w:r>
          </w:p>
        </w:tc>
        <w:tc>
          <w:tcPr>
            <w:tcW w:w="1668" w:type="dxa"/>
            <w:noWrap w:val="0"/>
            <w:vAlign w:val="center"/>
          </w:tcPr>
          <w:p w14:paraId="74641C10">
            <w:pPr>
              <w:adjustRightInd w:val="0"/>
              <w:snapToGri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排放口</w:t>
            </w:r>
            <w:r>
              <w:rPr>
                <w:rFonts w:hint="eastAsia" w:ascii="Times New Roman" w:hAnsi="Times New Roman" w:cs="Times New Roman"/>
                <w:b/>
                <w:bCs/>
                <w:color w:val="auto"/>
                <w:sz w:val="24"/>
                <w:szCs w:val="24"/>
                <w:highlight w:val="none"/>
                <w:lang w:eastAsia="zh-CN"/>
              </w:rPr>
              <w:t>（</w:t>
            </w:r>
            <w:r>
              <w:rPr>
                <w:rFonts w:hint="default" w:ascii="Times New Roman" w:hAnsi="Times New Roman" w:cs="Times New Roman"/>
                <w:b/>
                <w:bCs/>
                <w:color w:val="auto"/>
                <w:sz w:val="24"/>
                <w:szCs w:val="24"/>
                <w:highlight w:val="none"/>
              </w:rPr>
              <w:t>编号、</w:t>
            </w:r>
          </w:p>
          <w:p w14:paraId="61AB6A97">
            <w:pPr>
              <w:adjustRightInd w:val="0"/>
              <w:snapToGri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名称</w:t>
            </w:r>
            <w:r>
              <w:rPr>
                <w:rFonts w:hint="eastAsia" w:ascii="Times New Roman" w:hAnsi="Times New Roman" w:cs="Times New Roman"/>
                <w:b/>
                <w:bCs/>
                <w:color w:val="auto"/>
                <w:sz w:val="24"/>
                <w:szCs w:val="24"/>
                <w:highlight w:val="none"/>
                <w:lang w:eastAsia="zh-CN"/>
              </w:rPr>
              <w:t>）</w:t>
            </w:r>
            <w:r>
              <w:rPr>
                <w:rFonts w:hint="default" w:ascii="Times New Roman" w:hAnsi="Times New Roman" w:cs="Times New Roman"/>
                <w:b/>
                <w:bCs/>
                <w:color w:val="auto"/>
                <w:sz w:val="24"/>
                <w:szCs w:val="24"/>
                <w:highlight w:val="none"/>
              </w:rPr>
              <w:t>/污染源</w:t>
            </w:r>
          </w:p>
        </w:tc>
        <w:tc>
          <w:tcPr>
            <w:tcW w:w="1450" w:type="dxa"/>
            <w:noWrap w:val="0"/>
            <w:vAlign w:val="center"/>
          </w:tcPr>
          <w:p w14:paraId="7FA689FC">
            <w:pPr>
              <w:adjustRightInd w:val="0"/>
              <w:snapToGri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污染物项目</w:t>
            </w:r>
          </w:p>
        </w:tc>
        <w:tc>
          <w:tcPr>
            <w:tcW w:w="1788" w:type="dxa"/>
            <w:noWrap w:val="0"/>
            <w:vAlign w:val="center"/>
          </w:tcPr>
          <w:p w14:paraId="1F275198">
            <w:pPr>
              <w:adjustRightInd w:val="0"/>
              <w:snapToGri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环境保护措施</w:t>
            </w:r>
          </w:p>
        </w:tc>
        <w:tc>
          <w:tcPr>
            <w:tcW w:w="2475" w:type="dxa"/>
            <w:noWrap w:val="0"/>
            <w:vAlign w:val="center"/>
          </w:tcPr>
          <w:p w14:paraId="35ACD4C2">
            <w:pPr>
              <w:adjustRightInd w:val="0"/>
              <w:snapToGri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执行标准</w:t>
            </w:r>
          </w:p>
        </w:tc>
      </w:tr>
      <w:tr w14:paraId="00FF1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3C3333CC">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大气环境</w:t>
            </w:r>
          </w:p>
        </w:tc>
        <w:tc>
          <w:tcPr>
            <w:tcW w:w="1668" w:type="dxa"/>
            <w:noWrap w:val="0"/>
            <w:vAlign w:val="center"/>
          </w:tcPr>
          <w:p w14:paraId="52661EDC">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上料、破碎和打包</w:t>
            </w:r>
            <w:r>
              <w:rPr>
                <w:rFonts w:hint="eastAsia" w:ascii="Times New Roman" w:hAnsi="Times New Roman" w:eastAsia="宋体" w:cs="Times New Roman"/>
                <w:color w:val="auto"/>
                <w:sz w:val="24"/>
                <w:szCs w:val="24"/>
                <w:highlight w:val="none"/>
                <w:lang w:val="en-US" w:eastAsia="zh-CN"/>
              </w:rPr>
              <w:t>工序废气排放口</w:t>
            </w:r>
            <w:r>
              <w:rPr>
                <w:rFonts w:hint="default" w:ascii="Times New Roman" w:hAnsi="Times New Roman" w:cs="Times New Roman"/>
                <w:color w:val="auto"/>
                <w:sz w:val="24"/>
                <w:szCs w:val="24"/>
                <w:highlight w:val="none"/>
                <w:lang w:val="en-US" w:eastAsia="zh-CN"/>
              </w:rPr>
              <w:t>（DA001）</w:t>
            </w:r>
          </w:p>
        </w:tc>
        <w:tc>
          <w:tcPr>
            <w:tcW w:w="1450" w:type="dxa"/>
            <w:noWrap w:val="0"/>
            <w:vAlign w:val="center"/>
          </w:tcPr>
          <w:p w14:paraId="1B73C922">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颗粒物</w:t>
            </w:r>
          </w:p>
        </w:tc>
        <w:tc>
          <w:tcPr>
            <w:tcW w:w="1788" w:type="dxa"/>
            <w:noWrap w:val="0"/>
            <w:vAlign w:val="center"/>
          </w:tcPr>
          <w:p w14:paraId="0AD81AE2">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w w:val="100"/>
                <w:kern w:val="2"/>
                <w:sz w:val="24"/>
                <w:szCs w:val="24"/>
                <w:highlight w:val="none"/>
                <w:lang w:val="en-US" w:eastAsia="zh-CN" w:bidi="ar-SA"/>
              </w:rPr>
              <w:t>上料和打包工序粉尘经2个集气罩收集，破碎工序粉尘经管道收集，经</w:t>
            </w:r>
            <w:r>
              <w:rPr>
                <w:rFonts w:hint="eastAsia" w:ascii="Times New Roman" w:hAnsi="Times New Roman" w:eastAsia="宋体" w:cs="Times New Roman"/>
                <w:color w:val="auto"/>
                <w:w w:val="100"/>
                <w:kern w:val="2"/>
                <w:sz w:val="24"/>
                <w:szCs w:val="24"/>
                <w:highlight w:val="none"/>
                <w:lang w:val="en-US" w:eastAsia="zh-CN" w:bidi="ar-SA"/>
              </w:rPr>
              <w:t>布袋除尘器</w:t>
            </w:r>
            <w:r>
              <w:rPr>
                <w:rFonts w:hint="eastAsia" w:cs="Times New Roman"/>
                <w:color w:val="auto"/>
                <w:w w:val="100"/>
                <w:kern w:val="2"/>
                <w:sz w:val="24"/>
                <w:szCs w:val="24"/>
                <w:highlight w:val="none"/>
                <w:lang w:val="en-US" w:eastAsia="zh-CN" w:bidi="ar-SA"/>
              </w:rPr>
              <w:t>处理，通过</w:t>
            </w:r>
            <w:r>
              <w:rPr>
                <w:rFonts w:hint="eastAsia" w:ascii="Times New Roman" w:hAnsi="Times New Roman" w:eastAsia="宋体" w:cs="Times New Roman"/>
                <w:color w:val="auto"/>
                <w:w w:val="100"/>
                <w:kern w:val="2"/>
                <w:sz w:val="24"/>
                <w:szCs w:val="24"/>
                <w:highlight w:val="none"/>
                <w:lang w:val="en-US" w:eastAsia="zh-CN" w:bidi="ar-SA"/>
              </w:rPr>
              <w:t>18</w:t>
            </w:r>
            <w:r>
              <w:rPr>
                <w:rFonts w:hint="default" w:ascii="Times New Roman" w:hAnsi="Times New Roman" w:eastAsia="宋体" w:cs="Times New Roman"/>
                <w:color w:val="auto"/>
                <w:w w:val="100"/>
                <w:kern w:val="2"/>
                <w:sz w:val="24"/>
                <w:szCs w:val="24"/>
                <w:highlight w:val="none"/>
                <w:lang w:val="en-US" w:eastAsia="zh-CN" w:bidi="ar-SA"/>
              </w:rPr>
              <w:t>m排气筒</w:t>
            </w:r>
            <w:r>
              <w:rPr>
                <w:rFonts w:hint="eastAsia" w:cs="Times New Roman"/>
                <w:color w:val="auto"/>
                <w:w w:val="100"/>
                <w:kern w:val="2"/>
                <w:sz w:val="24"/>
                <w:szCs w:val="24"/>
                <w:highlight w:val="none"/>
                <w:lang w:val="en-US" w:eastAsia="zh-CN" w:bidi="ar-SA"/>
              </w:rPr>
              <w:t>排放</w:t>
            </w:r>
          </w:p>
        </w:tc>
        <w:tc>
          <w:tcPr>
            <w:tcW w:w="2475" w:type="dxa"/>
            <w:noWrap w:val="0"/>
            <w:vAlign w:val="center"/>
          </w:tcPr>
          <w:p w14:paraId="4E8CA82C">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auto"/>
                <w:w w:val="100"/>
                <w:kern w:val="2"/>
                <w:sz w:val="24"/>
                <w:szCs w:val="24"/>
                <w:highlight w:val="none"/>
                <w:lang w:val="en-US" w:eastAsia="zh-CN" w:bidi="ar-SA"/>
              </w:rPr>
            </w:pPr>
            <w:r>
              <w:rPr>
                <w:rFonts w:hint="eastAsia" w:ascii="Times New Roman" w:hAnsi="Times New Roman" w:eastAsia="宋体" w:cs="Times New Roman"/>
                <w:color w:val="auto"/>
                <w:w w:val="100"/>
                <w:kern w:val="2"/>
                <w:sz w:val="24"/>
                <w:szCs w:val="24"/>
                <w:highlight w:val="none"/>
                <w:lang w:val="en-US" w:eastAsia="zh-CN" w:bidi="ar-SA"/>
              </w:rPr>
              <w:t>《大气污染物综合</w:t>
            </w:r>
          </w:p>
          <w:p w14:paraId="139EFA01">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auto"/>
                <w:w w:val="100"/>
                <w:kern w:val="2"/>
                <w:sz w:val="24"/>
                <w:szCs w:val="24"/>
                <w:highlight w:val="none"/>
                <w:lang w:val="en-US" w:eastAsia="zh-CN" w:bidi="ar-SA"/>
              </w:rPr>
            </w:pPr>
            <w:r>
              <w:rPr>
                <w:rFonts w:hint="eastAsia" w:ascii="Times New Roman" w:hAnsi="Times New Roman" w:eastAsia="宋体" w:cs="Times New Roman"/>
                <w:color w:val="auto"/>
                <w:w w:val="100"/>
                <w:kern w:val="2"/>
                <w:sz w:val="24"/>
                <w:szCs w:val="24"/>
                <w:highlight w:val="none"/>
                <w:lang w:val="en-US" w:eastAsia="zh-CN" w:bidi="ar-SA"/>
              </w:rPr>
              <w:t>排放标准》</w:t>
            </w:r>
          </w:p>
          <w:p w14:paraId="6FD75ED1">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auto"/>
                <w:w w:val="100"/>
                <w:kern w:val="2"/>
                <w:sz w:val="24"/>
                <w:szCs w:val="24"/>
                <w:highlight w:val="none"/>
                <w:lang w:val="en-US" w:eastAsia="zh-CN" w:bidi="ar-SA"/>
              </w:rPr>
            </w:pPr>
            <w:r>
              <w:rPr>
                <w:rFonts w:hint="eastAsia" w:ascii="Times New Roman" w:hAnsi="Times New Roman" w:eastAsia="宋体" w:cs="Times New Roman"/>
                <w:color w:val="auto"/>
                <w:w w:val="100"/>
                <w:kern w:val="2"/>
                <w:sz w:val="24"/>
                <w:szCs w:val="24"/>
                <w:highlight w:val="none"/>
                <w:lang w:val="en-US" w:eastAsia="zh-CN" w:bidi="ar-SA"/>
              </w:rPr>
              <w:t>（GB16297-1996）</w:t>
            </w:r>
          </w:p>
          <w:p w14:paraId="3DAFF9DE">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auto"/>
                <w:sz w:val="24"/>
                <w:szCs w:val="24"/>
                <w:highlight w:val="none"/>
              </w:rPr>
            </w:pPr>
            <w:r>
              <w:rPr>
                <w:rFonts w:hint="eastAsia" w:ascii="Times New Roman" w:hAnsi="Times New Roman" w:eastAsia="宋体" w:cs="Times New Roman"/>
                <w:color w:val="auto"/>
                <w:w w:val="100"/>
                <w:kern w:val="2"/>
                <w:sz w:val="24"/>
                <w:szCs w:val="24"/>
                <w:highlight w:val="none"/>
                <w:lang w:val="en-US" w:eastAsia="zh-CN" w:bidi="ar-SA"/>
              </w:rPr>
              <w:t>表2中</w:t>
            </w:r>
            <w:r>
              <w:rPr>
                <w:rFonts w:hint="default" w:ascii="Times New Roman" w:hAnsi="Times New Roman" w:eastAsia="宋体" w:cs="Times New Roman"/>
                <w:color w:val="auto"/>
                <w:w w:val="100"/>
                <w:kern w:val="2"/>
                <w:sz w:val="24"/>
                <w:szCs w:val="24"/>
                <w:highlight w:val="none"/>
                <w:lang w:val="en-US" w:eastAsia="zh-CN" w:bidi="ar-SA"/>
              </w:rPr>
              <w:t>相关标准限值</w:t>
            </w:r>
          </w:p>
        </w:tc>
      </w:tr>
      <w:tr w14:paraId="0898B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112F550">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地表水环境</w:t>
            </w:r>
          </w:p>
        </w:tc>
        <w:tc>
          <w:tcPr>
            <w:tcW w:w="1668" w:type="dxa"/>
            <w:noWrap w:val="0"/>
            <w:vAlign w:val="center"/>
          </w:tcPr>
          <w:p w14:paraId="035DC800">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生活污水</w:t>
            </w:r>
          </w:p>
        </w:tc>
        <w:tc>
          <w:tcPr>
            <w:tcW w:w="1450" w:type="dxa"/>
            <w:noWrap w:val="0"/>
            <w:vAlign w:val="center"/>
          </w:tcPr>
          <w:p w14:paraId="5AD6F6BE">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COD、BOD</w:t>
            </w:r>
            <w:r>
              <w:rPr>
                <w:rFonts w:hint="default" w:ascii="Times New Roman" w:hAnsi="Times New Roman" w:cs="Times New Roman"/>
                <w:color w:val="auto"/>
                <w:sz w:val="24"/>
                <w:szCs w:val="24"/>
                <w:highlight w:val="none"/>
                <w:vertAlign w:val="subscript"/>
                <w:lang w:val="en-US" w:eastAsia="zh-CN"/>
              </w:rPr>
              <w:t>5</w:t>
            </w:r>
            <w:r>
              <w:rPr>
                <w:rFonts w:hint="default" w:ascii="Times New Roman" w:hAnsi="Times New Roman" w:cs="Times New Roman"/>
                <w:color w:val="auto"/>
                <w:sz w:val="24"/>
                <w:szCs w:val="24"/>
                <w:highlight w:val="none"/>
                <w:lang w:val="en-US" w:eastAsia="zh-CN"/>
              </w:rPr>
              <w:t>、SS、NH</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-N、</w:t>
            </w:r>
            <w:r>
              <w:rPr>
                <w:rFonts w:hint="eastAsia" w:ascii="Times New Roman" w:hAnsi="Times New Roman" w:cs="Times New Roman"/>
                <w:color w:val="auto"/>
                <w:sz w:val="24"/>
                <w:szCs w:val="24"/>
                <w:highlight w:val="none"/>
                <w:lang w:val="en-US" w:eastAsia="zh-CN"/>
              </w:rPr>
              <w:t>PH</w:t>
            </w:r>
          </w:p>
        </w:tc>
        <w:tc>
          <w:tcPr>
            <w:tcW w:w="1788" w:type="dxa"/>
            <w:noWrap w:val="0"/>
            <w:vAlign w:val="center"/>
          </w:tcPr>
          <w:p w14:paraId="02C87F77">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依托</w:t>
            </w:r>
            <w:r>
              <w:rPr>
                <w:rFonts w:hint="eastAsia" w:ascii="Times New Roman" w:hAnsi="Times New Roman" w:cs="Times New Roman"/>
                <w:color w:val="auto"/>
                <w:sz w:val="24"/>
                <w:szCs w:val="24"/>
                <w:highlight w:val="none"/>
                <w:lang w:val="en-US" w:eastAsia="zh-CN"/>
              </w:rPr>
              <w:t>陕西国坤时代科技有限公司化粪池</w:t>
            </w:r>
            <w:r>
              <w:rPr>
                <w:rFonts w:hint="default" w:ascii="Times New Roman" w:hAnsi="Times New Roman" w:cs="Times New Roman"/>
                <w:color w:val="auto"/>
                <w:sz w:val="24"/>
                <w:szCs w:val="24"/>
                <w:highlight w:val="none"/>
                <w:lang w:val="en-US" w:eastAsia="zh-CN"/>
              </w:rPr>
              <w:t>处理后经市政污水管网排入泾河新城第二污水处理厂</w:t>
            </w:r>
          </w:p>
        </w:tc>
        <w:tc>
          <w:tcPr>
            <w:tcW w:w="2475" w:type="dxa"/>
            <w:noWrap w:val="0"/>
            <w:vAlign w:val="center"/>
          </w:tcPr>
          <w:p w14:paraId="2D5674E3">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auto"/>
                <w:spacing w:val="4"/>
                <w:sz w:val="24"/>
                <w:szCs w:val="24"/>
                <w:highlight w:val="none"/>
                <w:lang w:val="en-US" w:eastAsia="zh-CN"/>
              </w:rPr>
            </w:pPr>
            <w:r>
              <w:rPr>
                <w:rFonts w:hint="default" w:ascii="Times New Roman" w:hAnsi="Times New Roman" w:cs="Times New Roman"/>
                <w:color w:val="auto"/>
                <w:kern w:val="0"/>
                <w:sz w:val="24"/>
                <w:szCs w:val="24"/>
                <w:highlight w:val="none"/>
              </w:rPr>
              <w:t>《污水综合排放标准》（GB</w:t>
            </w:r>
            <w:r>
              <w:rPr>
                <w:rFonts w:hint="eastAsia" w:cs="Times New Roman"/>
                <w:color w:val="auto"/>
                <w:kern w:val="0"/>
                <w:sz w:val="24"/>
                <w:szCs w:val="24"/>
                <w:highlight w:val="none"/>
                <w:lang w:val="en-US" w:eastAsia="zh-CN"/>
              </w:rPr>
              <w:t>8</w:t>
            </w:r>
            <w:r>
              <w:rPr>
                <w:rFonts w:hint="default" w:ascii="Times New Roman" w:hAnsi="Times New Roman" w:cs="Times New Roman"/>
                <w:color w:val="auto"/>
                <w:kern w:val="0"/>
                <w:sz w:val="24"/>
                <w:szCs w:val="24"/>
                <w:highlight w:val="none"/>
              </w:rPr>
              <w:t>97</w:t>
            </w:r>
            <w:r>
              <w:rPr>
                <w:rFonts w:hint="eastAsia" w:cs="Times New Roman"/>
                <w:color w:val="auto"/>
                <w:kern w:val="0"/>
                <w:sz w:val="24"/>
                <w:szCs w:val="24"/>
                <w:highlight w:val="none"/>
                <w:lang w:val="en-US" w:eastAsia="zh-CN"/>
              </w:rPr>
              <w:t>8</w:t>
            </w:r>
            <w:r>
              <w:rPr>
                <w:rFonts w:hint="default" w:ascii="Times New Roman" w:hAnsi="Times New Roman" w:cs="Times New Roman"/>
                <w:color w:val="auto"/>
                <w:kern w:val="0"/>
                <w:sz w:val="24"/>
                <w:szCs w:val="24"/>
                <w:highlight w:val="none"/>
              </w:rPr>
              <w:t>-1996）中</w:t>
            </w:r>
            <w:r>
              <w:rPr>
                <w:rFonts w:hint="eastAsia" w:cs="Times New Roman"/>
                <w:color w:val="auto"/>
                <w:kern w:val="0"/>
                <w:sz w:val="24"/>
                <w:szCs w:val="24"/>
                <w:highlight w:val="none"/>
                <w:lang w:val="en-US" w:eastAsia="zh-CN"/>
              </w:rPr>
              <w:t>三级</w:t>
            </w:r>
            <w:r>
              <w:rPr>
                <w:rFonts w:hint="default" w:ascii="Times New Roman" w:hAnsi="Times New Roman" w:cs="Times New Roman"/>
                <w:color w:val="auto"/>
                <w:kern w:val="0"/>
                <w:sz w:val="24"/>
                <w:szCs w:val="24"/>
                <w:highlight w:val="none"/>
              </w:rPr>
              <w:t>标准</w:t>
            </w:r>
            <w:r>
              <w:rPr>
                <w:rFonts w:hint="default" w:ascii="Times New Roman" w:hAnsi="Times New Roman" w:cs="Times New Roman"/>
                <w:color w:val="auto"/>
                <w:spacing w:val="0"/>
                <w:kern w:val="0"/>
                <w:sz w:val="24"/>
                <w:szCs w:val="24"/>
                <w:highlight w:val="none"/>
              </w:rPr>
              <w:t>及</w:t>
            </w:r>
            <w:r>
              <w:rPr>
                <w:rFonts w:hint="default" w:ascii="Times New Roman" w:hAnsi="Times New Roman" w:cs="Times New Roman"/>
                <w:color w:val="auto"/>
                <w:spacing w:val="0"/>
                <w:sz w:val="24"/>
                <w:szCs w:val="24"/>
                <w:highlight w:val="none"/>
              </w:rPr>
              <w:t>《污水排入城镇下水道水质标准》</w:t>
            </w:r>
            <w:r>
              <w:rPr>
                <w:rFonts w:hint="default" w:ascii="Times New Roman" w:hAnsi="Times New Roman" w:cs="Times New Roman"/>
                <w:color w:val="auto"/>
                <w:spacing w:val="4"/>
                <w:sz w:val="24"/>
                <w:szCs w:val="24"/>
                <w:highlight w:val="none"/>
              </w:rPr>
              <w:t>（GB/T31962-2015）表1</w:t>
            </w:r>
            <w:r>
              <w:rPr>
                <w:rFonts w:hint="default" w:ascii="Times New Roman" w:hAnsi="Times New Roman" w:cs="Times New Roman"/>
                <w:color w:val="auto"/>
                <w:spacing w:val="4"/>
                <w:sz w:val="24"/>
                <w:szCs w:val="24"/>
                <w:highlight w:val="none"/>
                <w:lang w:val="en-US" w:eastAsia="zh-CN"/>
              </w:rPr>
              <w:t>中B级</w:t>
            </w:r>
          </w:p>
          <w:p w14:paraId="3B1EF53A">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pacing w:val="4"/>
                <w:sz w:val="24"/>
                <w:szCs w:val="24"/>
                <w:highlight w:val="none"/>
              </w:rPr>
              <w:t>标准要求</w:t>
            </w:r>
          </w:p>
        </w:tc>
      </w:tr>
      <w:tr w14:paraId="04F6F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0FC5B80">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声环境</w:t>
            </w:r>
          </w:p>
        </w:tc>
        <w:tc>
          <w:tcPr>
            <w:tcW w:w="1668" w:type="dxa"/>
            <w:noWrap w:val="0"/>
            <w:vAlign w:val="center"/>
          </w:tcPr>
          <w:p w14:paraId="66C1226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厂界</w:t>
            </w:r>
          </w:p>
        </w:tc>
        <w:tc>
          <w:tcPr>
            <w:tcW w:w="1450" w:type="dxa"/>
            <w:noWrap w:val="0"/>
            <w:vAlign w:val="center"/>
          </w:tcPr>
          <w:p w14:paraId="3F6068E8">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设备噪声</w:t>
            </w:r>
          </w:p>
        </w:tc>
        <w:tc>
          <w:tcPr>
            <w:tcW w:w="1788" w:type="dxa"/>
            <w:noWrap w:val="0"/>
            <w:vAlign w:val="center"/>
          </w:tcPr>
          <w:p w14:paraId="5C4404F5">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rPr>
              <w:t>选择低噪声设备，基础减振，厂房隔声等</w:t>
            </w:r>
          </w:p>
        </w:tc>
        <w:tc>
          <w:tcPr>
            <w:tcW w:w="2475" w:type="dxa"/>
            <w:noWrap w:val="0"/>
            <w:vAlign w:val="center"/>
          </w:tcPr>
          <w:p w14:paraId="249BA80B">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kern w:val="0"/>
                <w:sz w:val="24"/>
                <w:szCs w:val="24"/>
                <w:highlight w:val="none"/>
              </w:rPr>
              <w:t>《工业企业环境噪声排放标准》（GB12348-2008）中</w:t>
            </w:r>
            <w:r>
              <w:rPr>
                <w:rFonts w:hint="default"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rPr>
              <w:t>类标准</w:t>
            </w:r>
          </w:p>
        </w:tc>
      </w:tr>
      <w:tr w14:paraId="7D076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1113440">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电磁辐射</w:t>
            </w:r>
          </w:p>
        </w:tc>
        <w:tc>
          <w:tcPr>
            <w:tcW w:w="1668" w:type="dxa"/>
            <w:noWrap w:val="0"/>
            <w:vAlign w:val="center"/>
          </w:tcPr>
          <w:p w14:paraId="5BB237B4">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c>
          <w:tcPr>
            <w:tcW w:w="1450" w:type="dxa"/>
            <w:noWrap w:val="0"/>
            <w:vAlign w:val="center"/>
          </w:tcPr>
          <w:p w14:paraId="67A9DBBE">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c>
          <w:tcPr>
            <w:tcW w:w="1788" w:type="dxa"/>
            <w:noWrap w:val="0"/>
            <w:vAlign w:val="center"/>
          </w:tcPr>
          <w:p w14:paraId="51B6D72E">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c>
          <w:tcPr>
            <w:tcW w:w="2475" w:type="dxa"/>
            <w:noWrap w:val="0"/>
            <w:vAlign w:val="center"/>
          </w:tcPr>
          <w:p w14:paraId="6BC3D4D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r>
      <w:tr w14:paraId="0AEAF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restart"/>
            <w:noWrap w:val="0"/>
            <w:vAlign w:val="center"/>
          </w:tcPr>
          <w:p w14:paraId="3A64B953">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固体废物</w:t>
            </w:r>
          </w:p>
        </w:tc>
        <w:tc>
          <w:tcPr>
            <w:tcW w:w="1668" w:type="dxa"/>
            <w:noWrap w:val="0"/>
            <w:vAlign w:val="center"/>
          </w:tcPr>
          <w:p w14:paraId="4F31960E">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生活垃圾</w:t>
            </w:r>
          </w:p>
        </w:tc>
        <w:tc>
          <w:tcPr>
            <w:tcW w:w="1450" w:type="dxa"/>
            <w:noWrap w:val="0"/>
            <w:vAlign w:val="center"/>
          </w:tcPr>
          <w:p w14:paraId="5732710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c>
          <w:tcPr>
            <w:tcW w:w="4263" w:type="dxa"/>
            <w:gridSpan w:val="2"/>
            <w:noWrap w:val="0"/>
            <w:vAlign w:val="center"/>
          </w:tcPr>
          <w:p w14:paraId="6AD2DDF8">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设置垃圾桶集中收集后，交由环卫部门统一收集处理</w:t>
            </w:r>
          </w:p>
        </w:tc>
      </w:tr>
      <w:tr w14:paraId="14459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754C101A">
            <w:pPr>
              <w:adjustRightInd w:val="0"/>
              <w:snapToGrid w:val="0"/>
              <w:jc w:val="center"/>
              <w:rPr>
                <w:rFonts w:hint="default" w:ascii="Times New Roman" w:hAnsi="Times New Roman" w:cs="Times New Roman"/>
                <w:color w:val="auto"/>
                <w:highlight w:val="none"/>
              </w:rPr>
            </w:pPr>
          </w:p>
        </w:tc>
        <w:tc>
          <w:tcPr>
            <w:tcW w:w="1668" w:type="dxa"/>
            <w:vMerge w:val="restart"/>
            <w:noWrap w:val="0"/>
            <w:vAlign w:val="center"/>
          </w:tcPr>
          <w:p w14:paraId="650961E5">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一般固体废物</w:t>
            </w:r>
          </w:p>
        </w:tc>
        <w:tc>
          <w:tcPr>
            <w:tcW w:w="1450" w:type="dxa"/>
            <w:noWrap w:val="0"/>
            <w:vAlign w:val="center"/>
          </w:tcPr>
          <w:p w14:paraId="7C7D0A3C">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废铁金属</w:t>
            </w:r>
          </w:p>
        </w:tc>
        <w:tc>
          <w:tcPr>
            <w:tcW w:w="4263" w:type="dxa"/>
            <w:gridSpan w:val="2"/>
            <w:noWrap w:val="0"/>
            <w:vAlign w:val="center"/>
          </w:tcPr>
          <w:p w14:paraId="5226D333">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收集后暂存在</w:t>
            </w:r>
            <w:r>
              <w:rPr>
                <w:rFonts w:hint="eastAsia" w:ascii="Times New Roman" w:hAnsi="Times New Roman" w:eastAsia="宋体" w:cs="Times New Roman"/>
                <w:color w:val="auto"/>
                <w:sz w:val="24"/>
                <w:szCs w:val="24"/>
                <w:highlight w:val="none"/>
                <w:lang w:val="en-US" w:eastAsia="zh-CN"/>
              </w:rPr>
              <w:t>一般固废暂存间</w:t>
            </w:r>
            <w:r>
              <w:rPr>
                <w:rFonts w:hint="default" w:ascii="Times New Roman" w:hAnsi="Times New Roman" w:eastAsia="宋体" w:cs="Times New Roman"/>
                <w:color w:val="auto"/>
                <w:sz w:val="24"/>
                <w:szCs w:val="24"/>
                <w:highlight w:val="none"/>
                <w:lang w:val="en-US" w:eastAsia="zh-CN"/>
              </w:rPr>
              <w:t>，统一</w:t>
            </w:r>
          </w:p>
          <w:p w14:paraId="06D7065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外售处理</w:t>
            </w:r>
          </w:p>
        </w:tc>
      </w:tr>
      <w:tr w14:paraId="5C521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754B8174">
            <w:pPr>
              <w:adjustRightInd w:val="0"/>
              <w:snapToGrid w:val="0"/>
              <w:jc w:val="center"/>
              <w:rPr>
                <w:rFonts w:hint="default" w:ascii="Times New Roman" w:hAnsi="Times New Roman" w:cs="Times New Roman"/>
                <w:color w:val="auto"/>
                <w:highlight w:val="none"/>
              </w:rPr>
            </w:pPr>
          </w:p>
        </w:tc>
        <w:tc>
          <w:tcPr>
            <w:tcW w:w="1668" w:type="dxa"/>
            <w:vMerge w:val="continue"/>
            <w:noWrap w:val="0"/>
            <w:vAlign w:val="center"/>
          </w:tcPr>
          <w:p w14:paraId="600A0893">
            <w:pPr>
              <w:adjustRightInd w:val="0"/>
              <w:snapToGrid w:val="0"/>
              <w:jc w:val="center"/>
              <w:rPr>
                <w:rFonts w:hint="default" w:ascii="Times New Roman" w:hAnsi="Times New Roman" w:cs="Times New Roman"/>
                <w:color w:val="auto"/>
                <w:sz w:val="24"/>
                <w:szCs w:val="24"/>
                <w:highlight w:val="none"/>
                <w:lang w:val="en-US" w:eastAsia="zh-CN"/>
              </w:rPr>
            </w:pPr>
          </w:p>
        </w:tc>
        <w:tc>
          <w:tcPr>
            <w:tcW w:w="1450" w:type="dxa"/>
            <w:noWrap w:val="0"/>
            <w:vAlign w:val="center"/>
          </w:tcPr>
          <w:p w14:paraId="6DB85528">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除尘灰</w:t>
            </w:r>
          </w:p>
        </w:tc>
        <w:tc>
          <w:tcPr>
            <w:tcW w:w="4263" w:type="dxa"/>
            <w:gridSpan w:val="2"/>
            <w:vMerge w:val="restart"/>
            <w:noWrap w:val="0"/>
            <w:vAlign w:val="center"/>
          </w:tcPr>
          <w:p w14:paraId="2E58C54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收集后暂存在</w:t>
            </w:r>
            <w:r>
              <w:rPr>
                <w:rFonts w:hint="eastAsia" w:ascii="Times New Roman" w:hAnsi="Times New Roman" w:eastAsia="宋体" w:cs="Times New Roman"/>
                <w:color w:val="auto"/>
                <w:sz w:val="24"/>
                <w:szCs w:val="24"/>
                <w:highlight w:val="none"/>
                <w:lang w:val="en-US" w:eastAsia="zh-CN"/>
              </w:rPr>
              <w:t>一般固废暂存间，</w:t>
            </w:r>
            <w:r>
              <w:rPr>
                <w:rFonts w:hint="eastAsia" w:cs="Times New Roman"/>
                <w:color w:val="auto"/>
                <w:sz w:val="24"/>
                <w:szCs w:val="24"/>
                <w:highlight w:val="none"/>
                <w:lang w:val="en-US" w:eastAsia="zh-CN"/>
              </w:rPr>
              <w:t>外售水泥厂作原料</w:t>
            </w:r>
          </w:p>
        </w:tc>
      </w:tr>
      <w:tr w14:paraId="15372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526A4C77">
            <w:pPr>
              <w:adjustRightInd w:val="0"/>
              <w:snapToGrid w:val="0"/>
              <w:jc w:val="center"/>
              <w:rPr>
                <w:color w:val="auto"/>
                <w:highlight w:val="none"/>
              </w:rPr>
            </w:pPr>
          </w:p>
        </w:tc>
        <w:tc>
          <w:tcPr>
            <w:tcW w:w="1668" w:type="dxa"/>
            <w:vMerge w:val="continue"/>
            <w:noWrap w:val="0"/>
            <w:vAlign w:val="center"/>
          </w:tcPr>
          <w:p w14:paraId="5FB8E0D2">
            <w:pPr>
              <w:adjustRightInd w:val="0"/>
              <w:snapToGrid w:val="0"/>
              <w:jc w:val="center"/>
              <w:rPr>
                <w:color w:val="auto"/>
                <w:highlight w:val="none"/>
              </w:rPr>
            </w:pPr>
          </w:p>
        </w:tc>
        <w:tc>
          <w:tcPr>
            <w:tcW w:w="1450" w:type="dxa"/>
            <w:noWrap w:val="0"/>
            <w:vAlign w:val="center"/>
          </w:tcPr>
          <w:p w14:paraId="382403CD">
            <w:pPr>
              <w:adjustRightInd w:val="0"/>
              <w:snapToGrid w:val="0"/>
              <w:jc w:val="center"/>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车间沉降</w:t>
            </w:r>
          </w:p>
          <w:p w14:paraId="1182DC73">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粉尘</w:t>
            </w:r>
          </w:p>
        </w:tc>
        <w:tc>
          <w:tcPr>
            <w:tcW w:w="4263" w:type="dxa"/>
            <w:gridSpan w:val="2"/>
            <w:vMerge w:val="continue"/>
            <w:noWrap w:val="0"/>
            <w:vAlign w:val="center"/>
          </w:tcPr>
          <w:p w14:paraId="60890B33">
            <w:pPr>
              <w:adjustRightInd w:val="0"/>
              <w:snapToGrid w:val="0"/>
              <w:jc w:val="center"/>
              <w:rPr>
                <w:rFonts w:hint="default" w:ascii="Times New Roman" w:hAnsi="Times New Roman" w:eastAsia="宋体" w:cs="Times New Roman"/>
                <w:color w:val="auto"/>
                <w:sz w:val="24"/>
                <w:szCs w:val="24"/>
                <w:highlight w:val="none"/>
                <w:lang w:val="en-US" w:eastAsia="zh-CN"/>
              </w:rPr>
            </w:pPr>
          </w:p>
        </w:tc>
      </w:tr>
      <w:tr w14:paraId="19048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33EC1E14">
            <w:pPr>
              <w:adjustRightInd w:val="0"/>
              <w:snapToGrid w:val="0"/>
              <w:jc w:val="center"/>
              <w:rPr>
                <w:color w:val="auto"/>
                <w:highlight w:val="none"/>
              </w:rPr>
            </w:pPr>
          </w:p>
        </w:tc>
        <w:tc>
          <w:tcPr>
            <w:tcW w:w="1668" w:type="dxa"/>
            <w:vMerge w:val="continue"/>
            <w:noWrap w:val="0"/>
            <w:vAlign w:val="center"/>
          </w:tcPr>
          <w:p w14:paraId="57EEA775">
            <w:pPr>
              <w:adjustRightInd w:val="0"/>
              <w:snapToGrid w:val="0"/>
              <w:jc w:val="center"/>
              <w:rPr>
                <w:color w:val="auto"/>
                <w:highlight w:val="none"/>
              </w:rPr>
            </w:pPr>
          </w:p>
        </w:tc>
        <w:tc>
          <w:tcPr>
            <w:tcW w:w="1450" w:type="dxa"/>
            <w:noWrap w:val="0"/>
            <w:vAlign w:val="center"/>
          </w:tcPr>
          <w:p w14:paraId="5FDD43E2">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废旧布袋</w:t>
            </w:r>
          </w:p>
        </w:tc>
        <w:tc>
          <w:tcPr>
            <w:tcW w:w="4263" w:type="dxa"/>
            <w:gridSpan w:val="2"/>
            <w:noWrap w:val="0"/>
            <w:vAlign w:val="center"/>
          </w:tcPr>
          <w:p w14:paraId="5C01228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回用于生产</w:t>
            </w:r>
          </w:p>
        </w:tc>
      </w:tr>
      <w:tr w14:paraId="1B0FF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63C9C4F3">
            <w:pPr>
              <w:adjustRightInd w:val="0"/>
              <w:snapToGrid w:val="0"/>
              <w:jc w:val="center"/>
              <w:rPr>
                <w:rFonts w:hint="default" w:ascii="Times New Roman" w:hAnsi="Times New Roman" w:cs="Times New Roman"/>
                <w:color w:val="auto"/>
                <w:sz w:val="24"/>
                <w:szCs w:val="24"/>
                <w:highlight w:val="none"/>
              </w:rPr>
            </w:pPr>
          </w:p>
        </w:tc>
        <w:tc>
          <w:tcPr>
            <w:tcW w:w="1668" w:type="dxa"/>
            <w:noWrap w:val="0"/>
            <w:vAlign w:val="center"/>
          </w:tcPr>
          <w:p w14:paraId="0D8103D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危险废物</w:t>
            </w:r>
          </w:p>
        </w:tc>
        <w:tc>
          <w:tcPr>
            <w:tcW w:w="1450" w:type="dxa"/>
            <w:noWrap w:val="0"/>
            <w:vAlign w:val="center"/>
          </w:tcPr>
          <w:p w14:paraId="71014EAC">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废润滑油、废油桶、废含油抹布及手套</w:t>
            </w:r>
          </w:p>
        </w:tc>
        <w:tc>
          <w:tcPr>
            <w:tcW w:w="4263" w:type="dxa"/>
            <w:gridSpan w:val="2"/>
            <w:noWrap w:val="0"/>
            <w:vAlign w:val="center"/>
          </w:tcPr>
          <w:p w14:paraId="7FB50A1C">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统一收集后</w:t>
            </w:r>
            <w:r>
              <w:rPr>
                <w:rFonts w:hint="eastAsia" w:ascii="Times New Roman" w:hAnsi="Times New Roman" w:eastAsia="宋体" w:cs="Times New Roman"/>
                <w:color w:val="auto"/>
                <w:sz w:val="24"/>
                <w:szCs w:val="24"/>
                <w:highlight w:val="none"/>
                <w:lang w:val="en-US" w:eastAsia="zh-CN"/>
              </w:rPr>
              <w:t>暂存于危废贮存库，定期</w:t>
            </w:r>
            <w:r>
              <w:rPr>
                <w:rFonts w:hint="default" w:ascii="Times New Roman" w:hAnsi="Times New Roman" w:eastAsia="宋体" w:cs="Times New Roman"/>
                <w:color w:val="auto"/>
                <w:sz w:val="24"/>
                <w:szCs w:val="24"/>
                <w:highlight w:val="none"/>
                <w:lang w:val="en-US" w:eastAsia="zh-CN"/>
              </w:rPr>
              <w:t>交由有资质单位</w:t>
            </w:r>
            <w:r>
              <w:rPr>
                <w:rFonts w:hint="eastAsia" w:ascii="Times New Roman" w:hAnsi="Times New Roman" w:eastAsia="宋体" w:cs="Times New Roman"/>
                <w:color w:val="auto"/>
                <w:sz w:val="24"/>
                <w:szCs w:val="24"/>
                <w:highlight w:val="none"/>
                <w:lang w:val="en-US" w:eastAsia="zh-CN"/>
              </w:rPr>
              <w:t>处置</w:t>
            </w:r>
          </w:p>
          <w:p w14:paraId="7150E9CE">
            <w:pPr>
              <w:adjustRightInd w:val="0"/>
              <w:snapToGrid w:val="0"/>
              <w:jc w:val="center"/>
              <w:rPr>
                <w:rFonts w:hint="default" w:ascii="Times New Roman" w:hAnsi="Times New Roman" w:eastAsia="宋体" w:cs="Times New Roman"/>
                <w:color w:val="auto"/>
                <w:sz w:val="24"/>
                <w:szCs w:val="24"/>
                <w:highlight w:val="none"/>
                <w:lang w:val="en-US" w:eastAsia="zh-CN"/>
              </w:rPr>
            </w:pPr>
          </w:p>
        </w:tc>
      </w:tr>
      <w:tr w14:paraId="63C161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76DFEB4E">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土壤及地下水</w:t>
            </w:r>
          </w:p>
          <w:p w14:paraId="2F419762">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污染防治措施</w:t>
            </w:r>
          </w:p>
        </w:tc>
        <w:tc>
          <w:tcPr>
            <w:tcW w:w="7381" w:type="dxa"/>
            <w:gridSpan w:val="4"/>
            <w:noWrap w:val="0"/>
            <w:vAlign w:val="center"/>
          </w:tcPr>
          <w:p w14:paraId="39E8690A">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（1）</w:t>
            </w:r>
            <w:r>
              <w:rPr>
                <w:rFonts w:hint="eastAsia" w:ascii="Times New Roman" w:hAnsi="Times New Roman" w:eastAsia="宋体" w:cs="Times New Roman"/>
                <w:color w:val="auto"/>
                <w:kern w:val="0"/>
                <w:sz w:val="24"/>
                <w:szCs w:val="24"/>
                <w:highlight w:val="none"/>
                <w:lang w:val="en-US" w:eastAsia="zh-CN" w:bidi="ar-SA"/>
              </w:rPr>
              <w:t>危废贮存库</w:t>
            </w:r>
            <w:r>
              <w:rPr>
                <w:rFonts w:hint="default" w:ascii="Times New Roman" w:hAnsi="Times New Roman" w:eastAsia="宋体" w:cs="Times New Roman"/>
                <w:color w:val="auto"/>
                <w:kern w:val="0"/>
                <w:sz w:val="24"/>
                <w:szCs w:val="24"/>
                <w:highlight w:val="none"/>
                <w:lang w:val="en-US" w:eastAsia="zh-CN" w:bidi="ar-SA"/>
              </w:rPr>
              <w:t>做好地面防渗；</w:t>
            </w:r>
          </w:p>
          <w:p w14:paraId="29A5F8D3">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危废贮存库</w:t>
            </w:r>
            <w:r>
              <w:rPr>
                <w:rFonts w:hint="default" w:ascii="Times New Roman" w:hAnsi="Times New Roman" w:eastAsia="宋体" w:cs="Times New Roman"/>
                <w:color w:val="auto"/>
                <w:kern w:val="0"/>
                <w:sz w:val="24"/>
                <w:szCs w:val="24"/>
                <w:highlight w:val="none"/>
                <w:lang w:val="en-US" w:eastAsia="zh-CN" w:bidi="ar-SA"/>
              </w:rPr>
              <w:t>远离火源、热源、保持容器密封，保持阴凉干燥，设有通风设施；</w:t>
            </w:r>
          </w:p>
          <w:p w14:paraId="4F4797A5">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（3）配备干粉灭火器、消防砂、消防铲等；</w:t>
            </w:r>
          </w:p>
          <w:p w14:paraId="79B0D9DB">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（4）加强危险</w:t>
            </w:r>
            <w:r>
              <w:rPr>
                <w:rFonts w:hint="eastAsia" w:ascii="Times New Roman" w:hAnsi="Times New Roman" w:eastAsia="宋体" w:cs="Times New Roman"/>
                <w:color w:val="auto"/>
                <w:kern w:val="0"/>
                <w:sz w:val="24"/>
                <w:szCs w:val="24"/>
                <w:highlight w:val="none"/>
                <w:lang w:val="en-US" w:eastAsia="zh-CN" w:bidi="ar-SA"/>
              </w:rPr>
              <w:t>危废贮存库</w:t>
            </w:r>
            <w:r>
              <w:rPr>
                <w:rFonts w:hint="default" w:ascii="Times New Roman" w:hAnsi="Times New Roman" w:eastAsia="宋体" w:cs="Times New Roman"/>
                <w:color w:val="auto"/>
                <w:kern w:val="0"/>
                <w:sz w:val="24"/>
                <w:szCs w:val="24"/>
                <w:highlight w:val="none"/>
                <w:lang w:val="en-US" w:eastAsia="zh-CN" w:bidi="ar-SA"/>
              </w:rPr>
              <w:t>管理，严格按照危险废物暂存要求落实；</w:t>
            </w:r>
          </w:p>
          <w:p w14:paraId="5BE83D32">
            <w:pPr>
              <w:adjustRightInd w:val="0"/>
              <w:snapToGrid w:val="0"/>
              <w:spacing w:line="360" w:lineRule="auto"/>
              <w:jc w:val="both"/>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SA"/>
              </w:rPr>
              <w:t>（5）加强废气处理设施的管理，提高处理效率，减少污染物的排放量</w:t>
            </w:r>
            <w:r>
              <w:rPr>
                <w:rFonts w:hint="default" w:ascii="Times New Roman" w:hAnsi="Times New Roman" w:cs="Times New Roman"/>
                <w:color w:val="auto"/>
                <w:kern w:val="0"/>
                <w:sz w:val="24"/>
                <w:szCs w:val="24"/>
                <w:highlight w:val="none"/>
              </w:rPr>
              <w:t>。</w:t>
            </w:r>
          </w:p>
        </w:tc>
      </w:tr>
      <w:tr w14:paraId="303E2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49EF649">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生态保护措施</w:t>
            </w:r>
          </w:p>
        </w:tc>
        <w:tc>
          <w:tcPr>
            <w:tcW w:w="7381" w:type="dxa"/>
            <w:gridSpan w:val="4"/>
            <w:noWrap w:val="0"/>
            <w:vAlign w:val="center"/>
          </w:tcPr>
          <w:p w14:paraId="5F58297E">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w:t>
            </w:r>
          </w:p>
        </w:tc>
      </w:tr>
      <w:tr w14:paraId="78828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CC10F7F">
            <w:pPr>
              <w:adjustRightInd w:val="0"/>
              <w:snapToGrid w:val="0"/>
              <w:jc w:val="center"/>
              <w:rPr>
                <w:rFonts w:hint="default" w:ascii="Times New Roman" w:hAnsi="Times New Roman" w:cs="Times New Roman"/>
                <w:color w:val="auto"/>
                <w:spacing w:val="-8"/>
                <w:sz w:val="24"/>
                <w:szCs w:val="24"/>
                <w:highlight w:val="none"/>
              </w:rPr>
            </w:pPr>
            <w:r>
              <w:rPr>
                <w:rFonts w:hint="default" w:ascii="Times New Roman" w:hAnsi="Times New Roman" w:cs="Times New Roman"/>
                <w:color w:val="auto"/>
                <w:spacing w:val="-8"/>
                <w:sz w:val="24"/>
                <w:szCs w:val="24"/>
                <w:highlight w:val="none"/>
              </w:rPr>
              <w:t>环境风险</w:t>
            </w:r>
          </w:p>
          <w:p w14:paraId="3758E4BF">
            <w:pPr>
              <w:adjustRightInd w:val="0"/>
              <w:snapToGrid w:val="0"/>
              <w:jc w:val="center"/>
              <w:rPr>
                <w:rFonts w:hint="default" w:ascii="Times New Roman" w:hAnsi="Times New Roman" w:cs="Times New Roman"/>
                <w:color w:val="auto"/>
                <w:spacing w:val="-8"/>
                <w:sz w:val="24"/>
                <w:szCs w:val="24"/>
                <w:highlight w:val="none"/>
              </w:rPr>
            </w:pPr>
            <w:r>
              <w:rPr>
                <w:rFonts w:hint="default" w:ascii="Times New Roman" w:hAnsi="Times New Roman" w:cs="Times New Roman"/>
                <w:color w:val="auto"/>
                <w:spacing w:val="-8"/>
                <w:sz w:val="24"/>
                <w:szCs w:val="24"/>
                <w:highlight w:val="none"/>
              </w:rPr>
              <w:t>防范措施</w:t>
            </w:r>
          </w:p>
        </w:tc>
        <w:tc>
          <w:tcPr>
            <w:tcW w:w="7381" w:type="dxa"/>
            <w:gridSpan w:val="4"/>
            <w:noWrap w:val="0"/>
            <w:vAlign w:val="center"/>
          </w:tcPr>
          <w:p w14:paraId="7A0C5071">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（1）建设单位应加强设备管理维护，定期对线路进行检查，及时处理破损线路；</w:t>
            </w:r>
          </w:p>
          <w:p w14:paraId="63631BB3">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危废贮存库</w:t>
            </w:r>
            <w:r>
              <w:rPr>
                <w:rFonts w:hint="default" w:ascii="Times New Roman" w:hAnsi="Times New Roman" w:eastAsia="宋体" w:cs="Times New Roman"/>
                <w:color w:val="auto"/>
                <w:kern w:val="0"/>
                <w:sz w:val="24"/>
                <w:szCs w:val="24"/>
                <w:highlight w:val="none"/>
                <w:lang w:val="en-US" w:eastAsia="zh-CN" w:bidi="ar-SA"/>
              </w:rPr>
              <w:t>地面进行防渗处理，并设专人管理，定期进行巡查，检查包装容器完整性，根据需求及时更换破损容器，设置消防器材；</w:t>
            </w:r>
          </w:p>
          <w:p w14:paraId="76511A9C">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（3）危废出入库必须检查验收登记，贮存期间定期养护，控制好贮存场所的温度和湿度，做好防火防爆措施；装卸、搬运时应轻装轻卸，注意自我防护；</w:t>
            </w:r>
          </w:p>
          <w:p w14:paraId="6E5ABA3A">
            <w:pPr>
              <w:pStyle w:val="56"/>
              <w:spacing w:line="360" w:lineRule="auto"/>
              <w:ind w:firstLine="0" w:firstLineChars="0"/>
              <w:jc w:val="both"/>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（4）组织专门人员进行周期性巡回检查，有跑冒滴漏或其他异常现象的应及时检修，必要时按照</w:t>
            </w:r>
            <w:r>
              <w:rPr>
                <w:rFonts w:hint="eastAsia" w:ascii="Times New Roman" w:hAnsi="Times New Roman" w:eastAsia="宋体" w:cs="Times New Roman"/>
                <w:color w:val="auto"/>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bidi="ar-SA"/>
              </w:rPr>
              <w:t>生产服从安全</w:t>
            </w:r>
            <w:r>
              <w:rPr>
                <w:rFonts w:hint="eastAsia" w:ascii="Times New Roman" w:hAnsi="Times New Roman" w:eastAsia="宋体" w:cs="Times New Roman"/>
                <w:color w:val="auto"/>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bidi="ar-SA"/>
              </w:rPr>
              <w:t>原则停车检修，严禁带病或不正常运转；</w:t>
            </w:r>
          </w:p>
          <w:p w14:paraId="703C3C6D">
            <w:pPr>
              <w:adjustRightInd w:val="0"/>
              <w:snapToGrid w:val="0"/>
              <w:spacing w:line="360" w:lineRule="auto"/>
              <w:jc w:val="both"/>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SA"/>
              </w:rPr>
              <w:t>（5）一旦危废出现泄漏，应有防止向四周扩散、并起到隔离作用的具体措施；预先配备有处理泄漏事故的器材，并有专人负责妥善保管在专门的地方，一旦出现事故，立即投入使用；存放容器应定期进行无损检查。</w:t>
            </w:r>
          </w:p>
        </w:tc>
      </w:tr>
      <w:tr w14:paraId="766A46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8D7F151">
            <w:pPr>
              <w:adjustRightInd w:val="0"/>
              <w:snapToGrid w:val="0"/>
              <w:jc w:val="center"/>
              <w:rPr>
                <w:rFonts w:hint="default" w:ascii="Times New Roman" w:hAnsi="Times New Roman" w:cs="Times New Roman"/>
                <w:color w:val="auto"/>
                <w:spacing w:val="-8"/>
                <w:sz w:val="24"/>
                <w:szCs w:val="24"/>
                <w:highlight w:val="none"/>
              </w:rPr>
            </w:pPr>
            <w:r>
              <w:rPr>
                <w:rFonts w:hint="default" w:ascii="Times New Roman" w:hAnsi="Times New Roman" w:cs="Times New Roman"/>
                <w:color w:val="auto"/>
                <w:spacing w:val="-8"/>
                <w:sz w:val="24"/>
                <w:szCs w:val="24"/>
                <w:highlight w:val="none"/>
              </w:rPr>
              <w:t>其他环境</w:t>
            </w:r>
          </w:p>
          <w:p w14:paraId="3B608449">
            <w:pPr>
              <w:adjustRightInd w:val="0"/>
              <w:snapToGrid w:val="0"/>
              <w:jc w:val="center"/>
              <w:rPr>
                <w:rFonts w:hint="default" w:ascii="Times New Roman" w:hAnsi="Times New Roman" w:cs="Times New Roman"/>
                <w:color w:val="auto"/>
                <w:spacing w:val="-8"/>
                <w:sz w:val="24"/>
                <w:szCs w:val="24"/>
                <w:highlight w:val="none"/>
              </w:rPr>
            </w:pPr>
            <w:r>
              <w:rPr>
                <w:rFonts w:hint="default" w:ascii="Times New Roman" w:hAnsi="Times New Roman" w:cs="Times New Roman"/>
                <w:color w:val="auto"/>
                <w:spacing w:val="-8"/>
                <w:sz w:val="24"/>
                <w:szCs w:val="24"/>
                <w:highlight w:val="none"/>
              </w:rPr>
              <w:t>管理要求</w:t>
            </w:r>
          </w:p>
        </w:tc>
        <w:tc>
          <w:tcPr>
            <w:tcW w:w="7381" w:type="dxa"/>
            <w:gridSpan w:val="4"/>
            <w:noWrap w:val="0"/>
            <w:vAlign w:val="center"/>
          </w:tcPr>
          <w:p w14:paraId="3A0A10D4">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1、环境管理</w:t>
            </w:r>
          </w:p>
          <w:p w14:paraId="1BDE8D4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（1）环境保护机构的设置</w:t>
            </w:r>
          </w:p>
          <w:p w14:paraId="05E60C38">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公司设立环境管理机构，配备专/兼职环境管理人员，加强环境管理。</w:t>
            </w:r>
          </w:p>
          <w:p w14:paraId="5F2B0EE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（2）环境管理要点</w:t>
            </w:r>
          </w:p>
          <w:p w14:paraId="1A7D60D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项目废气处理措施定期进行检查，以保证处理效率，确保项目废气达标排放。</w:t>
            </w:r>
          </w:p>
          <w:p w14:paraId="7466EA6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三同时</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验收</w:t>
            </w:r>
          </w:p>
          <w:p w14:paraId="11F83074">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根据《建设项目环境保护管理条例》及其修改决定（国务院令第682号），建设项目竣工后，建设单位应进行竣工验收，验收后本项目方可正式投产运行。</w:t>
            </w:r>
          </w:p>
          <w:p w14:paraId="461E91F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制定环境管理文件及实施细则</w:t>
            </w:r>
          </w:p>
          <w:p w14:paraId="526D6EF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根据国家、地方政府对企业环境管理的基本要求，结合项目的具体情况，制定环境管理文件和实施细则。</w:t>
            </w:r>
          </w:p>
          <w:p w14:paraId="682DBE5C">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信息公开</w:t>
            </w:r>
          </w:p>
          <w:p w14:paraId="61A6419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根据《建设项目环境保护事中事后监督管理办法（试行）》要求，建设单位应当主动向社会公开建设项目环境影响评价文件、污染防治设施建设运行情况、污染物排放情况等环境信息。</w:t>
            </w:r>
          </w:p>
          <w:p w14:paraId="692A473D">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2、排污口规范化</w:t>
            </w:r>
          </w:p>
          <w:p w14:paraId="6C2D175F">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（1）排污口管理</w:t>
            </w:r>
          </w:p>
          <w:p w14:paraId="4EA85CA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1）排污口的位置必须合理确定，按环监</w:t>
            </w:r>
            <w:r>
              <w:rPr>
                <w:rFonts w:hint="default" w:ascii="Times New Roman" w:hAnsi="Times New Roman" w:eastAsia="宋体" w:cs="Times New Roman"/>
                <w:color w:val="auto"/>
                <w:sz w:val="24"/>
                <w:szCs w:val="24"/>
                <w:highlight w:val="none"/>
                <w:lang w:eastAsia="zh-CN"/>
              </w:rPr>
              <w:t>〔1996〕470号</w:t>
            </w:r>
            <w:r>
              <w:rPr>
                <w:rFonts w:hint="default" w:ascii="Times New Roman" w:hAnsi="Times New Roman" w:eastAsia="宋体" w:cs="Times New Roman"/>
                <w:color w:val="auto"/>
                <w:sz w:val="24"/>
                <w:szCs w:val="24"/>
                <w:highlight w:val="none"/>
              </w:rPr>
              <w:t>要求进行规范化管理；</w:t>
            </w:r>
          </w:p>
          <w:p w14:paraId="1142A0C6">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2）排污口采样点设置应按《污染源监测技术规范》要求，设置在污染物处理设施进、出口、总排口等处；</w:t>
            </w:r>
          </w:p>
          <w:p w14:paraId="44282B80">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3）废气排放口须符合规定的高度，便于采样、监测，设置直径不小于</w:t>
            </w:r>
            <w:r>
              <w:rPr>
                <w:rFonts w:hint="default" w:ascii="Times New Roman" w:hAnsi="Times New Roman" w:eastAsia="宋体"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rPr>
              <w:t>mm的采样口。如无法满足要求的，其采样口与环境监测部门共同确认。</w:t>
            </w:r>
          </w:p>
          <w:p w14:paraId="438A0EC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（2）环境保护图形标志</w:t>
            </w:r>
          </w:p>
          <w:p w14:paraId="003ADAB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应按《环境保护图形标志-排放口》（GB15562.1-1995）的规定设置环境保护图形标志牌。</w:t>
            </w:r>
          </w:p>
          <w:p w14:paraId="74346435">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3、环境保护档案管理</w:t>
            </w:r>
          </w:p>
          <w:p w14:paraId="2AB613F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公司环保部门负责项目的环境保护档案管理工作，环保档案实行专人管理责任到人。企业的所有环保资料应</w:t>
            </w:r>
            <w:r>
              <w:rPr>
                <w:rFonts w:hint="default" w:ascii="Times New Roman" w:hAnsi="Times New Roman" w:eastAsia="宋体" w:cs="Times New Roman"/>
                <w:color w:val="auto"/>
                <w:sz w:val="24"/>
                <w:szCs w:val="24"/>
                <w:highlight w:val="none"/>
                <w:lang w:eastAsia="zh-CN"/>
              </w:rPr>
              <w:t>分类</w:t>
            </w:r>
            <w:r>
              <w:rPr>
                <w:rFonts w:hint="default" w:ascii="Times New Roman" w:hAnsi="Times New Roman" w:eastAsia="宋体" w:cs="Times New Roman"/>
                <w:color w:val="auto"/>
                <w:sz w:val="24"/>
                <w:szCs w:val="24"/>
                <w:highlight w:val="none"/>
              </w:rPr>
              <w:t>整理、分类存档、科学管理，便于统计、查阅。在环境保护档案管理中，应建立如下文件档案：与本项目有关的法规、标准、规范和区域规划等；项目建设的有关环境保护的报告、设计方案及审查、审批文件；项目环保工程设施的设计、施工、安装的基础资料及验收资料；公司内部的环境保护管理制度、人员环保培训和考核记录；生态恢复工程、污染治理设施运行管理文件；环境监测记录技术文件；建立台账，如实记录生产原</w:t>
            </w:r>
            <w:r>
              <w:rPr>
                <w:rFonts w:hint="default" w:ascii="Times New Roman" w:hAnsi="Times New Roman" w:eastAsia="宋体" w:cs="Times New Roman"/>
                <w:color w:val="auto"/>
                <w:sz w:val="24"/>
                <w:szCs w:val="24"/>
                <w:highlight w:val="none"/>
                <w:lang w:val="en-US" w:eastAsia="zh-CN"/>
              </w:rPr>
              <w:t>辅</w:t>
            </w:r>
            <w:r>
              <w:rPr>
                <w:rFonts w:hint="default" w:ascii="Times New Roman" w:hAnsi="Times New Roman" w:eastAsia="宋体" w:cs="Times New Roman"/>
                <w:color w:val="auto"/>
                <w:sz w:val="24"/>
                <w:szCs w:val="24"/>
                <w:highlight w:val="none"/>
              </w:rPr>
              <w:t>料的使用量、废弃量、去向，台账保存期限不得少于5年</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危险废物相关管理台账保存期限不得少于10年</w:t>
            </w:r>
            <w:r>
              <w:rPr>
                <w:rFonts w:hint="default" w:ascii="Times New Roman" w:hAnsi="Times New Roman" w:eastAsia="宋体" w:cs="Times New Roman"/>
                <w:color w:val="auto"/>
                <w:sz w:val="24"/>
                <w:szCs w:val="24"/>
                <w:highlight w:val="none"/>
              </w:rPr>
              <w:t>；所有导致污染事件的分析报告和检测数据资料等。</w:t>
            </w:r>
          </w:p>
          <w:p w14:paraId="291724AC">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4、排污许可</w:t>
            </w:r>
          </w:p>
          <w:p w14:paraId="37F50BA5">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建设单位应根据《固定污染源排污许可分类管理名录》，</w:t>
            </w:r>
            <w:r>
              <w:rPr>
                <w:rFonts w:hint="eastAsia" w:ascii="Times New Roman" w:hAnsi="Times New Roman" w:eastAsia="宋体" w:cs="Times New Roman"/>
                <w:color w:val="auto"/>
                <w:sz w:val="24"/>
                <w:szCs w:val="24"/>
                <w:highlight w:val="none"/>
                <w:lang w:val="en-US" w:eastAsia="zh-CN"/>
              </w:rPr>
              <w:t>申请排污许可证。</w:t>
            </w:r>
          </w:p>
          <w:p w14:paraId="1D597914">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5、环境风险防范制度</w:t>
            </w:r>
          </w:p>
          <w:p w14:paraId="452044D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企业按要求编制突发环境事件应急预案并组织演练。</w:t>
            </w:r>
          </w:p>
          <w:p w14:paraId="275E1577">
            <w:pPr>
              <w:adjustRightInd w:val="0"/>
              <w:snapToGrid w:val="0"/>
              <w:spacing w:line="360" w:lineRule="auto"/>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6、监测计划</w:t>
            </w:r>
          </w:p>
          <w:p w14:paraId="73953F79">
            <w:pPr>
              <w:adjustRightInd w:val="0"/>
              <w:snapToGrid w:val="0"/>
              <w:spacing w:line="240" w:lineRule="auto"/>
              <w:jc w:val="center"/>
              <w:rPr>
                <w:rFonts w:hint="eastAsia"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表5-1</w:t>
            </w:r>
            <w:r>
              <w:rPr>
                <w:rFonts w:hint="eastAsia" w:cs="Times New Roman"/>
                <w:b/>
                <w:bCs/>
                <w:color w:val="auto"/>
                <w:sz w:val="21"/>
                <w:szCs w:val="21"/>
                <w:highlight w:val="none"/>
                <w:lang w:val="en-US" w:eastAsia="zh-CN"/>
              </w:rPr>
              <w:t xml:space="preserve"> </w:t>
            </w:r>
            <w:r>
              <w:rPr>
                <w:rFonts w:hint="eastAsia" w:ascii="Times New Roman" w:hAnsi="Times New Roman" w:cs="Times New Roman"/>
                <w:b/>
                <w:bCs/>
                <w:color w:val="auto"/>
                <w:sz w:val="21"/>
                <w:szCs w:val="21"/>
                <w:highlight w:val="none"/>
                <w:lang w:val="en-US" w:eastAsia="zh-CN"/>
              </w:rPr>
              <w:t>监测计划</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90"/>
              <w:gridCol w:w="890"/>
              <w:gridCol w:w="1483"/>
              <w:gridCol w:w="946"/>
              <w:gridCol w:w="1085"/>
              <w:gridCol w:w="1857"/>
            </w:tblGrid>
            <w:tr w14:paraId="2CDB2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noWrap w:val="0"/>
                  <w:vAlign w:val="center"/>
                </w:tcPr>
                <w:p w14:paraId="7AD470B2">
                  <w:pPr>
                    <w:adjustRightInd w:val="0"/>
                    <w:snapToGrid w:val="0"/>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类别</w:t>
                  </w:r>
                </w:p>
              </w:tc>
              <w:tc>
                <w:tcPr>
                  <w:tcW w:w="622" w:type="pct"/>
                  <w:noWrap w:val="0"/>
                  <w:vAlign w:val="center"/>
                </w:tcPr>
                <w:p w14:paraId="1840A8F0">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排放口编号/监测点位</w:t>
                  </w:r>
                </w:p>
              </w:tc>
              <w:tc>
                <w:tcPr>
                  <w:tcW w:w="1036" w:type="pct"/>
                  <w:noWrap w:val="0"/>
                  <w:vAlign w:val="center"/>
                </w:tcPr>
                <w:p w14:paraId="0A9354E9">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排放口名称</w:t>
                  </w:r>
                </w:p>
                <w:p w14:paraId="209E3B18">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/监测点位名称</w:t>
                  </w:r>
                </w:p>
              </w:tc>
              <w:tc>
                <w:tcPr>
                  <w:tcW w:w="661" w:type="pct"/>
                  <w:noWrap w:val="0"/>
                  <w:vAlign w:val="center"/>
                </w:tcPr>
                <w:p w14:paraId="0CFC8199">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p w14:paraId="65AD7B6C">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名称</w:t>
                  </w:r>
                </w:p>
              </w:tc>
              <w:tc>
                <w:tcPr>
                  <w:tcW w:w="758" w:type="pct"/>
                  <w:noWrap w:val="0"/>
                  <w:vAlign w:val="center"/>
                </w:tcPr>
                <w:p w14:paraId="1227114F">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w:t>
                  </w:r>
                </w:p>
                <w:p w14:paraId="67BE6D1C">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频次</w:t>
                  </w:r>
                </w:p>
              </w:tc>
              <w:tc>
                <w:tcPr>
                  <w:tcW w:w="1298" w:type="pct"/>
                  <w:noWrap w:val="0"/>
                  <w:vAlign w:val="center"/>
                </w:tcPr>
                <w:p w14:paraId="5C96433F">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排放</w:t>
                  </w:r>
                  <w:r>
                    <w:rPr>
                      <w:rFonts w:hint="default" w:ascii="Times New Roman" w:hAnsi="Times New Roman" w:cs="Times New Roman"/>
                      <w:b/>
                      <w:bCs/>
                      <w:color w:val="auto"/>
                      <w:sz w:val="21"/>
                      <w:szCs w:val="21"/>
                      <w:highlight w:val="none"/>
                    </w:rPr>
                    <w:t>标准</w:t>
                  </w:r>
                </w:p>
              </w:tc>
            </w:tr>
            <w:tr w14:paraId="1C02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vMerge w:val="restart"/>
                  <w:noWrap w:val="0"/>
                  <w:vAlign w:val="center"/>
                </w:tcPr>
                <w:p w14:paraId="7935A0D7">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w:t>
                  </w:r>
                </w:p>
              </w:tc>
              <w:tc>
                <w:tcPr>
                  <w:tcW w:w="622" w:type="pct"/>
                  <w:noWrap w:val="0"/>
                  <w:vAlign w:val="center"/>
                </w:tcPr>
                <w:p w14:paraId="0F1234A0">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DA001</w:t>
                  </w:r>
                </w:p>
              </w:tc>
              <w:tc>
                <w:tcPr>
                  <w:tcW w:w="1036" w:type="pct"/>
                  <w:noWrap w:val="0"/>
                  <w:vAlign w:val="center"/>
                </w:tcPr>
                <w:p w14:paraId="5C9E85B2">
                  <w:pPr>
                    <w:adjustRightInd w:val="0"/>
                    <w:snapToGrid w:val="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上料、破碎和打包</w:t>
                  </w:r>
                  <w:r>
                    <w:rPr>
                      <w:rFonts w:hint="eastAsia" w:ascii="Times New Roman" w:hAnsi="Times New Roman" w:eastAsia="宋体" w:cs="Times New Roman"/>
                      <w:color w:val="auto"/>
                      <w:sz w:val="21"/>
                      <w:szCs w:val="21"/>
                      <w:highlight w:val="none"/>
                      <w:lang w:val="en-US" w:eastAsia="zh-CN"/>
                    </w:rPr>
                    <w:t>工序废气排放口</w:t>
                  </w:r>
                </w:p>
              </w:tc>
              <w:tc>
                <w:tcPr>
                  <w:tcW w:w="661" w:type="pct"/>
                  <w:noWrap w:val="0"/>
                  <w:vAlign w:val="center"/>
                </w:tcPr>
                <w:p w14:paraId="36433D85">
                  <w:pPr>
                    <w:adjustRightInd w:val="0"/>
                    <w:snapToGrid w:val="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颗粒物</w:t>
                  </w:r>
                </w:p>
              </w:tc>
              <w:tc>
                <w:tcPr>
                  <w:tcW w:w="758" w:type="pct"/>
                  <w:noWrap w:val="0"/>
                  <w:vAlign w:val="center"/>
                </w:tcPr>
                <w:p w14:paraId="5678F3C1">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1次/</w:t>
                  </w:r>
                  <w:r>
                    <w:rPr>
                      <w:rFonts w:hint="eastAsia" w:cs="Times New Roman"/>
                      <w:color w:val="auto"/>
                      <w:sz w:val="21"/>
                      <w:szCs w:val="21"/>
                      <w:highlight w:val="none"/>
                      <w:lang w:val="en-US" w:eastAsia="zh-CN"/>
                    </w:rPr>
                    <w:t>半年</w:t>
                  </w:r>
                </w:p>
              </w:tc>
              <w:tc>
                <w:tcPr>
                  <w:tcW w:w="1298" w:type="pct"/>
                  <w:noWrap w:val="0"/>
                  <w:vAlign w:val="center"/>
                </w:tcPr>
                <w:p w14:paraId="70660B06">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《大气污染物综合排放标准》（GB16297-1996）表2中</w:t>
                  </w:r>
                  <w:r>
                    <w:rPr>
                      <w:rFonts w:hint="default" w:ascii="Times New Roman" w:hAnsi="Times New Roman" w:eastAsia="宋体" w:cs="Times New Roman"/>
                      <w:color w:val="auto"/>
                      <w:sz w:val="21"/>
                      <w:szCs w:val="21"/>
                      <w:highlight w:val="none"/>
                      <w:lang w:val="en-US" w:eastAsia="zh-CN"/>
                    </w:rPr>
                    <w:t>相关标准限值</w:t>
                  </w:r>
                </w:p>
              </w:tc>
            </w:tr>
            <w:tr w14:paraId="7703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vMerge w:val="continue"/>
                  <w:noWrap w:val="0"/>
                  <w:vAlign w:val="center"/>
                </w:tcPr>
                <w:p w14:paraId="3739410A">
                  <w:pPr>
                    <w:adjustRightInd w:val="0"/>
                    <w:snapToGrid w:val="0"/>
                    <w:jc w:val="center"/>
                    <w:rPr>
                      <w:rFonts w:hint="default" w:ascii="Times New Roman" w:hAnsi="Times New Roman" w:cs="Times New Roman"/>
                      <w:color w:val="auto"/>
                      <w:sz w:val="21"/>
                      <w:szCs w:val="21"/>
                      <w:highlight w:val="none"/>
                    </w:rPr>
                  </w:pPr>
                </w:p>
              </w:tc>
              <w:tc>
                <w:tcPr>
                  <w:tcW w:w="622" w:type="pct"/>
                  <w:noWrap w:val="0"/>
                  <w:vAlign w:val="center"/>
                </w:tcPr>
                <w:p w14:paraId="2BF3303E">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p>
              </w:tc>
              <w:tc>
                <w:tcPr>
                  <w:tcW w:w="1036" w:type="pct"/>
                  <w:noWrap w:val="0"/>
                  <w:vAlign w:val="center"/>
                </w:tcPr>
                <w:p w14:paraId="532692BC">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厂界上风向1个、下风向3个</w:t>
                  </w:r>
                </w:p>
              </w:tc>
              <w:tc>
                <w:tcPr>
                  <w:tcW w:w="661" w:type="pct"/>
                  <w:noWrap w:val="0"/>
                  <w:vAlign w:val="center"/>
                </w:tcPr>
                <w:p w14:paraId="1245C34D">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颗粒物</w:t>
                  </w:r>
                </w:p>
              </w:tc>
              <w:tc>
                <w:tcPr>
                  <w:tcW w:w="758" w:type="pct"/>
                  <w:noWrap w:val="0"/>
                  <w:vAlign w:val="center"/>
                </w:tcPr>
                <w:p w14:paraId="583672F2">
                  <w:pPr>
                    <w:adjustRightInd w:val="0"/>
                    <w:snapToGrid w:val="0"/>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1次/</w:t>
                  </w:r>
                  <w:r>
                    <w:rPr>
                      <w:rFonts w:hint="eastAsia" w:cs="Times New Roman"/>
                      <w:color w:val="auto"/>
                      <w:sz w:val="21"/>
                      <w:szCs w:val="21"/>
                      <w:highlight w:val="none"/>
                      <w:lang w:val="en-US" w:eastAsia="zh-CN"/>
                    </w:rPr>
                    <w:t>半年</w:t>
                  </w:r>
                </w:p>
                <w:p w14:paraId="067F8568">
                  <w:pPr>
                    <w:adjustRightInd w:val="0"/>
                    <w:snapToGrid w:val="0"/>
                    <w:jc w:val="center"/>
                    <w:rPr>
                      <w:rFonts w:hint="default" w:ascii="Times New Roman" w:hAnsi="Times New Roman" w:cs="Times New Roman"/>
                      <w:color w:val="auto"/>
                      <w:sz w:val="21"/>
                      <w:szCs w:val="21"/>
                      <w:highlight w:val="none"/>
                    </w:rPr>
                  </w:pPr>
                </w:p>
              </w:tc>
              <w:tc>
                <w:tcPr>
                  <w:tcW w:w="1298" w:type="pct"/>
                  <w:noWrap w:val="0"/>
                  <w:vAlign w:val="center"/>
                </w:tcPr>
                <w:p w14:paraId="0BCD17DA">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《大气污染物综合排放标准》（GB16297-1996）无组织排放监控浓度限值</w:t>
                  </w:r>
                </w:p>
              </w:tc>
            </w:tr>
            <w:tr w14:paraId="0E9A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noWrap w:val="0"/>
                  <w:vAlign w:val="center"/>
                </w:tcPr>
                <w:p w14:paraId="23485C34">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噪声</w:t>
                  </w:r>
                </w:p>
              </w:tc>
              <w:tc>
                <w:tcPr>
                  <w:tcW w:w="622" w:type="pct"/>
                  <w:noWrap w:val="0"/>
                  <w:vAlign w:val="center"/>
                </w:tcPr>
                <w:p w14:paraId="70CE1B53">
                  <w:pPr>
                    <w:spacing w:line="240" w:lineRule="auto"/>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厂界</w:t>
                  </w:r>
                </w:p>
                <w:p w14:paraId="172C7D76">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噪声</w:t>
                  </w:r>
                </w:p>
              </w:tc>
              <w:tc>
                <w:tcPr>
                  <w:tcW w:w="1036" w:type="pct"/>
                  <w:noWrap w:val="0"/>
                  <w:vAlign w:val="center"/>
                </w:tcPr>
                <w:p w14:paraId="0F323111">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厂界</w:t>
                  </w:r>
                  <w:r>
                    <w:rPr>
                      <w:rFonts w:hint="eastAsia" w:ascii="Times New Roman" w:hAnsi="Times New Roman" w:eastAsia="宋体" w:cs="Times New Roman"/>
                      <w:color w:val="auto"/>
                      <w:szCs w:val="21"/>
                      <w:highlight w:val="none"/>
                      <w:lang w:val="en-US" w:eastAsia="zh-CN"/>
                    </w:rPr>
                    <w:t>四周</w:t>
                  </w:r>
                </w:p>
              </w:tc>
              <w:tc>
                <w:tcPr>
                  <w:tcW w:w="661" w:type="pct"/>
                  <w:noWrap w:val="0"/>
                  <w:vAlign w:val="center"/>
                </w:tcPr>
                <w:p w14:paraId="2173744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等效连续A声级</w:t>
                  </w:r>
                </w:p>
              </w:tc>
              <w:tc>
                <w:tcPr>
                  <w:tcW w:w="758" w:type="pct"/>
                  <w:noWrap w:val="0"/>
                  <w:vAlign w:val="center"/>
                </w:tcPr>
                <w:p w14:paraId="38C2EFA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1次</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rPr>
                    <w:t>季</w:t>
                  </w:r>
                </w:p>
              </w:tc>
              <w:tc>
                <w:tcPr>
                  <w:tcW w:w="1298" w:type="pct"/>
                  <w:noWrap w:val="0"/>
                  <w:vAlign w:val="center"/>
                </w:tcPr>
                <w:p w14:paraId="4B99956F">
                  <w:pPr>
                    <w:keepNext w:val="0"/>
                    <w:keepLines w:val="0"/>
                    <w:pageBreakBefore w:val="0"/>
                    <w:widowControl w:val="0"/>
                    <w:kinsoku/>
                    <w:wordWrap w:val="0"/>
                    <w:overflowPunct w:val="0"/>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《工业企业厂界环境噪声排放标准》（GB12348-2008）</w:t>
                  </w:r>
                  <w:r>
                    <w:rPr>
                      <w:rFonts w:hint="default"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rPr>
                    <w:t>类标准</w:t>
                  </w:r>
                </w:p>
              </w:tc>
            </w:tr>
          </w:tbl>
          <w:p w14:paraId="08395E52">
            <w:pPr>
              <w:adjustRightInd w:val="0"/>
              <w:snapToGrid w:val="0"/>
              <w:spacing w:line="360" w:lineRule="auto"/>
              <w:jc w:val="both"/>
              <w:rPr>
                <w:rFonts w:hint="default" w:ascii="Times New Roman" w:hAnsi="Times New Roman" w:cs="Times New Roman"/>
                <w:color w:val="auto"/>
                <w:sz w:val="24"/>
                <w:szCs w:val="24"/>
                <w:highlight w:val="none"/>
                <w:lang w:val="en-US" w:eastAsia="zh-CN"/>
              </w:rPr>
            </w:pPr>
          </w:p>
          <w:p w14:paraId="1EB12277">
            <w:pPr>
              <w:adjustRightInd w:val="0"/>
              <w:snapToGrid w:val="0"/>
              <w:spacing w:line="360" w:lineRule="auto"/>
              <w:jc w:val="both"/>
              <w:rPr>
                <w:rFonts w:hint="default" w:ascii="Times New Roman" w:hAnsi="Times New Roman" w:cs="Times New Roman"/>
                <w:color w:val="auto"/>
                <w:sz w:val="24"/>
                <w:szCs w:val="24"/>
                <w:highlight w:val="none"/>
              </w:rPr>
            </w:pPr>
          </w:p>
          <w:p w14:paraId="6C37F24C">
            <w:pPr>
              <w:adjustRightInd w:val="0"/>
              <w:snapToGrid w:val="0"/>
              <w:spacing w:line="360" w:lineRule="auto"/>
              <w:jc w:val="both"/>
              <w:rPr>
                <w:rFonts w:hint="default" w:ascii="Times New Roman" w:hAnsi="Times New Roman" w:cs="Times New Roman"/>
                <w:color w:val="auto"/>
                <w:sz w:val="24"/>
                <w:szCs w:val="24"/>
                <w:highlight w:val="none"/>
              </w:rPr>
            </w:pPr>
          </w:p>
          <w:p w14:paraId="75739C8F">
            <w:pPr>
              <w:adjustRightInd w:val="0"/>
              <w:snapToGrid w:val="0"/>
              <w:spacing w:line="360" w:lineRule="auto"/>
              <w:jc w:val="both"/>
              <w:rPr>
                <w:rFonts w:hint="default" w:ascii="Times New Roman" w:hAnsi="Times New Roman" w:cs="Times New Roman"/>
                <w:color w:val="auto"/>
                <w:sz w:val="24"/>
                <w:szCs w:val="24"/>
                <w:highlight w:val="none"/>
              </w:rPr>
            </w:pPr>
          </w:p>
          <w:p w14:paraId="2A563713">
            <w:pPr>
              <w:adjustRightInd w:val="0"/>
              <w:snapToGrid w:val="0"/>
              <w:spacing w:line="360" w:lineRule="auto"/>
              <w:jc w:val="both"/>
              <w:rPr>
                <w:rFonts w:hint="default" w:ascii="Times New Roman" w:hAnsi="Times New Roman" w:cs="Times New Roman"/>
                <w:color w:val="auto"/>
                <w:sz w:val="24"/>
                <w:szCs w:val="24"/>
                <w:highlight w:val="none"/>
              </w:rPr>
            </w:pPr>
          </w:p>
          <w:p w14:paraId="4635D3AF">
            <w:pPr>
              <w:adjustRightInd w:val="0"/>
              <w:snapToGrid w:val="0"/>
              <w:spacing w:line="360" w:lineRule="auto"/>
              <w:jc w:val="both"/>
              <w:rPr>
                <w:rFonts w:hint="default" w:ascii="Times New Roman" w:hAnsi="Times New Roman" w:cs="Times New Roman"/>
                <w:color w:val="auto"/>
                <w:sz w:val="24"/>
                <w:szCs w:val="24"/>
                <w:highlight w:val="none"/>
              </w:rPr>
            </w:pPr>
          </w:p>
          <w:p w14:paraId="4E42368B">
            <w:pPr>
              <w:adjustRightInd w:val="0"/>
              <w:snapToGrid w:val="0"/>
              <w:spacing w:line="360" w:lineRule="auto"/>
              <w:jc w:val="both"/>
              <w:rPr>
                <w:rFonts w:hint="default" w:ascii="Times New Roman" w:hAnsi="Times New Roman" w:cs="Times New Roman"/>
                <w:color w:val="auto"/>
                <w:sz w:val="24"/>
                <w:szCs w:val="24"/>
                <w:highlight w:val="none"/>
              </w:rPr>
            </w:pPr>
          </w:p>
        </w:tc>
      </w:tr>
    </w:tbl>
    <w:p w14:paraId="5D618E4D">
      <w:pPr>
        <w:pStyle w:val="21"/>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cs="Times New Roman"/>
          <w:snapToGrid w:val="0"/>
          <w:color w:val="auto"/>
          <w:highlight w:val="none"/>
        </w:rPr>
        <w:br w:type="page"/>
      </w:r>
      <w:bookmarkStart w:id="35" w:name="_Toc10658"/>
      <w:r>
        <w:rPr>
          <w:rFonts w:hint="default" w:ascii="Times New Roman" w:hAnsi="Times New Roman" w:eastAsia="黑体" w:cs="Times New Roman"/>
          <w:snapToGrid w:val="0"/>
          <w:color w:val="auto"/>
          <w:sz w:val="30"/>
          <w:szCs w:val="30"/>
          <w:highlight w:val="none"/>
        </w:rPr>
        <w:t>六、结论</w:t>
      </w:r>
      <w:bookmarkEnd w:id="35"/>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9CCD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6D448384">
            <w:pPr>
              <w:spacing w:line="360" w:lineRule="auto"/>
              <w:ind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szCs w:val="21"/>
                <w:highlight w:val="none"/>
              </w:rPr>
              <w:t>从环境保护角度分析，该建设项目环境影响可行。</w:t>
            </w:r>
          </w:p>
        </w:tc>
      </w:tr>
    </w:tbl>
    <w:p w14:paraId="5AD268CA">
      <w:pPr>
        <w:rPr>
          <w:rFonts w:hint="default" w:ascii="Times New Roman" w:hAnsi="Times New Roman" w:cs="Times New Roman"/>
          <w:color w:val="auto"/>
          <w:highlight w:val="none"/>
        </w:rPr>
        <w:sectPr>
          <w:pgSz w:w="11906" w:h="16838"/>
          <w:pgMar w:top="1701" w:right="1531" w:bottom="1701" w:left="1531" w:header="851" w:footer="851" w:gutter="0"/>
          <w:pgNumType w:fmt="decimal"/>
          <w:cols w:space="720" w:num="1"/>
          <w:docGrid w:linePitch="312" w:charSpace="0"/>
        </w:sectPr>
      </w:pPr>
    </w:p>
    <w:p w14:paraId="037581A9">
      <w:pPr>
        <w:pStyle w:val="21"/>
        <w:adjustRightInd w:val="0"/>
        <w:snapToGrid w:val="0"/>
        <w:spacing w:before="0" w:beforeAutospacing="0" w:after="0" w:afterAutospacing="0" w:line="240" w:lineRule="auto"/>
        <w:outlineLvl w:val="0"/>
        <w:rPr>
          <w:rFonts w:hint="default" w:ascii="Times New Roman" w:hAnsi="Times New Roman" w:eastAsia="黑体" w:cs="Times New Roman"/>
          <w:snapToGrid w:val="0"/>
          <w:color w:val="auto"/>
          <w:sz w:val="32"/>
          <w:szCs w:val="32"/>
          <w:highlight w:val="none"/>
        </w:rPr>
      </w:pPr>
      <w:bookmarkStart w:id="36" w:name="_Toc11661"/>
      <w:r>
        <w:rPr>
          <w:rFonts w:hint="default" w:ascii="Times New Roman" w:hAnsi="Times New Roman" w:eastAsia="黑体" w:cs="Times New Roman"/>
          <w:snapToGrid w:val="0"/>
          <w:color w:val="auto"/>
          <w:sz w:val="32"/>
          <w:szCs w:val="32"/>
          <w:highlight w:val="none"/>
        </w:rPr>
        <w:t>附表</w:t>
      </w:r>
      <w:bookmarkEnd w:id="36"/>
    </w:p>
    <w:p w14:paraId="65BA19D9">
      <w:pPr>
        <w:pStyle w:val="21"/>
        <w:adjustRightInd w:val="0"/>
        <w:snapToGrid w:val="0"/>
        <w:spacing w:before="0" w:beforeAutospacing="0" w:after="0" w:afterAutospacing="0" w:line="240" w:lineRule="auto"/>
        <w:jc w:val="center"/>
        <w:outlineLvl w:val="0"/>
        <w:rPr>
          <w:rFonts w:hint="default" w:ascii="Times New Roman" w:hAnsi="Times New Roman" w:eastAsia="方正小标宋_GBK" w:cs="Times New Roman"/>
          <w:snapToGrid w:val="0"/>
          <w:color w:val="auto"/>
          <w:sz w:val="28"/>
          <w:szCs w:val="28"/>
          <w:highlight w:val="none"/>
        </w:rPr>
      </w:pPr>
      <w:bookmarkStart w:id="37" w:name="_Toc26906"/>
      <w:r>
        <w:rPr>
          <w:rFonts w:hint="default" w:ascii="Times New Roman" w:hAnsi="Times New Roman" w:eastAsia="方正小标宋_GBK" w:cs="Times New Roman"/>
          <w:snapToGrid w:val="0"/>
          <w:color w:val="auto"/>
          <w:sz w:val="28"/>
          <w:szCs w:val="28"/>
          <w:highlight w:val="none"/>
        </w:rPr>
        <w:t>建设项目污染物排放量汇总表</w:t>
      </w:r>
      <w:bookmarkEnd w:id="37"/>
    </w:p>
    <w:tbl>
      <w:tblPr>
        <w:tblStyle w:val="25"/>
        <w:tblW w:w="136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935"/>
        <w:gridCol w:w="1592"/>
        <w:gridCol w:w="1263"/>
        <w:gridCol w:w="1570"/>
        <w:gridCol w:w="1650"/>
        <w:gridCol w:w="1615"/>
        <w:gridCol w:w="1817"/>
        <w:gridCol w:w="1080"/>
      </w:tblGrid>
      <w:tr w14:paraId="4BA135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3" w:type="dxa"/>
            <w:tcBorders>
              <w:tl2br w:val="single" w:color="auto" w:sz="4" w:space="0"/>
            </w:tcBorders>
            <w:noWrap w:val="0"/>
            <w:tcMar>
              <w:left w:w="28" w:type="dxa"/>
              <w:right w:w="28" w:type="dxa"/>
            </w:tcMar>
            <w:vAlign w:val="center"/>
          </w:tcPr>
          <w:p w14:paraId="29CF84EA">
            <w:pPr>
              <w:pStyle w:val="46"/>
              <w:spacing w:beforeLines="0" w:afterLines="0" w:line="240" w:lineRule="auto"/>
              <w:jc w:val="right"/>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项目</w:t>
            </w:r>
          </w:p>
          <w:p w14:paraId="6C996AE7">
            <w:pPr>
              <w:pStyle w:val="46"/>
              <w:spacing w:beforeLines="0" w:afterLines="0" w:line="240" w:lineRule="auto"/>
              <w:ind w:left="0" w:leftChars="0" w:firstLine="0" w:firstLineChars="0"/>
              <w:jc w:val="left"/>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分类</w:t>
            </w:r>
          </w:p>
        </w:tc>
        <w:tc>
          <w:tcPr>
            <w:tcW w:w="1935" w:type="dxa"/>
            <w:noWrap w:val="0"/>
            <w:tcMar>
              <w:left w:w="28" w:type="dxa"/>
              <w:right w:w="28" w:type="dxa"/>
            </w:tcMar>
            <w:vAlign w:val="center"/>
          </w:tcPr>
          <w:p w14:paraId="09545AC3">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污染物名称</w:t>
            </w:r>
          </w:p>
        </w:tc>
        <w:tc>
          <w:tcPr>
            <w:tcW w:w="1592" w:type="dxa"/>
            <w:noWrap w:val="0"/>
            <w:tcMar>
              <w:left w:w="28" w:type="dxa"/>
              <w:right w:w="28" w:type="dxa"/>
            </w:tcMar>
            <w:vAlign w:val="center"/>
          </w:tcPr>
          <w:p w14:paraId="4D67C44D">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现有工程</w:t>
            </w:r>
          </w:p>
          <w:p w14:paraId="160C325B">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排放量（固体废物产生量）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1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①</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263" w:type="dxa"/>
            <w:noWrap w:val="0"/>
            <w:tcMar>
              <w:left w:w="28" w:type="dxa"/>
              <w:right w:w="28" w:type="dxa"/>
            </w:tcMar>
            <w:vAlign w:val="center"/>
          </w:tcPr>
          <w:p w14:paraId="790D22EA">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现有工程</w:t>
            </w:r>
          </w:p>
          <w:p w14:paraId="5BB24FE1">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许可排放量</w:t>
            </w:r>
          </w:p>
          <w:p w14:paraId="4564D699">
            <w:pPr>
              <w:pStyle w:val="46"/>
              <w:spacing w:beforeLines="0" w:afterLines="0"/>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2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snapToGrid w:val="0"/>
                <w:color w:val="auto"/>
                <w:spacing w:val="-6"/>
                <w:kern w:val="21"/>
                <w:sz w:val="21"/>
                <w:szCs w:val="21"/>
                <w:highlight w:val="none"/>
              </w:rPr>
              <w:t>②</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570" w:type="dxa"/>
            <w:noWrap w:val="0"/>
            <w:tcMar>
              <w:left w:w="28" w:type="dxa"/>
              <w:right w:w="28" w:type="dxa"/>
            </w:tcMar>
            <w:vAlign w:val="center"/>
          </w:tcPr>
          <w:p w14:paraId="47BFDD18">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在建工程</w:t>
            </w:r>
          </w:p>
          <w:p w14:paraId="43E0B570">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排放量（固体废物产生量）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3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③</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650" w:type="dxa"/>
            <w:noWrap w:val="0"/>
            <w:tcMar>
              <w:left w:w="28" w:type="dxa"/>
              <w:right w:w="28" w:type="dxa"/>
            </w:tcMar>
            <w:vAlign w:val="center"/>
          </w:tcPr>
          <w:p w14:paraId="2B06CBB1">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本项目</w:t>
            </w:r>
          </w:p>
          <w:p w14:paraId="65210F71">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排放量（固体废物产生量）</w:t>
            </w: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4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④</w:t>
            </w:r>
            <w:r>
              <w:rPr>
                <w:rFonts w:hint="default" w:ascii="Times New Roman" w:hAnsi="Times New Roman" w:eastAsia="宋体" w:cs="Times New Roman"/>
                <w:b/>
                <w:bCs/>
                <w:snapToGrid w:val="0"/>
                <w:color w:val="auto"/>
                <w:spacing w:val="-6"/>
                <w:kern w:val="21"/>
                <w:sz w:val="21"/>
                <w:szCs w:val="21"/>
                <w:highlight w:val="none"/>
              </w:rPr>
              <w:fldChar w:fldCharType="end"/>
            </w:r>
          </w:p>
        </w:tc>
        <w:tc>
          <w:tcPr>
            <w:tcW w:w="1615" w:type="dxa"/>
            <w:noWrap w:val="0"/>
            <w:tcMar>
              <w:left w:w="28" w:type="dxa"/>
              <w:right w:w="28" w:type="dxa"/>
            </w:tcMar>
            <w:vAlign w:val="center"/>
          </w:tcPr>
          <w:p w14:paraId="0621CB57">
            <w:pPr>
              <w:pStyle w:val="46"/>
              <w:spacing w:beforeLines="0" w:afterLines="0" w:line="240" w:lineRule="auto"/>
              <w:jc w:val="center"/>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rPr>
              <w:t>以新带老削减量</w:t>
            </w:r>
          </w:p>
          <w:p w14:paraId="175A4E36">
            <w:pPr>
              <w:pStyle w:val="46"/>
              <w:spacing w:beforeLines="0" w:afterLines="0" w:line="240" w:lineRule="auto"/>
              <w:jc w:val="center"/>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rPr>
              <w:t>（新建项目不填）</w:t>
            </w:r>
          </w:p>
          <w:p w14:paraId="7BDA476D">
            <w:pPr>
              <w:pStyle w:val="46"/>
              <w:spacing w:beforeLines="0" w:afterLines="0" w:line="240" w:lineRule="auto"/>
              <w:jc w:val="center"/>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rPr>
              <w:fldChar w:fldCharType="begin"/>
            </w:r>
            <w:r>
              <w:rPr>
                <w:rFonts w:hint="default" w:ascii="Times New Roman" w:hAnsi="Times New Roman" w:eastAsia="宋体" w:cs="Times New Roman"/>
                <w:b/>
                <w:bCs/>
                <w:snapToGrid w:val="0"/>
                <w:color w:val="auto"/>
                <w:spacing w:val="-16"/>
                <w:kern w:val="21"/>
                <w:sz w:val="21"/>
                <w:szCs w:val="21"/>
                <w:highlight w:val="none"/>
              </w:rPr>
              <w:instrText xml:space="preserve"> = 5 \* GB3 \* MERGEFORMAT </w:instrText>
            </w:r>
            <w:r>
              <w:rPr>
                <w:rFonts w:hint="default" w:ascii="Times New Roman" w:hAnsi="Times New Roman" w:eastAsia="宋体" w:cs="Times New Roman"/>
                <w:b/>
                <w:bCs/>
                <w:snapToGrid w:val="0"/>
                <w:color w:val="auto"/>
                <w:spacing w:val="-1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⑤</w:t>
            </w:r>
            <w:r>
              <w:rPr>
                <w:rFonts w:hint="default" w:ascii="Times New Roman" w:hAnsi="Times New Roman" w:eastAsia="宋体" w:cs="Times New Roman"/>
                <w:b/>
                <w:bCs/>
                <w:snapToGrid w:val="0"/>
                <w:color w:val="auto"/>
                <w:spacing w:val="-16"/>
                <w:kern w:val="21"/>
                <w:sz w:val="21"/>
                <w:szCs w:val="21"/>
                <w:highlight w:val="none"/>
              </w:rPr>
              <w:fldChar w:fldCharType="end"/>
            </w:r>
          </w:p>
        </w:tc>
        <w:tc>
          <w:tcPr>
            <w:tcW w:w="1817" w:type="dxa"/>
            <w:noWrap w:val="0"/>
            <w:tcMar>
              <w:left w:w="28" w:type="dxa"/>
              <w:right w:w="28" w:type="dxa"/>
            </w:tcMar>
            <w:vAlign w:val="center"/>
          </w:tcPr>
          <w:p w14:paraId="31ABDF36">
            <w:pPr>
              <w:pStyle w:val="46"/>
              <w:spacing w:beforeLines="0" w:afterLines="0" w:line="240" w:lineRule="auto"/>
              <w:jc w:val="center"/>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rPr>
              <w:t>本项目建成后</w:t>
            </w:r>
          </w:p>
          <w:p w14:paraId="75F96FF1">
            <w:pPr>
              <w:pStyle w:val="46"/>
              <w:spacing w:beforeLines="0" w:afterLines="0" w:line="240" w:lineRule="auto"/>
              <w:jc w:val="center"/>
              <w:rPr>
                <w:rFonts w:hint="default" w:ascii="Times New Roman" w:hAnsi="Times New Roman" w:eastAsia="宋体" w:cs="Times New Roman"/>
                <w:b/>
                <w:bCs/>
                <w:snapToGrid w:val="0"/>
                <w:color w:val="auto"/>
                <w:spacing w:val="-16"/>
                <w:kern w:val="21"/>
                <w:sz w:val="21"/>
                <w:szCs w:val="21"/>
                <w:highlight w:val="none"/>
              </w:rPr>
            </w:pPr>
            <w:r>
              <w:rPr>
                <w:rFonts w:hint="default" w:ascii="Times New Roman" w:hAnsi="Times New Roman" w:eastAsia="宋体" w:cs="Times New Roman"/>
                <w:b/>
                <w:bCs/>
                <w:snapToGrid w:val="0"/>
                <w:color w:val="auto"/>
                <w:spacing w:val="-16"/>
                <w:kern w:val="21"/>
                <w:sz w:val="21"/>
                <w:szCs w:val="21"/>
                <w:highlight w:val="none"/>
              </w:rPr>
              <w:t>全厂排放量（固体废物产生量）</w:t>
            </w:r>
            <w:r>
              <w:rPr>
                <w:rFonts w:hint="default" w:ascii="Times New Roman" w:hAnsi="Times New Roman" w:eastAsia="宋体" w:cs="Times New Roman"/>
                <w:b/>
                <w:bCs/>
                <w:snapToGrid w:val="0"/>
                <w:color w:val="auto"/>
                <w:spacing w:val="-16"/>
                <w:kern w:val="21"/>
                <w:sz w:val="21"/>
                <w:szCs w:val="21"/>
                <w:highlight w:val="none"/>
              </w:rPr>
              <w:fldChar w:fldCharType="begin"/>
            </w:r>
            <w:r>
              <w:rPr>
                <w:rFonts w:hint="default" w:ascii="Times New Roman" w:hAnsi="Times New Roman" w:eastAsia="宋体" w:cs="Times New Roman"/>
                <w:b/>
                <w:bCs/>
                <w:snapToGrid w:val="0"/>
                <w:color w:val="auto"/>
                <w:spacing w:val="-16"/>
                <w:kern w:val="21"/>
                <w:sz w:val="21"/>
                <w:szCs w:val="21"/>
                <w:highlight w:val="none"/>
              </w:rPr>
              <w:instrText xml:space="preserve"> = 6 \* GB3 \* MERGEFORMAT </w:instrText>
            </w:r>
            <w:r>
              <w:rPr>
                <w:rFonts w:hint="default" w:ascii="Times New Roman" w:hAnsi="Times New Roman" w:eastAsia="宋体" w:cs="Times New Roman"/>
                <w:b/>
                <w:bCs/>
                <w:snapToGrid w:val="0"/>
                <w:color w:val="auto"/>
                <w:spacing w:val="-1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⑥</w:t>
            </w:r>
            <w:r>
              <w:rPr>
                <w:rFonts w:hint="default" w:ascii="Times New Roman" w:hAnsi="Times New Roman" w:eastAsia="宋体" w:cs="Times New Roman"/>
                <w:b/>
                <w:bCs/>
                <w:snapToGrid w:val="0"/>
                <w:color w:val="auto"/>
                <w:spacing w:val="-16"/>
                <w:kern w:val="21"/>
                <w:sz w:val="21"/>
                <w:szCs w:val="21"/>
                <w:highlight w:val="none"/>
              </w:rPr>
              <w:fldChar w:fldCharType="end"/>
            </w:r>
          </w:p>
        </w:tc>
        <w:tc>
          <w:tcPr>
            <w:tcW w:w="1080" w:type="dxa"/>
            <w:noWrap w:val="0"/>
            <w:tcMar>
              <w:left w:w="28" w:type="dxa"/>
              <w:right w:w="28" w:type="dxa"/>
            </w:tcMar>
            <w:vAlign w:val="center"/>
          </w:tcPr>
          <w:p w14:paraId="5C9305BD">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t>变化量</w:t>
            </w:r>
          </w:p>
          <w:p w14:paraId="20CA9F6B">
            <w:pPr>
              <w:pStyle w:val="46"/>
              <w:spacing w:beforeLines="0" w:afterLines="0" w:line="240" w:lineRule="auto"/>
              <w:jc w:val="center"/>
              <w:rPr>
                <w:rFonts w:hint="default" w:ascii="Times New Roman" w:hAnsi="Times New Roman" w:eastAsia="宋体" w:cs="Times New Roman"/>
                <w:b/>
                <w:bCs/>
                <w:snapToGrid w:val="0"/>
                <w:color w:val="auto"/>
                <w:spacing w:val="-6"/>
                <w:kern w:val="21"/>
                <w:sz w:val="21"/>
                <w:szCs w:val="21"/>
                <w:highlight w:val="none"/>
              </w:rPr>
            </w:pPr>
            <w:r>
              <w:rPr>
                <w:rFonts w:hint="default" w:ascii="Times New Roman" w:hAnsi="Times New Roman" w:eastAsia="宋体" w:cs="Times New Roman"/>
                <w:b/>
                <w:bCs/>
                <w:snapToGrid w:val="0"/>
                <w:color w:val="auto"/>
                <w:spacing w:val="-6"/>
                <w:kern w:val="21"/>
                <w:sz w:val="21"/>
                <w:szCs w:val="21"/>
                <w:highlight w:val="none"/>
              </w:rPr>
              <w:fldChar w:fldCharType="begin"/>
            </w:r>
            <w:r>
              <w:rPr>
                <w:rFonts w:hint="default" w:ascii="Times New Roman" w:hAnsi="Times New Roman" w:eastAsia="宋体" w:cs="Times New Roman"/>
                <w:b/>
                <w:bCs/>
                <w:snapToGrid w:val="0"/>
                <w:color w:val="auto"/>
                <w:spacing w:val="-6"/>
                <w:kern w:val="21"/>
                <w:sz w:val="21"/>
                <w:szCs w:val="21"/>
                <w:highlight w:val="none"/>
              </w:rPr>
              <w:instrText xml:space="preserve"> = 7 \* GB3 \* MERGEFORMAT </w:instrText>
            </w:r>
            <w:r>
              <w:rPr>
                <w:rFonts w:hint="default" w:ascii="Times New Roman" w:hAnsi="Times New Roman" w:eastAsia="宋体" w:cs="Times New Roman"/>
                <w:b/>
                <w:bCs/>
                <w:snapToGrid w:val="0"/>
                <w:color w:val="auto"/>
                <w:spacing w:val="-6"/>
                <w:kern w:val="21"/>
                <w:sz w:val="21"/>
                <w:szCs w:val="21"/>
                <w:highlight w:val="none"/>
              </w:rPr>
              <w:fldChar w:fldCharType="separate"/>
            </w:r>
            <w:r>
              <w:rPr>
                <w:rFonts w:hint="default" w:ascii="Times New Roman" w:hAnsi="Times New Roman" w:eastAsia="宋体" w:cs="Times New Roman"/>
                <w:b/>
                <w:bCs/>
                <w:color w:val="auto"/>
                <w:kern w:val="2"/>
                <w:sz w:val="21"/>
                <w:szCs w:val="21"/>
                <w:highlight w:val="none"/>
              </w:rPr>
              <w:t>⑦</w:t>
            </w:r>
            <w:r>
              <w:rPr>
                <w:rFonts w:hint="default" w:ascii="Times New Roman" w:hAnsi="Times New Roman" w:eastAsia="宋体" w:cs="Times New Roman"/>
                <w:b/>
                <w:bCs/>
                <w:snapToGrid w:val="0"/>
                <w:color w:val="auto"/>
                <w:spacing w:val="-6"/>
                <w:kern w:val="21"/>
                <w:sz w:val="21"/>
                <w:szCs w:val="21"/>
                <w:highlight w:val="none"/>
              </w:rPr>
              <w:fldChar w:fldCharType="end"/>
            </w:r>
          </w:p>
        </w:tc>
      </w:tr>
      <w:tr w14:paraId="5E683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noWrap w:val="0"/>
            <w:vAlign w:val="center"/>
          </w:tcPr>
          <w:p w14:paraId="2A2795B8">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rPr>
              <w:t>废气</w:t>
            </w:r>
          </w:p>
        </w:tc>
        <w:tc>
          <w:tcPr>
            <w:tcW w:w="1935" w:type="dxa"/>
            <w:noWrap w:val="0"/>
            <w:vAlign w:val="center"/>
          </w:tcPr>
          <w:p w14:paraId="06B3F8E6">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lang w:eastAsia="zh-CN"/>
              </w:rPr>
            </w:pPr>
            <w:r>
              <w:rPr>
                <w:rFonts w:hint="default" w:ascii="Times New Roman" w:hAnsi="Times New Roman" w:eastAsia="宋体" w:cs="Times New Roman"/>
                <w:snapToGrid w:val="0"/>
                <w:color w:val="auto"/>
                <w:kern w:val="21"/>
                <w:sz w:val="21"/>
                <w:szCs w:val="21"/>
                <w:highlight w:val="none"/>
                <w:lang w:eastAsia="zh-CN"/>
              </w:rPr>
              <w:t>颗粒物</w:t>
            </w:r>
          </w:p>
        </w:tc>
        <w:tc>
          <w:tcPr>
            <w:tcW w:w="1592" w:type="dxa"/>
            <w:noWrap w:val="0"/>
            <w:vAlign w:val="center"/>
          </w:tcPr>
          <w:p w14:paraId="5A283047">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7B186F5D">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0BF825CE">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1501113F">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eastAsia" w:cs="Times New Roman"/>
                <w:color w:val="auto"/>
                <w:kern w:val="2"/>
                <w:sz w:val="21"/>
                <w:szCs w:val="24"/>
                <w:highlight w:val="none"/>
                <w:lang w:val="en-US" w:eastAsia="zh-CN" w:bidi="ar-SA"/>
              </w:rPr>
              <w:t>0.445</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15" w:type="dxa"/>
            <w:noWrap w:val="0"/>
            <w:vAlign w:val="center"/>
          </w:tcPr>
          <w:p w14:paraId="59800EB2">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34B6E721">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0.445</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080" w:type="dxa"/>
            <w:noWrap w:val="0"/>
            <w:vAlign w:val="center"/>
          </w:tcPr>
          <w:p w14:paraId="1B2CF437">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r>
      <w:tr w14:paraId="663AF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6D62E954">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rPr>
              <w:t>废水</w:t>
            </w:r>
          </w:p>
        </w:tc>
        <w:tc>
          <w:tcPr>
            <w:tcW w:w="1935" w:type="dxa"/>
            <w:noWrap w:val="0"/>
            <w:vAlign w:val="center"/>
          </w:tcPr>
          <w:p w14:paraId="585DEC56">
            <w:pPr>
              <w:pStyle w:val="2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kern w:val="0"/>
                <w:sz w:val="21"/>
                <w:szCs w:val="21"/>
                <w:highlight w:val="none"/>
                <w:lang w:val="en-US" w:eastAsia="zh-CN" w:bidi="ar-SA"/>
              </w:rPr>
            </w:pPr>
            <w:r>
              <w:rPr>
                <w:rFonts w:hint="default" w:ascii="Times New Roman" w:hAnsi="Times New Roman" w:cs="Times New Roman"/>
                <w:b w:val="0"/>
                <w:bCs w:val="0"/>
                <w:color w:val="auto"/>
                <w:sz w:val="21"/>
                <w:szCs w:val="21"/>
                <w:highlight w:val="none"/>
              </w:rPr>
              <w:t>COD</w:t>
            </w:r>
          </w:p>
        </w:tc>
        <w:tc>
          <w:tcPr>
            <w:tcW w:w="1592" w:type="dxa"/>
            <w:noWrap w:val="0"/>
            <w:vAlign w:val="center"/>
          </w:tcPr>
          <w:p w14:paraId="09E4F28E">
            <w:pPr>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bCs/>
                <w:color w:val="auto"/>
                <w:kern w:val="0"/>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0C6CB0D2">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5F98B14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63A4801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w:t>
            </w:r>
          </w:p>
        </w:tc>
        <w:tc>
          <w:tcPr>
            <w:tcW w:w="1615" w:type="dxa"/>
            <w:noWrap w:val="0"/>
            <w:vAlign w:val="center"/>
          </w:tcPr>
          <w:p w14:paraId="61B7E532">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473269B2">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w:t>
            </w:r>
          </w:p>
        </w:tc>
        <w:tc>
          <w:tcPr>
            <w:tcW w:w="1080" w:type="dxa"/>
            <w:noWrap w:val="0"/>
            <w:vAlign w:val="center"/>
          </w:tcPr>
          <w:p w14:paraId="7A25576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7FE4D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47F1563C">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5427BA39">
            <w:pPr>
              <w:spacing w:beforeLines="0" w:afterLines="0" w:line="240" w:lineRule="auto"/>
              <w:jc w:val="center"/>
              <w:rPr>
                <w:rFonts w:hint="default" w:ascii="Times New Roman" w:hAnsi="Times New Roman" w:eastAsia="宋体" w:cs="Times New Roman"/>
                <w:b w:val="0"/>
                <w:bCs w:val="0"/>
                <w:snapToGrid w:val="0"/>
                <w:color w:val="auto"/>
                <w:kern w:val="21"/>
                <w:sz w:val="21"/>
                <w:szCs w:val="21"/>
                <w:highlight w:val="none"/>
                <w:lang w:val="en-US" w:eastAsia="zh-CN" w:bidi="ar-SA"/>
              </w:rPr>
            </w:pPr>
            <w:r>
              <w:rPr>
                <w:rFonts w:hint="default" w:ascii="Times New Roman" w:hAnsi="Times New Roman" w:cs="Times New Roman"/>
                <w:b w:val="0"/>
                <w:bCs w:val="0"/>
                <w:color w:val="auto"/>
                <w:sz w:val="21"/>
                <w:szCs w:val="21"/>
                <w:highlight w:val="none"/>
              </w:rPr>
              <w:t>BOD</w:t>
            </w:r>
            <w:r>
              <w:rPr>
                <w:rFonts w:hint="default" w:ascii="Times New Roman" w:hAnsi="Times New Roman" w:cs="Times New Roman"/>
                <w:b w:val="0"/>
                <w:bCs w:val="0"/>
                <w:color w:val="auto"/>
                <w:sz w:val="21"/>
                <w:szCs w:val="21"/>
                <w:highlight w:val="none"/>
                <w:vertAlign w:val="subscript"/>
                <w:lang w:val="en-US" w:eastAsia="zh-CN"/>
              </w:rPr>
              <w:t>5</w:t>
            </w:r>
          </w:p>
        </w:tc>
        <w:tc>
          <w:tcPr>
            <w:tcW w:w="1592" w:type="dxa"/>
            <w:noWrap w:val="0"/>
            <w:vAlign w:val="center"/>
          </w:tcPr>
          <w:p w14:paraId="7A13CB35">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37DB3450">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2E416BEA">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4BF95D4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 w:val="21"/>
                <w:szCs w:val="21"/>
                <w:highlight w:val="none"/>
                <w:lang w:val="en-US" w:eastAsia="zh-CN" w:bidi="ar-SA"/>
              </w:rPr>
              <w:t>/</w:t>
            </w:r>
          </w:p>
        </w:tc>
        <w:tc>
          <w:tcPr>
            <w:tcW w:w="1615" w:type="dxa"/>
            <w:noWrap w:val="0"/>
            <w:vAlign w:val="center"/>
          </w:tcPr>
          <w:p w14:paraId="3784232E">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51766D8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 w:val="21"/>
                <w:szCs w:val="21"/>
                <w:highlight w:val="none"/>
                <w:lang w:val="en-US" w:eastAsia="zh-CN" w:bidi="ar-SA"/>
              </w:rPr>
              <w:t>/</w:t>
            </w:r>
          </w:p>
        </w:tc>
        <w:tc>
          <w:tcPr>
            <w:tcW w:w="1080" w:type="dxa"/>
            <w:noWrap w:val="0"/>
            <w:vAlign w:val="center"/>
          </w:tcPr>
          <w:p w14:paraId="45F3FC03">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484C98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6B62FF3">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0CFA3121">
            <w:pPr>
              <w:spacing w:beforeLines="0" w:afterLines="0" w:line="240" w:lineRule="auto"/>
              <w:jc w:val="center"/>
              <w:rPr>
                <w:rFonts w:hint="default" w:ascii="Times New Roman" w:hAnsi="Times New Roman" w:eastAsia="宋体" w:cs="Times New Roman"/>
                <w:b w:val="0"/>
                <w:bCs w:val="0"/>
                <w:snapToGrid w:val="0"/>
                <w:color w:val="auto"/>
                <w:kern w:val="21"/>
                <w:sz w:val="21"/>
                <w:szCs w:val="21"/>
                <w:highlight w:val="none"/>
                <w:lang w:val="en-US" w:eastAsia="zh-CN" w:bidi="ar-SA"/>
              </w:rPr>
            </w:pPr>
            <w:r>
              <w:rPr>
                <w:rFonts w:hint="default" w:ascii="Times New Roman" w:hAnsi="Times New Roman" w:cs="Times New Roman"/>
                <w:b w:val="0"/>
                <w:bCs w:val="0"/>
                <w:color w:val="auto"/>
                <w:sz w:val="21"/>
                <w:szCs w:val="21"/>
                <w:highlight w:val="none"/>
              </w:rPr>
              <w:t>SS</w:t>
            </w:r>
          </w:p>
        </w:tc>
        <w:tc>
          <w:tcPr>
            <w:tcW w:w="1592" w:type="dxa"/>
            <w:noWrap w:val="0"/>
            <w:vAlign w:val="center"/>
          </w:tcPr>
          <w:p w14:paraId="3EE8C0DE">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4C839869">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0B63AFD0">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0F5A4B4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 w:val="21"/>
                <w:szCs w:val="21"/>
                <w:highlight w:val="none"/>
                <w:lang w:val="en-US" w:eastAsia="zh-CN" w:bidi="ar-SA"/>
              </w:rPr>
              <w:t>/</w:t>
            </w:r>
          </w:p>
        </w:tc>
        <w:tc>
          <w:tcPr>
            <w:tcW w:w="1615" w:type="dxa"/>
            <w:noWrap w:val="0"/>
            <w:vAlign w:val="center"/>
          </w:tcPr>
          <w:p w14:paraId="0F93BB8E">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7D127B08">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 w:val="21"/>
                <w:szCs w:val="21"/>
                <w:highlight w:val="none"/>
                <w:lang w:val="en-US" w:eastAsia="zh-CN" w:bidi="ar-SA"/>
              </w:rPr>
              <w:t>/</w:t>
            </w:r>
          </w:p>
        </w:tc>
        <w:tc>
          <w:tcPr>
            <w:tcW w:w="1080" w:type="dxa"/>
            <w:noWrap w:val="0"/>
            <w:vAlign w:val="center"/>
          </w:tcPr>
          <w:p w14:paraId="46DB0E9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31AE0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AA35B61">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1F5F7538">
            <w:pPr>
              <w:spacing w:beforeLines="0" w:afterLines="0" w:line="240" w:lineRule="auto"/>
              <w:jc w:val="center"/>
              <w:rPr>
                <w:rFonts w:hint="default" w:ascii="Times New Roman" w:hAnsi="Times New Roman" w:eastAsia="宋体" w:cs="Times New Roman"/>
                <w:b w:val="0"/>
                <w:bCs w:val="0"/>
                <w:snapToGrid w:val="0"/>
                <w:color w:val="auto"/>
                <w:kern w:val="21"/>
                <w:sz w:val="21"/>
                <w:szCs w:val="21"/>
                <w:highlight w:val="none"/>
                <w:lang w:val="en-US" w:eastAsia="zh-CN" w:bidi="ar-SA"/>
              </w:rPr>
            </w:pPr>
            <w:r>
              <w:rPr>
                <w:rFonts w:hint="default" w:ascii="Times New Roman" w:hAnsi="Times New Roman" w:cs="Times New Roman"/>
                <w:b w:val="0"/>
                <w:bCs w:val="0"/>
                <w:color w:val="auto"/>
                <w:sz w:val="21"/>
                <w:szCs w:val="21"/>
                <w:highlight w:val="none"/>
              </w:rPr>
              <w:t>氨氮</w:t>
            </w:r>
          </w:p>
        </w:tc>
        <w:tc>
          <w:tcPr>
            <w:tcW w:w="1592" w:type="dxa"/>
            <w:noWrap w:val="0"/>
            <w:vAlign w:val="center"/>
          </w:tcPr>
          <w:p w14:paraId="75B6C86C">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07EF7ACD">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0111800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68EC8901">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 w:val="21"/>
                <w:szCs w:val="21"/>
                <w:highlight w:val="none"/>
                <w:lang w:val="en-US" w:eastAsia="zh-CN" w:bidi="ar-SA"/>
              </w:rPr>
              <w:t>/</w:t>
            </w:r>
          </w:p>
        </w:tc>
        <w:tc>
          <w:tcPr>
            <w:tcW w:w="1615" w:type="dxa"/>
            <w:noWrap w:val="0"/>
            <w:vAlign w:val="center"/>
          </w:tcPr>
          <w:p w14:paraId="4AAAC6C7">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406C344E">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 w:val="21"/>
                <w:szCs w:val="21"/>
                <w:highlight w:val="none"/>
                <w:lang w:val="en-US" w:eastAsia="zh-CN" w:bidi="ar-SA"/>
              </w:rPr>
              <w:t>/</w:t>
            </w:r>
          </w:p>
        </w:tc>
        <w:tc>
          <w:tcPr>
            <w:tcW w:w="1080" w:type="dxa"/>
            <w:noWrap w:val="0"/>
            <w:vAlign w:val="center"/>
          </w:tcPr>
          <w:p w14:paraId="38DC113B">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4D9A54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noWrap w:val="0"/>
            <w:vAlign w:val="center"/>
          </w:tcPr>
          <w:p w14:paraId="7799FBE9">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生活垃圾</w:t>
            </w:r>
          </w:p>
        </w:tc>
        <w:tc>
          <w:tcPr>
            <w:tcW w:w="1935" w:type="dxa"/>
            <w:noWrap w:val="0"/>
            <w:vAlign w:val="center"/>
          </w:tcPr>
          <w:p w14:paraId="015C2716">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生活垃圾</w:t>
            </w:r>
          </w:p>
        </w:tc>
        <w:tc>
          <w:tcPr>
            <w:tcW w:w="1592" w:type="dxa"/>
            <w:noWrap w:val="0"/>
            <w:vAlign w:val="center"/>
          </w:tcPr>
          <w:p w14:paraId="716FF083">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2C5658B1">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0909C325">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4BD37D19">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rPr>
              <w:t>3.3</w:t>
            </w:r>
            <w:r>
              <w:rPr>
                <w:rFonts w:hint="default" w:ascii="Times New Roman" w:hAnsi="Times New Roman" w:eastAsia="宋体" w:cs="Times New Roman"/>
                <w:b w:val="0"/>
                <w:bCs w:val="0"/>
                <w:color w:val="auto"/>
                <w:kern w:val="0"/>
                <w:sz w:val="21"/>
                <w:szCs w:val="21"/>
                <w:highlight w:val="none"/>
              </w:rPr>
              <w:t>t/a</w:t>
            </w:r>
          </w:p>
        </w:tc>
        <w:tc>
          <w:tcPr>
            <w:tcW w:w="1615" w:type="dxa"/>
            <w:noWrap w:val="0"/>
            <w:vAlign w:val="center"/>
          </w:tcPr>
          <w:p w14:paraId="431F7AE5">
            <w:pPr>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6D9D9612">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rPr>
              <w:t>3.3</w:t>
            </w:r>
            <w:r>
              <w:rPr>
                <w:rFonts w:hint="default" w:ascii="Times New Roman" w:hAnsi="Times New Roman" w:eastAsia="宋体" w:cs="Times New Roman"/>
                <w:b w:val="0"/>
                <w:bCs w:val="0"/>
                <w:color w:val="auto"/>
                <w:kern w:val="0"/>
                <w:sz w:val="21"/>
                <w:szCs w:val="21"/>
                <w:highlight w:val="none"/>
              </w:rPr>
              <w:t>t/a</w:t>
            </w:r>
          </w:p>
        </w:tc>
        <w:tc>
          <w:tcPr>
            <w:tcW w:w="1080" w:type="dxa"/>
            <w:noWrap w:val="0"/>
            <w:vAlign w:val="center"/>
          </w:tcPr>
          <w:p w14:paraId="6F1720DC">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65B6D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1C6848B3">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snapToGrid w:val="0"/>
                <w:color w:val="auto"/>
                <w:kern w:val="21"/>
                <w:sz w:val="21"/>
                <w:szCs w:val="21"/>
                <w:highlight w:val="none"/>
                <w:lang w:eastAsia="zh-CN"/>
              </w:rPr>
              <w:t>一般固废</w:t>
            </w:r>
          </w:p>
        </w:tc>
        <w:tc>
          <w:tcPr>
            <w:tcW w:w="1935" w:type="dxa"/>
            <w:noWrap w:val="0"/>
            <w:vAlign w:val="center"/>
          </w:tcPr>
          <w:p w14:paraId="0E61F72D">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废铁金属</w:t>
            </w:r>
          </w:p>
        </w:tc>
        <w:tc>
          <w:tcPr>
            <w:tcW w:w="1592" w:type="dxa"/>
            <w:noWrap w:val="0"/>
            <w:vAlign w:val="center"/>
          </w:tcPr>
          <w:p w14:paraId="1AF3268B">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194DB171">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739CA219">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31ABE5D7">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25.785t/a</w:t>
            </w:r>
          </w:p>
        </w:tc>
        <w:tc>
          <w:tcPr>
            <w:tcW w:w="1615" w:type="dxa"/>
            <w:noWrap w:val="0"/>
            <w:vAlign w:val="center"/>
          </w:tcPr>
          <w:p w14:paraId="45B1D44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547688BF">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25.785t/a</w:t>
            </w:r>
          </w:p>
        </w:tc>
        <w:tc>
          <w:tcPr>
            <w:tcW w:w="1080" w:type="dxa"/>
            <w:noWrap w:val="0"/>
            <w:vAlign w:val="center"/>
          </w:tcPr>
          <w:p w14:paraId="2DF8993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38F8B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2CA94E8F">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34E7ED0A">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除尘灰</w:t>
            </w:r>
          </w:p>
        </w:tc>
        <w:tc>
          <w:tcPr>
            <w:tcW w:w="1592" w:type="dxa"/>
            <w:noWrap w:val="0"/>
            <w:vAlign w:val="center"/>
          </w:tcPr>
          <w:p w14:paraId="34F15627">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18F38207">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775E988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3ADDAB6C">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44.084</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15" w:type="dxa"/>
            <w:noWrap w:val="0"/>
            <w:vAlign w:val="center"/>
          </w:tcPr>
          <w:p w14:paraId="216FCD86">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68AFD4C1">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44.084</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080" w:type="dxa"/>
            <w:noWrap w:val="0"/>
            <w:vAlign w:val="center"/>
          </w:tcPr>
          <w:p w14:paraId="55EF711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2C3A8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3BF67716">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0CABF064">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车间沉降粉尘</w:t>
            </w:r>
          </w:p>
        </w:tc>
        <w:tc>
          <w:tcPr>
            <w:tcW w:w="1592" w:type="dxa"/>
            <w:noWrap w:val="0"/>
            <w:vAlign w:val="center"/>
          </w:tcPr>
          <w:p w14:paraId="1F58AD6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5ABD8019">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5A219D63">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07A804E9">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17.812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15" w:type="dxa"/>
            <w:noWrap w:val="0"/>
            <w:vAlign w:val="center"/>
          </w:tcPr>
          <w:p w14:paraId="71E149C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64647EB1">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17.812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080" w:type="dxa"/>
            <w:noWrap w:val="0"/>
            <w:vAlign w:val="center"/>
          </w:tcPr>
          <w:p w14:paraId="23FFB800">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29FB8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122733C6">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1A48527A">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废旧布袋</w:t>
            </w:r>
          </w:p>
        </w:tc>
        <w:tc>
          <w:tcPr>
            <w:tcW w:w="1592" w:type="dxa"/>
            <w:noWrap w:val="0"/>
            <w:vAlign w:val="center"/>
          </w:tcPr>
          <w:p w14:paraId="76B5854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0248C8B0">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060A1C5A">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5FB0BB33">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0.065t/a</w:t>
            </w:r>
          </w:p>
        </w:tc>
        <w:tc>
          <w:tcPr>
            <w:tcW w:w="1615" w:type="dxa"/>
            <w:noWrap w:val="0"/>
            <w:vAlign w:val="center"/>
          </w:tcPr>
          <w:p w14:paraId="332B30C8">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553F43FB">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0.065t/a</w:t>
            </w:r>
          </w:p>
        </w:tc>
        <w:tc>
          <w:tcPr>
            <w:tcW w:w="1080" w:type="dxa"/>
            <w:noWrap w:val="0"/>
            <w:vAlign w:val="center"/>
          </w:tcPr>
          <w:p w14:paraId="408B4C37">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eastAsia="宋体" w:cs="Times New Roman"/>
                <w:snapToGrid w:val="0"/>
                <w:color w:val="auto"/>
                <w:kern w:val="21"/>
                <w:sz w:val="21"/>
                <w:szCs w:val="21"/>
                <w:highlight w:val="none"/>
                <w:lang w:val="en-US" w:eastAsia="zh-CN"/>
              </w:rPr>
              <w:t>/</w:t>
            </w:r>
          </w:p>
        </w:tc>
      </w:tr>
      <w:tr w14:paraId="66A7A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3CCB5642">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危险废物</w:t>
            </w:r>
          </w:p>
        </w:tc>
        <w:tc>
          <w:tcPr>
            <w:tcW w:w="1935" w:type="dxa"/>
            <w:noWrap w:val="0"/>
            <w:vAlign w:val="center"/>
          </w:tcPr>
          <w:p w14:paraId="42E0A7A8">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废</w:t>
            </w:r>
            <w:r>
              <w:rPr>
                <w:rFonts w:hint="default" w:ascii="Times New Roman" w:hAnsi="Times New Roman" w:eastAsia="宋体" w:cs="Times New Roman"/>
                <w:color w:val="auto"/>
                <w:kern w:val="0"/>
                <w:sz w:val="21"/>
                <w:szCs w:val="21"/>
                <w:highlight w:val="none"/>
                <w:lang w:eastAsia="zh-CN"/>
              </w:rPr>
              <w:t>润滑油</w:t>
            </w:r>
          </w:p>
        </w:tc>
        <w:tc>
          <w:tcPr>
            <w:tcW w:w="1592" w:type="dxa"/>
            <w:noWrap w:val="0"/>
            <w:vAlign w:val="center"/>
          </w:tcPr>
          <w:p w14:paraId="50A30AE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64F99344">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378E89F5">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7BB3AF1F">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0.048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15" w:type="dxa"/>
            <w:noWrap w:val="0"/>
            <w:vAlign w:val="center"/>
          </w:tcPr>
          <w:p w14:paraId="7F40EECF">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710B9666">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0.048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080" w:type="dxa"/>
            <w:noWrap w:val="0"/>
            <w:vAlign w:val="center"/>
          </w:tcPr>
          <w:p w14:paraId="5528F0A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57E73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8B6AC8B">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4E539C1E">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废油桶</w:t>
            </w:r>
          </w:p>
        </w:tc>
        <w:tc>
          <w:tcPr>
            <w:tcW w:w="1592" w:type="dxa"/>
            <w:noWrap w:val="0"/>
            <w:vAlign w:val="center"/>
          </w:tcPr>
          <w:p w14:paraId="04E2EA3C">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016D2B8E">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1214DE92">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0A4ACB6A">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0.02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15" w:type="dxa"/>
            <w:noWrap w:val="0"/>
            <w:vAlign w:val="center"/>
          </w:tcPr>
          <w:p w14:paraId="53408C16">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3930A221">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0.02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080" w:type="dxa"/>
            <w:noWrap w:val="0"/>
            <w:vAlign w:val="center"/>
          </w:tcPr>
          <w:p w14:paraId="1248D39C">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r w14:paraId="10B9E5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238E4552">
            <w:pPr>
              <w:pStyle w:val="46"/>
              <w:spacing w:beforeLines="0" w:afterLines="0" w:line="240" w:lineRule="auto"/>
              <w:jc w:val="center"/>
              <w:rPr>
                <w:rFonts w:hint="default" w:ascii="Times New Roman" w:hAnsi="Times New Roman" w:eastAsia="宋体" w:cs="Times New Roman"/>
                <w:snapToGrid w:val="0"/>
                <w:color w:val="auto"/>
                <w:kern w:val="21"/>
                <w:sz w:val="21"/>
                <w:szCs w:val="21"/>
                <w:highlight w:val="none"/>
              </w:rPr>
            </w:pPr>
          </w:p>
        </w:tc>
        <w:tc>
          <w:tcPr>
            <w:tcW w:w="1935" w:type="dxa"/>
            <w:noWrap w:val="0"/>
            <w:vAlign w:val="center"/>
          </w:tcPr>
          <w:p w14:paraId="1DBA3BAC">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含油抹布及手套</w:t>
            </w:r>
          </w:p>
        </w:tc>
        <w:tc>
          <w:tcPr>
            <w:tcW w:w="1592" w:type="dxa"/>
            <w:noWrap w:val="0"/>
            <w:vAlign w:val="center"/>
          </w:tcPr>
          <w:p w14:paraId="7E70EE92">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263" w:type="dxa"/>
            <w:noWrap w:val="0"/>
            <w:vAlign w:val="center"/>
          </w:tcPr>
          <w:p w14:paraId="3F4110C6">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570" w:type="dxa"/>
            <w:noWrap w:val="0"/>
            <w:vAlign w:val="center"/>
          </w:tcPr>
          <w:p w14:paraId="4CEB6EAC">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650" w:type="dxa"/>
            <w:noWrap w:val="0"/>
            <w:vAlign w:val="center"/>
          </w:tcPr>
          <w:p w14:paraId="3BA01BA9">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0.01</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15" w:type="dxa"/>
            <w:noWrap w:val="0"/>
            <w:vAlign w:val="center"/>
          </w:tcPr>
          <w:p w14:paraId="496E5644">
            <w:pPr>
              <w:spacing w:beforeLines="0" w:afterLines="0" w:line="240" w:lineRule="auto"/>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rPr>
              <w:t>/</w:t>
            </w:r>
          </w:p>
        </w:tc>
        <w:tc>
          <w:tcPr>
            <w:tcW w:w="1817" w:type="dxa"/>
            <w:noWrap w:val="0"/>
            <w:vAlign w:val="center"/>
          </w:tcPr>
          <w:p w14:paraId="24660EA8">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0.01</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080" w:type="dxa"/>
            <w:noWrap w:val="0"/>
            <w:vAlign w:val="center"/>
          </w:tcPr>
          <w:p w14:paraId="49548BD7">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rPr>
              <w:t>/</w:t>
            </w:r>
          </w:p>
        </w:tc>
      </w:tr>
    </w:tbl>
    <w:p w14:paraId="15D5CB2B">
      <w:pPr>
        <w:pStyle w:val="46"/>
        <w:spacing w:before="192" w:beforeLines="80" w:after="24" w:line="240" w:lineRule="auto"/>
        <w:jc w:val="left"/>
        <w:rPr>
          <w:rFonts w:hint="default" w:ascii="Times New Roman" w:hAnsi="Times New Roman" w:cs="Times New Roman"/>
          <w:snapToGrid w:val="0"/>
          <w:color w:val="auto"/>
          <w:spacing w:val="-6"/>
          <w:kern w:val="21"/>
          <w:szCs w:val="21"/>
          <w:highlight w:val="none"/>
        </w:rPr>
      </w:pPr>
      <w:r>
        <w:rPr>
          <w:rFonts w:hint="default" w:ascii="Times New Roman" w:hAnsi="Times New Roman" w:cs="Times New Roman"/>
          <w:snapToGrid w:val="0"/>
          <w:color w:val="auto"/>
          <w:kern w:val="21"/>
          <w:szCs w:val="21"/>
          <w:highlight w:val="none"/>
        </w:rPr>
        <w:t>注：</w:t>
      </w:r>
      <w:r>
        <w:rPr>
          <w:rFonts w:hint="default" w:ascii="Times New Roman" w:hAnsi="Times New Roman" w:cs="Times New Roman"/>
          <w:snapToGrid w:val="0"/>
          <w:color w:val="auto"/>
          <w:spacing w:val="-16"/>
          <w:kern w:val="21"/>
          <w:szCs w:val="21"/>
          <w:highlight w:val="none"/>
        </w:rPr>
        <w:fldChar w:fldCharType="begin"/>
      </w:r>
      <w:r>
        <w:rPr>
          <w:rFonts w:hint="default" w:ascii="Times New Roman" w:hAnsi="Times New Roman" w:cs="Times New Roman"/>
          <w:snapToGrid w:val="0"/>
          <w:color w:val="auto"/>
          <w:spacing w:val="-16"/>
          <w:kern w:val="21"/>
          <w:szCs w:val="21"/>
          <w:highlight w:val="none"/>
        </w:rPr>
        <w:instrText xml:space="preserve"> = 6 \* GB3 \* MERGEFORMAT </w:instrText>
      </w:r>
      <w:r>
        <w:rPr>
          <w:rFonts w:hint="default" w:ascii="Times New Roman" w:hAnsi="Times New Roman" w:cs="Times New Roman"/>
          <w:snapToGrid w:val="0"/>
          <w:color w:val="auto"/>
          <w:spacing w:val="-16"/>
          <w:kern w:val="21"/>
          <w:szCs w:val="21"/>
          <w:highlight w:val="none"/>
        </w:rPr>
        <w:fldChar w:fldCharType="separate"/>
      </w:r>
      <w:r>
        <w:rPr>
          <w:rFonts w:hint="default" w:ascii="Times New Roman" w:hAnsi="Times New Roman" w:cs="Times New Roman"/>
          <w:color w:val="auto"/>
          <w:szCs w:val="21"/>
          <w:highlight w:val="none"/>
        </w:rPr>
        <w:t>⑥</w:t>
      </w:r>
      <w:r>
        <w:rPr>
          <w:rFonts w:hint="default" w:ascii="Times New Roman" w:hAnsi="Times New Roman" w:cs="Times New Roman"/>
          <w:snapToGrid w:val="0"/>
          <w:color w:val="auto"/>
          <w:spacing w:val="-16"/>
          <w:kern w:val="21"/>
          <w:szCs w:val="21"/>
          <w:highlight w:val="none"/>
        </w:rPr>
        <w:fldChar w:fldCharType="end"/>
      </w:r>
      <w:r>
        <w:rPr>
          <w:rFonts w:hint="default" w:ascii="Times New Roman" w:hAnsi="Times New Roman" w:cs="Times New Roman"/>
          <w:snapToGrid w:val="0"/>
          <w:color w:val="auto"/>
          <w:spacing w:val="-1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1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①</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3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③</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4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④</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16"/>
          <w:kern w:val="21"/>
          <w:szCs w:val="21"/>
          <w:highlight w:val="none"/>
        </w:rPr>
        <w:fldChar w:fldCharType="begin"/>
      </w:r>
      <w:r>
        <w:rPr>
          <w:rFonts w:hint="default" w:ascii="Times New Roman" w:hAnsi="Times New Roman" w:cs="Times New Roman"/>
          <w:snapToGrid w:val="0"/>
          <w:color w:val="auto"/>
          <w:spacing w:val="-16"/>
          <w:kern w:val="21"/>
          <w:szCs w:val="21"/>
          <w:highlight w:val="none"/>
        </w:rPr>
        <w:instrText xml:space="preserve"> = 5 \* GB3 \* MERGEFORMAT </w:instrText>
      </w:r>
      <w:r>
        <w:rPr>
          <w:rFonts w:hint="default" w:ascii="Times New Roman" w:hAnsi="Times New Roman" w:cs="Times New Roman"/>
          <w:snapToGrid w:val="0"/>
          <w:color w:val="auto"/>
          <w:spacing w:val="-16"/>
          <w:kern w:val="21"/>
          <w:szCs w:val="21"/>
          <w:highlight w:val="none"/>
        </w:rPr>
        <w:fldChar w:fldCharType="separate"/>
      </w:r>
      <w:r>
        <w:rPr>
          <w:rFonts w:hint="default" w:ascii="Times New Roman" w:hAnsi="Times New Roman" w:cs="Times New Roman"/>
          <w:color w:val="auto"/>
          <w:szCs w:val="21"/>
          <w:highlight w:val="none"/>
        </w:rPr>
        <w:t>⑤</w:t>
      </w:r>
      <w:r>
        <w:rPr>
          <w:rFonts w:hint="default" w:ascii="Times New Roman" w:hAnsi="Times New Roman" w:cs="Times New Roman"/>
          <w:snapToGrid w:val="0"/>
          <w:color w:val="auto"/>
          <w:spacing w:val="-16"/>
          <w:kern w:val="21"/>
          <w:szCs w:val="21"/>
          <w:highlight w:val="none"/>
        </w:rPr>
        <w:fldChar w:fldCharType="end"/>
      </w:r>
      <w:r>
        <w:rPr>
          <w:rFonts w:hint="default" w:ascii="Times New Roman" w:hAnsi="Times New Roman" w:cs="Times New Roman"/>
          <w:snapToGrid w:val="0"/>
          <w:color w:val="auto"/>
          <w:spacing w:val="-1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7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⑦</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16"/>
          <w:kern w:val="21"/>
          <w:szCs w:val="21"/>
          <w:highlight w:val="none"/>
        </w:rPr>
        <w:fldChar w:fldCharType="begin"/>
      </w:r>
      <w:r>
        <w:rPr>
          <w:rFonts w:hint="default" w:ascii="Times New Roman" w:hAnsi="Times New Roman" w:cs="Times New Roman"/>
          <w:snapToGrid w:val="0"/>
          <w:color w:val="auto"/>
          <w:spacing w:val="-16"/>
          <w:kern w:val="21"/>
          <w:szCs w:val="21"/>
          <w:highlight w:val="none"/>
        </w:rPr>
        <w:instrText xml:space="preserve"> = 6 \* GB3 \* MERGEFORMAT </w:instrText>
      </w:r>
      <w:r>
        <w:rPr>
          <w:rFonts w:hint="default" w:ascii="Times New Roman" w:hAnsi="Times New Roman" w:cs="Times New Roman"/>
          <w:snapToGrid w:val="0"/>
          <w:color w:val="auto"/>
          <w:spacing w:val="-16"/>
          <w:kern w:val="21"/>
          <w:szCs w:val="21"/>
          <w:highlight w:val="none"/>
        </w:rPr>
        <w:fldChar w:fldCharType="separate"/>
      </w:r>
      <w:r>
        <w:rPr>
          <w:rFonts w:hint="default" w:ascii="Times New Roman" w:hAnsi="Times New Roman" w:cs="Times New Roman"/>
          <w:color w:val="auto"/>
          <w:szCs w:val="21"/>
          <w:highlight w:val="none"/>
        </w:rPr>
        <w:t>⑥</w:t>
      </w:r>
      <w:r>
        <w:rPr>
          <w:rFonts w:hint="default" w:ascii="Times New Roman" w:hAnsi="Times New Roman" w:cs="Times New Roman"/>
          <w:snapToGrid w:val="0"/>
          <w:color w:val="auto"/>
          <w:spacing w:val="-16"/>
          <w:kern w:val="21"/>
          <w:szCs w:val="21"/>
          <w:highlight w:val="none"/>
        </w:rPr>
        <w:fldChar w:fldCharType="end"/>
      </w:r>
      <w:r>
        <w:rPr>
          <w:rFonts w:hint="default" w:ascii="Times New Roman" w:hAnsi="Times New Roman" w:cs="Times New Roman"/>
          <w:snapToGrid w:val="0"/>
          <w:color w:val="auto"/>
          <w:spacing w:val="-1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1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①</w:t>
      </w:r>
      <w:r>
        <w:rPr>
          <w:rFonts w:hint="default" w:ascii="Times New Roman" w:hAnsi="Times New Roman" w:cs="Times New Roman"/>
          <w:snapToGrid w:val="0"/>
          <w:color w:val="auto"/>
          <w:spacing w:val="-6"/>
          <w:kern w:val="21"/>
          <w:szCs w:val="21"/>
          <w:highlight w:val="none"/>
        </w:rPr>
        <w:fldChar w:fldCharType="end"/>
      </w:r>
    </w:p>
    <w:sectPr>
      <w:footerReference r:id="rId8" w:type="default"/>
      <w:pgSz w:w="16838" w:h="11906" w:orient="landscape"/>
      <w:pgMar w:top="1531" w:right="1701" w:bottom="1531" w:left="1701"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Kingsoft UE">
    <w:altName w:val="XcGJSymbol"/>
    <w:panose1 w:val="00000000000000000000"/>
    <w:charset w:val="00"/>
    <w:family w:val="auto"/>
    <w:pitch w:val="default"/>
    <w:sig w:usb0="00000000" w:usb1="00000000" w:usb2="00000000" w:usb3="00000000" w:csb0="00000000" w:csb1="00000000"/>
  </w:font>
  <w:font w:name="XcGJSymbol">
    <w:panose1 w:val="020005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ED2B7">
    <w:pPr>
      <w:pStyle w:val="1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02DB9">
    <w:pPr>
      <w:pStyle w:val="15"/>
      <w:framePr w:wrap="around" w:vAnchor="text" w:hAnchor="margin" w:xAlign="center" w:y="1"/>
      <w:rPr>
        <w:rStyle w:val="29"/>
      </w:rPr>
    </w:pPr>
    <w:r>
      <w:fldChar w:fldCharType="begin"/>
    </w:r>
    <w:r>
      <w:rPr>
        <w:rStyle w:val="29"/>
      </w:rPr>
      <w:instrText xml:space="preserve">PAGE  </w:instrText>
    </w:r>
    <w:r>
      <w:fldChar w:fldCharType="end"/>
    </w:r>
  </w:p>
  <w:p w14:paraId="4ED6863B">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2F8C0">
    <w:pPr>
      <w:pStyle w:val="15"/>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2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1AFABD">
                          <w:pPr>
                            <w:pStyle w:val="15"/>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05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jMTzyuIBAADCAwAADgAA&#10;AAAAAAABACAAAAAeAQAAZHJzL2Uyb0RvYy54bWxQSwUGAAAAAAYABgBZAQAAcgUAAAAA&#10;">
              <v:fill on="f" focussize="0,0"/>
              <v:stroke on="f"/>
              <v:imagedata o:title=""/>
              <o:lock v:ext="edit" aspectratio="f"/>
              <v:textbox inset="0mm,0mm,0mm,0mm" style="mso-fit-shape-to-text:t;">
                <w:txbxContent>
                  <w:p w14:paraId="5D1AFABD">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1F214">
    <w:pPr>
      <w:pStyle w:val="15"/>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20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1BCC09">
                          <w:pPr>
                            <w:pStyle w:val="15"/>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205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J5w9kuIBAADCAwAADgAA&#10;AAAAAAABACAAAAAeAQAAZHJzL2Uyb0RvYy54bWxQSwUGAAAAAAYABgBZAQAAcgUAAAAA&#10;">
              <v:fill on="f" focussize="0,0"/>
              <v:stroke on="f"/>
              <v:imagedata o:title=""/>
              <o:lock v:ext="edit" aspectratio="f"/>
              <v:textbox inset="0mm,0mm,0mm,0mm" style="mso-fit-shape-to-text:t;">
                <w:txbxContent>
                  <w:p w14:paraId="0B1BCC09">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CA66">
    <w:pPr>
      <w:pStyle w:val="15"/>
      <w:ind w:right="360"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20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461A89">
                          <w:pPr>
                            <w:pStyle w:val="15"/>
                          </w:pPr>
                          <w:r>
                            <w:fldChar w:fldCharType="begin"/>
                          </w:r>
                          <w:r>
                            <w:instrText xml:space="preserve"> PAGE  \* MERGEFORMAT </w:instrText>
                          </w:r>
                          <w:r>
                            <w:fldChar w:fldCharType="separate"/>
                          </w:r>
                          <w:r>
                            <w:t>8</w:t>
                          </w:r>
                          <w:r>
                            <w:fldChar w:fldCharType="end"/>
                          </w:r>
                        </w:p>
                      </w:txbxContent>
                    </wps:txbx>
                    <wps:bodyPr vert="horz" wrap="none" lIns="0" tIns="0" rIns="0" bIns="0" anchor="t" anchorCtr="0" upright="0">
                      <a:spAutoFit/>
                    </wps:bodyPr>
                  </wps:wsp>
                </a:graphicData>
              </a:graphic>
            </wp:anchor>
          </w:drawing>
        </mc:Choice>
        <mc:Fallback>
          <w:pict>
            <v:shape id="文本框 205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3YJ2fOIBAADCAwAADgAA&#10;AAAAAAABACAAAAAeAQAAZHJzL2Uyb0RvYy54bWxQSwUGAAAAAAYABgBZAQAAcgUAAAAA&#10;">
              <v:fill on="f" focussize="0,0"/>
              <v:stroke on="f"/>
              <v:imagedata o:title=""/>
              <o:lock v:ext="edit" aspectratio="f"/>
              <v:textbox inset="0mm,0mm,0mm,0mm" style="mso-fit-shape-to-text:t;">
                <w:txbxContent>
                  <w:p w14:paraId="21461A89">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AB0EE">
    <w:pPr>
      <w:pStyle w:val="16"/>
      <w:pBdr>
        <w:bottom w:val="none" w:color="auto" w:sz="0" w:space="1"/>
      </w:pBdr>
      <w:tabs>
        <w:tab w:val="left" w:pos="3549"/>
      </w:tabs>
      <w:jc w:val="left"/>
      <w:rPr>
        <w:rFonts w:hint="eastAsia"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3D79F"/>
    <w:multiLevelType w:val="singleLevel"/>
    <w:tmpl w:val="85F3D79F"/>
    <w:lvl w:ilvl="0" w:tentative="0">
      <w:start w:val="1"/>
      <w:numFmt w:val="decimal"/>
      <w:suff w:val="nothing"/>
      <w:lvlText w:val="%1、"/>
      <w:lvlJc w:val="left"/>
      <w:rPr>
        <w:rFonts w:hint="default"/>
        <w:b/>
        <w:bCs/>
        <w:sz w:val="24"/>
        <w:szCs w:val="24"/>
      </w:rPr>
    </w:lvl>
  </w:abstractNum>
  <w:abstractNum w:abstractNumId="1">
    <w:nsid w:val="8D8C0BAE"/>
    <w:multiLevelType w:val="singleLevel"/>
    <w:tmpl w:val="8D8C0BAE"/>
    <w:lvl w:ilvl="0" w:tentative="0">
      <w:start w:val="1"/>
      <w:numFmt w:val="decimal"/>
      <w:suff w:val="nothing"/>
      <w:lvlText w:val="（%1）"/>
      <w:lvlJc w:val="left"/>
    </w:lvl>
  </w:abstractNum>
  <w:abstractNum w:abstractNumId="2">
    <w:nsid w:val="8F781073"/>
    <w:multiLevelType w:val="singleLevel"/>
    <w:tmpl w:val="8F781073"/>
    <w:lvl w:ilvl="0" w:tentative="0">
      <w:start w:val="1"/>
      <w:numFmt w:val="decimal"/>
      <w:suff w:val="nothing"/>
      <w:lvlText w:val="%1、"/>
      <w:lvlJc w:val="left"/>
    </w:lvl>
  </w:abstractNum>
  <w:abstractNum w:abstractNumId="3">
    <w:nsid w:val="E856A5CA"/>
    <w:multiLevelType w:val="singleLevel"/>
    <w:tmpl w:val="E856A5CA"/>
    <w:lvl w:ilvl="0" w:tentative="0">
      <w:start w:val="1"/>
      <w:numFmt w:val="decimal"/>
      <w:suff w:val="nothing"/>
      <w:lvlText w:val="%1、"/>
      <w:lvlJc w:val="left"/>
    </w:lvl>
  </w:abstractNum>
  <w:abstractNum w:abstractNumId="4">
    <w:nsid w:val="ED6DC219"/>
    <w:multiLevelType w:val="singleLevel"/>
    <w:tmpl w:val="ED6DC219"/>
    <w:lvl w:ilvl="0" w:tentative="0">
      <w:start w:val="2"/>
      <w:numFmt w:val="decimal"/>
      <w:suff w:val="nothing"/>
      <w:lvlText w:val="（%1）"/>
      <w:lvlJc w:val="left"/>
    </w:lvl>
  </w:abstractNum>
  <w:abstractNum w:abstractNumId="5">
    <w:nsid w:val="079C2FEF"/>
    <w:multiLevelType w:val="singleLevel"/>
    <w:tmpl w:val="079C2FEF"/>
    <w:lvl w:ilvl="0" w:tentative="0">
      <w:start w:val="1"/>
      <w:numFmt w:val="decimal"/>
      <w:suff w:val="nothing"/>
      <w:lvlText w:val="%1、"/>
      <w:lvlJc w:val="left"/>
      <w:rPr>
        <w:rFonts w:hint="default"/>
        <w:b/>
        <w:bCs/>
      </w:rPr>
    </w:lvl>
  </w:abstractNum>
  <w:abstractNum w:abstractNumId="6">
    <w:nsid w:val="1BFCABBA"/>
    <w:multiLevelType w:val="singleLevel"/>
    <w:tmpl w:val="1BFCABBA"/>
    <w:lvl w:ilvl="0" w:tentative="0">
      <w:start w:val="8"/>
      <w:numFmt w:val="decimal"/>
      <w:suff w:val="nothing"/>
      <w:lvlText w:val="%1、"/>
      <w:lvlJc w:val="left"/>
    </w:lvl>
  </w:abstractNum>
  <w:abstractNum w:abstractNumId="7">
    <w:nsid w:val="23DD8F79"/>
    <w:multiLevelType w:val="multilevel"/>
    <w:tmpl w:val="23DD8F79"/>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8">
    <w:nsid w:val="4D8EBE30"/>
    <w:multiLevelType w:val="singleLevel"/>
    <w:tmpl w:val="4D8EBE30"/>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9">
    <w:nsid w:val="5F7F262A"/>
    <w:multiLevelType w:val="singleLevel"/>
    <w:tmpl w:val="5F7F262A"/>
    <w:lvl w:ilvl="0" w:tentative="0">
      <w:start w:val="1"/>
      <w:numFmt w:val="decimal"/>
      <w:suff w:val="nothing"/>
      <w:lvlText w:val="%1、"/>
      <w:lvlJc w:val="left"/>
      <w:rPr>
        <w:rFonts w:hint="default"/>
        <w:b/>
        <w:bCs/>
      </w:rPr>
    </w:lvl>
  </w:abstractNum>
  <w:abstractNum w:abstractNumId="10">
    <w:nsid w:val="699CE215"/>
    <w:multiLevelType w:val="singleLevel"/>
    <w:tmpl w:val="699CE215"/>
    <w:lvl w:ilvl="0" w:tentative="0">
      <w:start w:val="2"/>
      <w:numFmt w:val="chineseCounting"/>
      <w:suff w:val="nothing"/>
      <w:lvlText w:val="%1、"/>
      <w:lvlJc w:val="left"/>
      <w:rPr>
        <w:rFonts w:hint="eastAsia"/>
      </w:rPr>
    </w:lvl>
  </w:abstractNum>
  <w:num w:numId="1">
    <w:abstractNumId w:val="8"/>
  </w:num>
  <w:num w:numId="2">
    <w:abstractNumId w:val="4"/>
  </w:num>
  <w:num w:numId="3">
    <w:abstractNumId w:val="10"/>
  </w:num>
  <w:num w:numId="4">
    <w:abstractNumId w:val="0"/>
  </w:num>
  <w:num w:numId="5">
    <w:abstractNumId w:val="2"/>
  </w:num>
  <w:num w:numId="6">
    <w:abstractNumId w:val="3"/>
  </w:num>
  <w:num w:numId="7">
    <w:abstractNumId w:val="9"/>
  </w:num>
  <w:num w:numId="8">
    <w:abstractNumId w:val="5"/>
  </w:num>
  <w:num w:numId="9">
    <w:abstractNumId w:val="7"/>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60B3"/>
    <w:rsid w:val="0004364B"/>
    <w:rsid w:val="00060C6A"/>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5D9"/>
    <w:rsid w:val="00131F42"/>
    <w:rsid w:val="001357F1"/>
    <w:rsid w:val="00140FA8"/>
    <w:rsid w:val="00142FEB"/>
    <w:rsid w:val="00143A2D"/>
    <w:rsid w:val="00145A41"/>
    <w:rsid w:val="00150EAD"/>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6923"/>
    <w:rsid w:val="002B7B00"/>
    <w:rsid w:val="002B7C44"/>
    <w:rsid w:val="002C2B17"/>
    <w:rsid w:val="002C61F7"/>
    <w:rsid w:val="002D3DD0"/>
    <w:rsid w:val="002E1F3A"/>
    <w:rsid w:val="002E298A"/>
    <w:rsid w:val="002F5030"/>
    <w:rsid w:val="00301978"/>
    <w:rsid w:val="0030332C"/>
    <w:rsid w:val="003051C2"/>
    <w:rsid w:val="00312296"/>
    <w:rsid w:val="00314F0E"/>
    <w:rsid w:val="00321D8E"/>
    <w:rsid w:val="00325928"/>
    <w:rsid w:val="00332863"/>
    <w:rsid w:val="0033684D"/>
    <w:rsid w:val="00337B42"/>
    <w:rsid w:val="00341B42"/>
    <w:rsid w:val="0034348F"/>
    <w:rsid w:val="00351550"/>
    <w:rsid w:val="00356653"/>
    <w:rsid w:val="0035743F"/>
    <w:rsid w:val="00357BE2"/>
    <w:rsid w:val="0036170C"/>
    <w:rsid w:val="00366E0F"/>
    <w:rsid w:val="00381A72"/>
    <w:rsid w:val="00384676"/>
    <w:rsid w:val="00390857"/>
    <w:rsid w:val="003A4BF3"/>
    <w:rsid w:val="003A4DB8"/>
    <w:rsid w:val="003B420D"/>
    <w:rsid w:val="003C6C16"/>
    <w:rsid w:val="003D794D"/>
    <w:rsid w:val="003E3058"/>
    <w:rsid w:val="003E76A9"/>
    <w:rsid w:val="003F0809"/>
    <w:rsid w:val="003F6A8C"/>
    <w:rsid w:val="003F755C"/>
    <w:rsid w:val="00406F01"/>
    <w:rsid w:val="00416D50"/>
    <w:rsid w:val="00416FD5"/>
    <w:rsid w:val="00417772"/>
    <w:rsid w:val="00420E6A"/>
    <w:rsid w:val="00425A1B"/>
    <w:rsid w:val="00425A9E"/>
    <w:rsid w:val="00426D6B"/>
    <w:rsid w:val="00431E6C"/>
    <w:rsid w:val="00433CE7"/>
    <w:rsid w:val="004479E5"/>
    <w:rsid w:val="00452738"/>
    <w:rsid w:val="00456091"/>
    <w:rsid w:val="00466321"/>
    <w:rsid w:val="00484B9B"/>
    <w:rsid w:val="004855F6"/>
    <w:rsid w:val="0048661E"/>
    <w:rsid w:val="00494670"/>
    <w:rsid w:val="00494FFB"/>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4D2E"/>
    <w:rsid w:val="005C6ADC"/>
    <w:rsid w:val="005D36AB"/>
    <w:rsid w:val="006140F3"/>
    <w:rsid w:val="00617CC3"/>
    <w:rsid w:val="006377A6"/>
    <w:rsid w:val="00637A3D"/>
    <w:rsid w:val="006411EF"/>
    <w:rsid w:val="00645991"/>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7F10F9"/>
    <w:rsid w:val="00801393"/>
    <w:rsid w:val="00802F88"/>
    <w:rsid w:val="0081293E"/>
    <w:rsid w:val="00815465"/>
    <w:rsid w:val="00817E9A"/>
    <w:rsid w:val="008306BD"/>
    <w:rsid w:val="00831A80"/>
    <w:rsid w:val="00833743"/>
    <w:rsid w:val="008340A4"/>
    <w:rsid w:val="008647D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36276"/>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337D"/>
    <w:rsid w:val="009C7DD5"/>
    <w:rsid w:val="009E227D"/>
    <w:rsid w:val="009E5019"/>
    <w:rsid w:val="009E70F5"/>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C757B"/>
    <w:rsid w:val="00BD1B51"/>
    <w:rsid w:val="00BD4596"/>
    <w:rsid w:val="00BE1405"/>
    <w:rsid w:val="00BE312D"/>
    <w:rsid w:val="00BF1C20"/>
    <w:rsid w:val="00BF706B"/>
    <w:rsid w:val="00C10578"/>
    <w:rsid w:val="00C135BC"/>
    <w:rsid w:val="00C15C95"/>
    <w:rsid w:val="00C2596A"/>
    <w:rsid w:val="00C27537"/>
    <w:rsid w:val="00C328FE"/>
    <w:rsid w:val="00C33507"/>
    <w:rsid w:val="00C34DAD"/>
    <w:rsid w:val="00C36B5B"/>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0D69"/>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0770D"/>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5BA2"/>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44493"/>
    <w:rsid w:val="01141165"/>
    <w:rsid w:val="01217B24"/>
    <w:rsid w:val="01227D26"/>
    <w:rsid w:val="012313A8"/>
    <w:rsid w:val="012375FA"/>
    <w:rsid w:val="01290F7E"/>
    <w:rsid w:val="015D1E09"/>
    <w:rsid w:val="016F283F"/>
    <w:rsid w:val="018F4C90"/>
    <w:rsid w:val="01AF5332"/>
    <w:rsid w:val="01B3097E"/>
    <w:rsid w:val="01CC5EE4"/>
    <w:rsid w:val="01DC07BC"/>
    <w:rsid w:val="01E61D55"/>
    <w:rsid w:val="01E74ACC"/>
    <w:rsid w:val="01FA3D45"/>
    <w:rsid w:val="01FA76F4"/>
    <w:rsid w:val="01FD42EF"/>
    <w:rsid w:val="020236B3"/>
    <w:rsid w:val="0213766F"/>
    <w:rsid w:val="02201D8C"/>
    <w:rsid w:val="02217FDE"/>
    <w:rsid w:val="02290C40"/>
    <w:rsid w:val="022E44A8"/>
    <w:rsid w:val="023575E5"/>
    <w:rsid w:val="023C4E17"/>
    <w:rsid w:val="02405F8A"/>
    <w:rsid w:val="024E4B4B"/>
    <w:rsid w:val="02535CBD"/>
    <w:rsid w:val="025A529E"/>
    <w:rsid w:val="025B2DC4"/>
    <w:rsid w:val="0261487E"/>
    <w:rsid w:val="026779BA"/>
    <w:rsid w:val="02697903"/>
    <w:rsid w:val="026E6F9B"/>
    <w:rsid w:val="02702D13"/>
    <w:rsid w:val="028916DF"/>
    <w:rsid w:val="028E3199"/>
    <w:rsid w:val="02987B74"/>
    <w:rsid w:val="02B726F0"/>
    <w:rsid w:val="02C60B85"/>
    <w:rsid w:val="02C941D1"/>
    <w:rsid w:val="02CB2AA3"/>
    <w:rsid w:val="02D212D8"/>
    <w:rsid w:val="02D768EE"/>
    <w:rsid w:val="02D84414"/>
    <w:rsid w:val="02D908B8"/>
    <w:rsid w:val="02E903CF"/>
    <w:rsid w:val="02F254D6"/>
    <w:rsid w:val="02F4124E"/>
    <w:rsid w:val="02F87B22"/>
    <w:rsid w:val="02F96569"/>
    <w:rsid w:val="02FC45A7"/>
    <w:rsid w:val="03084CFA"/>
    <w:rsid w:val="031B2C7F"/>
    <w:rsid w:val="03265180"/>
    <w:rsid w:val="032D29B2"/>
    <w:rsid w:val="03394EB3"/>
    <w:rsid w:val="034C72DC"/>
    <w:rsid w:val="03555A65"/>
    <w:rsid w:val="035E2B6B"/>
    <w:rsid w:val="0365214C"/>
    <w:rsid w:val="036A59B4"/>
    <w:rsid w:val="037E6D6A"/>
    <w:rsid w:val="038A1BB2"/>
    <w:rsid w:val="03AA5DB1"/>
    <w:rsid w:val="03C03826"/>
    <w:rsid w:val="03D251BA"/>
    <w:rsid w:val="03D96696"/>
    <w:rsid w:val="03E72B61"/>
    <w:rsid w:val="03E94B2B"/>
    <w:rsid w:val="03EA7B21"/>
    <w:rsid w:val="03EF5EB9"/>
    <w:rsid w:val="03F961EA"/>
    <w:rsid w:val="040C25C7"/>
    <w:rsid w:val="04247911"/>
    <w:rsid w:val="0437249E"/>
    <w:rsid w:val="043B4C5B"/>
    <w:rsid w:val="044A30F0"/>
    <w:rsid w:val="04531FA4"/>
    <w:rsid w:val="045521C0"/>
    <w:rsid w:val="047658A2"/>
    <w:rsid w:val="047D5273"/>
    <w:rsid w:val="04854128"/>
    <w:rsid w:val="048B3E34"/>
    <w:rsid w:val="048B7990"/>
    <w:rsid w:val="048C3708"/>
    <w:rsid w:val="0495080F"/>
    <w:rsid w:val="04A10F62"/>
    <w:rsid w:val="04BC223F"/>
    <w:rsid w:val="04BE5FB8"/>
    <w:rsid w:val="04C335CE"/>
    <w:rsid w:val="04D51156"/>
    <w:rsid w:val="04DF7CDC"/>
    <w:rsid w:val="04F27A0F"/>
    <w:rsid w:val="04F512AE"/>
    <w:rsid w:val="05177476"/>
    <w:rsid w:val="051C4A8C"/>
    <w:rsid w:val="0526590B"/>
    <w:rsid w:val="0530678A"/>
    <w:rsid w:val="053242B0"/>
    <w:rsid w:val="053C512E"/>
    <w:rsid w:val="053C6EDC"/>
    <w:rsid w:val="05485881"/>
    <w:rsid w:val="054D10EA"/>
    <w:rsid w:val="05597A8E"/>
    <w:rsid w:val="056401E1"/>
    <w:rsid w:val="058A5E9A"/>
    <w:rsid w:val="058D7738"/>
    <w:rsid w:val="05900FD6"/>
    <w:rsid w:val="05922FA0"/>
    <w:rsid w:val="05A84572"/>
    <w:rsid w:val="05C70E9C"/>
    <w:rsid w:val="05E530D0"/>
    <w:rsid w:val="05F17CC7"/>
    <w:rsid w:val="05F23A3F"/>
    <w:rsid w:val="05F83EAE"/>
    <w:rsid w:val="05FE78D8"/>
    <w:rsid w:val="060F6EFE"/>
    <w:rsid w:val="06193AB2"/>
    <w:rsid w:val="061D0ABC"/>
    <w:rsid w:val="062067FE"/>
    <w:rsid w:val="06255BC2"/>
    <w:rsid w:val="06293905"/>
    <w:rsid w:val="062956B3"/>
    <w:rsid w:val="062A4F87"/>
    <w:rsid w:val="063B3638"/>
    <w:rsid w:val="063B7194"/>
    <w:rsid w:val="063E7D85"/>
    <w:rsid w:val="065A3ABE"/>
    <w:rsid w:val="065D35AE"/>
    <w:rsid w:val="06654211"/>
    <w:rsid w:val="069114AA"/>
    <w:rsid w:val="06936FD0"/>
    <w:rsid w:val="06A44D39"/>
    <w:rsid w:val="06AE5BB8"/>
    <w:rsid w:val="06B807E5"/>
    <w:rsid w:val="06BA455D"/>
    <w:rsid w:val="06DC7A0A"/>
    <w:rsid w:val="06E67100"/>
    <w:rsid w:val="06E8731C"/>
    <w:rsid w:val="071719AF"/>
    <w:rsid w:val="07267E44"/>
    <w:rsid w:val="07293586"/>
    <w:rsid w:val="07295285"/>
    <w:rsid w:val="073F2CB4"/>
    <w:rsid w:val="07416A2C"/>
    <w:rsid w:val="07423ABE"/>
    <w:rsid w:val="07442078"/>
    <w:rsid w:val="074A3B33"/>
    <w:rsid w:val="07636392"/>
    <w:rsid w:val="076369A2"/>
    <w:rsid w:val="076E3F95"/>
    <w:rsid w:val="07770C56"/>
    <w:rsid w:val="078132CC"/>
    <w:rsid w:val="07832BA1"/>
    <w:rsid w:val="078D7EC3"/>
    <w:rsid w:val="07911761"/>
    <w:rsid w:val="079A613C"/>
    <w:rsid w:val="079F3753"/>
    <w:rsid w:val="07B611C8"/>
    <w:rsid w:val="07C05BA3"/>
    <w:rsid w:val="07C84A57"/>
    <w:rsid w:val="07D7113E"/>
    <w:rsid w:val="07DE071F"/>
    <w:rsid w:val="07E16772"/>
    <w:rsid w:val="07E51AAD"/>
    <w:rsid w:val="07E55609"/>
    <w:rsid w:val="07ED0962"/>
    <w:rsid w:val="07FB4E2D"/>
    <w:rsid w:val="081952B3"/>
    <w:rsid w:val="082C4FE6"/>
    <w:rsid w:val="082D5D77"/>
    <w:rsid w:val="083420ED"/>
    <w:rsid w:val="08365E65"/>
    <w:rsid w:val="083B347B"/>
    <w:rsid w:val="08510EF1"/>
    <w:rsid w:val="08512C9F"/>
    <w:rsid w:val="08534C69"/>
    <w:rsid w:val="085D5AE7"/>
    <w:rsid w:val="086724C2"/>
    <w:rsid w:val="087150EF"/>
    <w:rsid w:val="08730E67"/>
    <w:rsid w:val="08793FA4"/>
    <w:rsid w:val="089A4646"/>
    <w:rsid w:val="08B33959"/>
    <w:rsid w:val="08BA0844"/>
    <w:rsid w:val="08C47915"/>
    <w:rsid w:val="08DA0EE6"/>
    <w:rsid w:val="08DF474E"/>
    <w:rsid w:val="08E9737B"/>
    <w:rsid w:val="08F0070A"/>
    <w:rsid w:val="08F024B8"/>
    <w:rsid w:val="08FC70AE"/>
    <w:rsid w:val="091A5848"/>
    <w:rsid w:val="092217DD"/>
    <w:rsid w:val="093305F6"/>
    <w:rsid w:val="093A7294"/>
    <w:rsid w:val="093B4BC3"/>
    <w:rsid w:val="09412D13"/>
    <w:rsid w:val="094620D8"/>
    <w:rsid w:val="0969226A"/>
    <w:rsid w:val="09AA4D5C"/>
    <w:rsid w:val="09BA2AC6"/>
    <w:rsid w:val="09BE314E"/>
    <w:rsid w:val="09C63218"/>
    <w:rsid w:val="09CC2353"/>
    <w:rsid w:val="09DC0C8E"/>
    <w:rsid w:val="09E55D95"/>
    <w:rsid w:val="09F2400E"/>
    <w:rsid w:val="09F806E3"/>
    <w:rsid w:val="0A1263F7"/>
    <w:rsid w:val="0A14667A"/>
    <w:rsid w:val="0A171CC6"/>
    <w:rsid w:val="0A263993"/>
    <w:rsid w:val="0A2D14EA"/>
    <w:rsid w:val="0A2D3AC2"/>
    <w:rsid w:val="0A314B36"/>
    <w:rsid w:val="0A5627EE"/>
    <w:rsid w:val="0A634F0B"/>
    <w:rsid w:val="0A786C09"/>
    <w:rsid w:val="0A7D2B61"/>
    <w:rsid w:val="0A9D666F"/>
    <w:rsid w:val="0AA277E2"/>
    <w:rsid w:val="0AA572D2"/>
    <w:rsid w:val="0AA755DF"/>
    <w:rsid w:val="0AC51722"/>
    <w:rsid w:val="0AC736EC"/>
    <w:rsid w:val="0AD32091"/>
    <w:rsid w:val="0AFD0EBC"/>
    <w:rsid w:val="0B120D44"/>
    <w:rsid w:val="0B316DB7"/>
    <w:rsid w:val="0B372620"/>
    <w:rsid w:val="0B3B0F69"/>
    <w:rsid w:val="0B3C3CE4"/>
    <w:rsid w:val="0B4B60CB"/>
    <w:rsid w:val="0B5C5BE2"/>
    <w:rsid w:val="0B6C7DF0"/>
    <w:rsid w:val="0B6E5916"/>
    <w:rsid w:val="0B7849E6"/>
    <w:rsid w:val="0B792C38"/>
    <w:rsid w:val="0B7C44D7"/>
    <w:rsid w:val="0B907F82"/>
    <w:rsid w:val="0B917DCB"/>
    <w:rsid w:val="0B925AA8"/>
    <w:rsid w:val="0BAA1044"/>
    <w:rsid w:val="0BCB0FBA"/>
    <w:rsid w:val="0BD27BF6"/>
    <w:rsid w:val="0BDC31C7"/>
    <w:rsid w:val="0BE91440"/>
    <w:rsid w:val="0BF202F5"/>
    <w:rsid w:val="0C1464BD"/>
    <w:rsid w:val="0C394176"/>
    <w:rsid w:val="0C3B3C7D"/>
    <w:rsid w:val="0C3C77C2"/>
    <w:rsid w:val="0C4843B9"/>
    <w:rsid w:val="0C517711"/>
    <w:rsid w:val="0C5C1C12"/>
    <w:rsid w:val="0C662A91"/>
    <w:rsid w:val="0C7358DA"/>
    <w:rsid w:val="0C741652"/>
    <w:rsid w:val="0C8353F1"/>
    <w:rsid w:val="0C8E44C1"/>
    <w:rsid w:val="0CAB2EAE"/>
    <w:rsid w:val="0CC06645"/>
    <w:rsid w:val="0CCC323C"/>
    <w:rsid w:val="0CE560AB"/>
    <w:rsid w:val="0CEA36C2"/>
    <w:rsid w:val="0D091D9A"/>
    <w:rsid w:val="0D1424ED"/>
    <w:rsid w:val="0D1F15BD"/>
    <w:rsid w:val="0D2A1D10"/>
    <w:rsid w:val="0D2E1801"/>
    <w:rsid w:val="0D330BC5"/>
    <w:rsid w:val="0D350DE1"/>
    <w:rsid w:val="0D4E1EA3"/>
    <w:rsid w:val="0D562B05"/>
    <w:rsid w:val="0D621C7D"/>
    <w:rsid w:val="0D865199"/>
    <w:rsid w:val="0D935B07"/>
    <w:rsid w:val="0D95362E"/>
    <w:rsid w:val="0DA675E9"/>
    <w:rsid w:val="0DB461AA"/>
    <w:rsid w:val="0DBC505E"/>
    <w:rsid w:val="0DBE0DD6"/>
    <w:rsid w:val="0DC563BD"/>
    <w:rsid w:val="0DD73C46"/>
    <w:rsid w:val="0DD759F4"/>
    <w:rsid w:val="0DDF2AFB"/>
    <w:rsid w:val="0DE17E62"/>
    <w:rsid w:val="0DEE0F90"/>
    <w:rsid w:val="0DF90060"/>
    <w:rsid w:val="0E010CC3"/>
    <w:rsid w:val="0E0B38F0"/>
    <w:rsid w:val="0E1A3B33"/>
    <w:rsid w:val="0E2844A2"/>
    <w:rsid w:val="0E2A646C"/>
    <w:rsid w:val="0E2C21E4"/>
    <w:rsid w:val="0E3177FA"/>
    <w:rsid w:val="0E3A5F83"/>
    <w:rsid w:val="0E3F3599"/>
    <w:rsid w:val="0E435707"/>
    <w:rsid w:val="0E486BB3"/>
    <w:rsid w:val="0E4B0190"/>
    <w:rsid w:val="0E653000"/>
    <w:rsid w:val="0E6D0107"/>
    <w:rsid w:val="0E73034D"/>
    <w:rsid w:val="0E741495"/>
    <w:rsid w:val="0E7476E7"/>
    <w:rsid w:val="0E794CFD"/>
    <w:rsid w:val="0E9D6C3E"/>
    <w:rsid w:val="0EA7186A"/>
    <w:rsid w:val="0EC04547"/>
    <w:rsid w:val="0EEC3721"/>
    <w:rsid w:val="0EEF6D6E"/>
    <w:rsid w:val="0EF3685E"/>
    <w:rsid w:val="0EFA4090"/>
    <w:rsid w:val="0F0C791F"/>
    <w:rsid w:val="0F13775A"/>
    <w:rsid w:val="0F455B68"/>
    <w:rsid w:val="0F4946D0"/>
    <w:rsid w:val="0F5F45FE"/>
    <w:rsid w:val="0F692FC4"/>
    <w:rsid w:val="0F8C6CB2"/>
    <w:rsid w:val="0F9067A2"/>
    <w:rsid w:val="0F931DEF"/>
    <w:rsid w:val="0F953DB9"/>
    <w:rsid w:val="0F9A112B"/>
    <w:rsid w:val="0FA1275E"/>
    <w:rsid w:val="0FA97864"/>
    <w:rsid w:val="0FAE6C29"/>
    <w:rsid w:val="0FB00BF3"/>
    <w:rsid w:val="0FD91EF8"/>
    <w:rsid w:val="0FE12B5A"/>
    <w:rsid w:val="0FE16FFE"/>
    <w:rsid w:val="0FEE5277"/>
    <w:rsid w:val="0FFC6EDD"/>
    <w:rsid w:val="10093E5F"/>
    <w:rsid w:val="100D394F"/>
    <w:rsid w:val="103435D2"/>
    <w:rsid w:val="10385E92"/>
    <w:rsid w:val="10390BE8"/>
    <w:rsid w:val="104F3F68"/>
    <w:rsid w:val="10501A8E"/>
    <w:rsid w:val="10507CBD"/>
    <w:rsid w:val="1057106E"/>
    <w:rsid w:val="10645539"/>
    <w:rsid w:val="106519DD"/>
    <w:rsid w:val="106612B1"/>
    <w:rsid w:val="106A1358"/>
    <w:rsid w:val="106D2F64"/>
    <w:rsid w:val="106D43EE"/>
    <w:rsid w:val="106F460A"/>
    <w:rsid w:val="1074577C"/>
    <w:rsid w:val="10757746"/>
    <w:rsid w:val="10771710"/>
    <w:rsid w:val="10873049"/>
    <w:rsid w:val="1088747A"/>
    <w:rsid w:val="108B0D18"/>
    <w:rsid w:val="108C7B8F"/>
    <w:rsid w:val="1090632E"/>
    <w:rsid w:val="109202F8"/>
    <w:rsid w:val="10B1077E"/>
    <w:rsid w:val="10B14C22"/>
    <w:rsid w:val="10B464C1"/>
    <w:rsid w:val="10B63710"/>
    <w:rsid w:val="10C5422A"/>
    <w:rsid w:val="10C761F4"/>
    <w:rsid w:val="10C77FA2"/>
    <w:rsid w:val="10C85AC8"/>
    <w:rsid w:val="10CC55B8"/>
    <w:rsid w:val="10DE52EC"/>
    <w:rsid w:val="10E36DA6"/>
    <w:rsid w:val="10F10820"/>
    <w:rsid w:val="11036B00"/>
    <w:rsid w:val="111C2F7A"/>
    <w:rsid w:val="11230F50"/>
    <w:rsid w:val="11254CC9"/>
    <w:rsid w:val="11292A0B"/>
    <w:rsid w:val="11382C4E"/>
    <w:rsid w:val="1145536B"/>
    <w:rsid w:val="11515ABE"/>
    <w:rsid w:val="11665CA1"/>
    <w:rsid w:val="116E6670"/>
    <w:rsid w:val="117143B2"/>
    <w:rsid w:val="11731929"/>
    <w:rsid w:val="11785740"/>
    <w:rsid w:val="117B2B3A"/>
    <w:rsid w:val="11934328"/>
    <w:rsid w:val="11C40985"/>
    <w:rsid w:val="11C72224"/>
    <w:rsid w:val="11D34725"/>
    <w:rsid w:val="11D72467"/>
    <w:rsid w:val="11DA3D05"/>
    <w:rsid w:val="11DF756D"/>
    <w:rsid w:val="11E701D0"/>
    <w:rsid w:val="12086AC4"/>
    <w:rsid w:val="120B3EBE"/>
    <w:rsid w:val="12170AB5"/>
    <w:rsid w:val="12192A7F"/>
    <w:rsid w:val="121A5B32"/>
    <w:rsid w:val="122338FE"/>
    <w:rsid w:val="12382C34"/>
    <w:rsid w:val="12502219"/>
    <w:rsid w:val="12541D09"/>
    <w:rsid w:val="125A3098"/>
    <w:rsid w:val="125F420A"/>
    <w:rsid w:val="12655CC4"/>
    <w:rsid w:val="12687383"/>
    <w:rsid w:val="12747CB6"/>
    <w:rsid w:val="12865C3B"/>
    <w:rsid w:val="1292638E"/>
    <w:rsid w:val="12A367ED"/>
    <w:rsid w:val="12C56763"/>
    <w:rsid w:val="12CF313E"/>
    <w:rsid w:val="12DA1AE3"/>
    <w:rsid w:val="12E666D9"/>
    <w:rsid w:val="12EF558E"/>
    <w:rsid w:val="12F42BA4"/>
    <w:rsid w:val="12F9640D"/>
    <w:rsid w:val="13001549"/>
    <w:rsid w:val="13113756"/>
    <w:rsid w:val="13143247"/>
    <w:rsid w:val="13174AE5"/>
    <w:rsid w:val="13213D1E"/>
    <w:rsid w:val="13255454"/>
    <w:rsid w:val="13280AA0"/>
    <w:rsid w:val="13345697"/>
    <w:rsid w:val="13426006"/>
    <w:rsid w:val="13497394"/>
    <w:rsid w:val="13515E55"/>
    <w:rsid w:val="13516249"/>
    <w:rsid w:val="13620456"/>
    <w:rsid w:val="13645F7C"/>
    <w:rsid w:val="13806B2E"/>
    <w:rsid w:val="138F28CD"/>
    <w:rsid w:val="13951726"/>
    <w:rsid w:val="13A20852"/>
    <w:rsid w:val="13A445CA"/>
    <w:rsid w:val="13A520F1"/>
    <w:rsid w:val="13A97E33"/>
    <w:rsid w:val="13AA7707"/>
    <w:rsid w:val="13B26DB4"/>
    <w:rsid w:val="13C609E5"/>
    <w:rsid w:val="13D749A0"/>
    <w:rsid w:val="13FD1F2D"/>
    <w:rsid w:val="140C2170"/>
    <w:rsid w:val="143040B0"/>
    <w:rsid w:val="1433594E"/>
    <w:rsid w:val="143771ED"/>
    <w:rsid w:val="14396509"/>
    <w:rsid w:val="144205B9"/>
    <w:rsid w:val="14425B91"/>
    <w:rsid w:val="14444CC4"/>
    <w:rsid w:val="14643D5A"/>
    <w:rsid w:val="14661880"/>
    <w:rsid w:val="1475249B"/>
    <w:rsid w:val="148443FC"/>
    <w:rsid w:val="14AB1989"/>
    <w:rsid w:val="14B7032D"/>
    <w:rsid w:val="14BC5944"/>
    <w:rsid w:val="14C12F5A"/>
    <w:rsid w:val="14C30A80"/>
    <w:rsid w:val="14D62EA9"/>
    <w:rsid w:val="14DA401C"/>
    <w:rsid w:val="14DD2C3C"/>
    <w:rsid w:val="14E6675C"/>
    <w:rsid w:val="14F21366"/>
    <w:rsid w:val="151237B6"/>
    <w:rsid w:val="153876C0"/>
    <w:rsid w:val="154871D8"/>
    <w:rsid w:val="15565D98"/>
    <w:rsid w:val="15602773"/>
    <w:rsid w:val="1562473D"/>
    <w:rsid w:val="156C736A"/>
    <w:rsid w:val="158741A4"/>
    <w:rsid w:val="15962639"/>
    <w:rsid w:val="15997A33"/>
    <w:rsid w:val="159E329B"/>
    <w:rsid w:val="15A563D8"/>
    <w:rsid w:val="15A801B2"/>
    <w:rsid w:val="15A9411A"/>
    <w:rsid w:val="15B900D5"/>
    <w:rsid w:val="15C947BC"/>
    <w:rsid w:val="15CE592F"/>
    <w:rsid w:val="15D46CBD"/>
    <w:rsid w:val="15DB629E"/>
    <w:rsid w:val="15E74C42"/>
    <w:rsid w:val="15F555B1"/>
    <w:rsid w:val="15FF1F8C"/>
    <w:rsid w:val="160457F4"/>
    <w:rsid w:val="16087E1D"/>
    <w:rsid w:val="16094BB9"/>
    <w:rsid w:val="160C28FB"/>
    <w:rsid w:val="160E21CF"/>
    <w:rsid w:val="161D68B6"/>
    <w:rsid w:val="16231FBA"/>
    <w:rsid w:val="16315EBE"/>
    <w:rsid w:val="163B0AEA"/>
    <w:rsid w:val="16414353"/>
    <w:rsid w:val="1642631D"/>
    <w:rsid w:val="16551BAC"/>
    <w:rsid w:val="165878EE"/>
    <w:rsid w:val="16694582"/>
    <w:rsid w:val="166B13D0"/>
    <w:rsid w:val="168B1A72"/>
    <w:rsid w:val="168C1346"/>
    <w:rsid w:val="169C5A2D"/>
    <w:rsid w:val="16A50D85"/>
    <w:rsid w:val="16B647C5"/>
    <w:rsid w:val="16C44F84"/>
    <w:rsid w:val="16C86822"/>
    <w:rsid w:val="16CB6312"/>
    <w:rsid w:val="16D80E4D"/>
    <w:rsid w:val="16DC051F"/>
    <w:rsid w:val="16E41182"/>
    <w:rsid w:val="16F06093"/>
    <w:rsid w:val="170830C2"/>
    <w:rsid w:val="1719707D"/>
    <w:rsid w:val="17255A22"/>
    <w:rsid w:val="172A128B"/>
    <w:rsid w:val="17321EED"/>
    <w:rsid w:val="17332EE7"/>
    <w:rsid w:val="1739327C"/>
    <w:rsid w:val="17410382"/>
    <w:rsid w:val="174D6D27"/>
    <w:rsid w:val="175D340E"/>
    <w:rsid w:val="17681DB3"/>
    <w:rsid w:val="176C53FF"/>
    <w:rsid w:val="176F4EEF"/>
    <w:rsid w:val="17701D14"/>
    <w:rsid w:val="1771313C"/>
    <w:rsid w:val="17735226"/>
    <w:rsid w:val="177B1AE6"/>
    <w:rsid w:val="1780534F"/>
    <w:rsid w:val="178564C1"/>
    <w:rsid w:val="17872239"/>
    <w:rsid w:val="178D35C8"/>
    <w:rsid w:val="17A70B2D"/>
    <w:rsid w:val="17AC6144"/>
    <w:rsid w:val="17BA0860"/>
    <w:rsid w:val="17CB2BF7"/>
    <w:rsid w:val="17CF1E32"/>
    <w:rsid w:val="17D15BAA"/>
    <w:rsid w:val="17D17958"/>
    <w:rsid w:val="17D47448"/>
    <w:rsid w:val="17EA0A1A"/>
    <w:rsid w:val="17EF7DDE"/>
    <w:rsid w:val="18137F71"/>
    <w:rsid w:val="181B0BD3"/>
    <w:rsid w:val="1824217E"/>
    <w:rsid w:val="18371EB1"/>
    <w:rsid w:val="185B5474"/>
    <w:rsid w:val="18622CA6"/>
    <w:rsid w:val="18685804"/>
    <w:rsid w:val="18784278"/>
    <w:rsid w:val="187A7FF0"/>
    <w:rsid w:val="188449CB"/>
    <w:rsid w:val="18925339"/>
    <w:rsid w:val="189F624C"/>
    <w:rsid w:val="18AC5CCF"/>
    <w:rsid w:val="18AE37F5"/>
    <w:rsid w:val="18B21538"/>
    <w:rsid w:val="18B2778A"/>
    <w:rsid w:val="18BC5F12"/>
    <w:rsid w:val="18C77A69"/>
    <w:rsid w:val="18CE3E98"/>
    <w:rsid w:val="18D314AE"/>
    <w:rsid w:val="18EF453A"/>
    <w:rsid w:val="18F25DD8"/>
    <w:rsid w:val="18F27B86"/>
    <w:rsid w:val="18FE477D"/>
    <w:rsid w:val="1901426D"/>
    <w:rsid w:val="190855FC"/>
    <w:rsid w:val="19094ED0"/>
    <w:rsid w:val="192F4936"/>
    <w:rsid w:val="19355CC5"/>
    <w:rsid w:val="193E101D"/>
    <w:rsid w:val="19632832"/>
    <w:rsid w:val="196B7938"/>
    <w:rsid w:val="196D1903"/>
    <w:rsid w:val="19856C4C"/>
    <w:rsid w:val="198C1D89"/>
    <w:rsid w:val="19B1359D"/>
    <w:rsid w:val="19C84D8B"/>
    <w:rsid w:val="19CE23A1"/>
    <w:rsid w:val="19DE635C"/>
    <w:rsid w:val="19F3005A"/>
    <w:rsid w:val="1A196FD4"/>
    <w:rsid w:val="1A1C66C0"/>
    <w:rsid w:val="1A2E6245"/>
    <w:rsid w:val="1A312930"/>
    <w:rsid w:val="1A3441CE"/>
    <w:rsid w:val="1A3B555D"/>
    <w:rsid w:val="1A420699"/>
    <w:rsid w:val="1A42393B"/>
    <w:rsid w:val="1A7C004F"/>
    <w:rsid w:val="1A8707A2"/>
    <w:rsid w:val="1A9B5FFB"/>
    <w:rsid w:val="1AAB623F"/>
    <w:rsid w:val="1AAD45DE"/>
    <w:rsid w:val="1ABC48F0"/>
    <w:rsid w:val="1AE14356"/>
    <w:rsid w:val="1AE479A2"/>
    <w:rsid w:val="1AE6371B"/>
    <w:rsid w:val="1AFA0F74"/>
    <w:rsid w:val="1B046F80"/>
    <w:rsid w:val="1B083691"/>
    <w:rsid w:val="1B0A573B"/>
    <w:rsid w:val="1B0B4F2F"/>
    <w:rsid w:val="1B0E2C71"/>
    <w:rsid w:val="1B252495"/>
    <w:rsid w:val="1B261D69"/>
    <w:rsid w:val="1B3267B5"/>
    <w:rsid w:val="1B3A75C2"/>
    <w:rsid w:val="1B40161D"/>
    <w:rsid w:val="1B441859"/>
    <w:rsid w:val="1B5C1C2F"/>
    <w:rsid w:val="1B6606B1"/>
    <w:rsid w:val="1B66485B"/>
    <w:rsid w:val="1B803B6F"/>
    <w:rsid w:val="1B813443"/>
    <w:rsid w:val="1BA01B1B"/>
    <w:rsid w:val="1BDC68CC"/>
    <w:rsid w:val="1BE71472"/>
    <w:rsid w:val="1BE85270"/>
    <w:rsid w:val="1BEA2D97"/>
    <w:rsid w:val="1BFD51C0"/>
    <w:rsid w:val="1C010E3C"/>
    <w:rsid w:val="1C0D4CD7"/>
    <w:rsid w:val="1C204A0A"/>
    <w:rsid w:val="1C2269D4"/>
    <w:rsid w:val="1C33298F"/>
    <w:rsid w:val="1C346708"/>
    <w:rsid w:val="1C444B9D"/>
    <w:rsid w:val="1C511068"/>
    <w:rsid w:val="1C597F1C"/>
    <w:rsid w:val="1C5E7925"/>
    <w:rsid w:val="1C7865F4"/>
    <w:rsid w:val="1C80194D"/>
    <w:rsid w:val="1C821221"/>
    <w:rsid w:val="1CA4388D"/>
    <w:rsid w:val="1CA70C88"/>
    <w:rsid w:val="1CAC44F0"/>
    <w:rsid w:val="1CB3587E"/>
    <w:rsid w:val="1CCE26B8"/>
    <w:rsid w:val="1CD13F56"/>
    <w:rsid w:val="1CDD28FB"/>
    <w:rsid w:val="1CFD070F"/>
    <w:rsid w:val="1CFD4D4B"/>
    <w:rsid w:val="1D087B12"/>
    <w:rsid w:val="1D214EDE"/>
    <w:rsid w:val="1D216C8C"/>
    <w:rsid w:val="1D2247B2"/>
    <w:rsid w:val="1D293D92"/>
    <w:rsid w:val="1D321938"/>
    <w:rsid w:val="1D3544E5"/>
    <w:rsid w:val="1D392227"/>
    <w:rsid w:val="1D3A5FA0"/>
    <w:rsid w:val="1D3C5B0B"/>
    <w:rsid w:val="1D4209B0"/>
    <w:rsid w:val="1D5232E9"/>
    <w:rsid w:val="1D526637"/>
    <w:rsid w:val="1D5C1A72"/>
    <w:rsid w:val="1D5F6196"/>
    <w:rsid w:val="1D6132A5"/>
    <w:rsid w:val="1D752B34"/>
    <w:rsid w:val="1D7C3EC2"/>
    <w:rsid w:val="1D84721B"/>
    <w:rsid w:val="1D8E56D5"/>
    <w:rsid w:val="1D9236E6"/>
    <w:rsid w:val="1D927B8A"/>
    <w:rsid w:val="1D9E652E"/>
    <w:rsid w:val="1DB55626"/>
    <w:rsid w:val="1DB96EC4"/>
    <w:rsid w:val="1DBA2C3C"/>
    <w:rsid w:val="1DBB0E8E"/>
    <w:rsid w:val="1DBB32B2"/>
    <w:rsid w:val="1DD43CFE"/>
    <w:rsid w:val="1DD65CC8"/>
    <w:rsid w:val="1DDC0E05"/>
    <w:rsid w:val="1E193E07"/>
    <w:rsid w:val="1E1D46AD"/>
    <w:rsid w:val="1E236DDE"/>
    <w:rsid w:val="1E2C3B3A"/>
    <w:rsid w:val="1E2F7187"/>
    <w:rsid w:val="1E37603B"/>
    <w:rsid w:val="1E3B5B2B"/>
    <w:rsid w:val="1E3E386E"/>
    <w:rsid w:val="1E450758"/>
    <w:rsid w:val="1E543091"/>
    <w:rsid w:val="1E682698"/>
    <w:rsid w:val="1E763007"/>
    <w:rsid w:val="1E780B2E"/>
    <w:rsid w:val="1E7A43DA"/>
    <w:rsid w:val="1E957931"/>
    <w:rsid w:val="1EB458DE"/>
    <w:rsid w:val="1EDC124B"/>
    <w:rsid w:val="1EEB57A3"/>
    <w:rsid w:val="1EEC5078"/>
    <w:rsid w:val="1EF1268E"/>
    <w:rsid w:val="1EF503D0"/>
    <w:rsid w:val="1EFF124F"/>
    <w:rsid w:val="1F0C74C8"/>
    <w:rsid w:val="1F1620F4"/>
    <w:rsid w:val="1F170346"/>
    <w:rsid w:val="1F1A1BE5"/>
    <w:rsid w:val="1F332CA6"/>
    <w:rsid w:val="1F356A1F"/>
    <w:rsid w:val="1F394761"/>
    <w:rsid w:val="1F424ECC"/>
    <w:rsid w:val="1F4E188E"/>
    <w:rsid w:val="1F5A6485"/>
    <w:rsid w:val="1F5C044F"/>
    <w:rsid w:val="1F5C13A0"/>
    <w:rsid w:val="1F6D61B8"/>
    <w:rsid w:val="1F751511"/>
    <w:rsid w:val="1F817EB6"/>
    <w:rsid w:val="1F9F033C"/>
    <w:rsid w:val="1FB42039"/>
    <w:rsid w:val="1FB65DB1"/>
    <w:rsid w:val="1FB913FE"/>
    <w:rsid w:val="1FBE3649"/>
    <w:rsid w:val="1FCD6C57"/>
    <w:rsid w:val="1FDE2C12"/>
    <w:rsid w:val="1FE02E2E"/>
    <w:rsid w:val="1FE43FA1"/>
    <w:rsid w:val="1FE673E4"/>
    <w:rsid w:val="1FE7539E"/>
    <w:rsid w:val="1FEA15B7"/>
    <w:rsid w:val="1FED10A7"/>
    <w:rsid w:val="1FF561AE"/>
    <w:rsid w:val="20000DDB"/>
    <w:rsid w:val="20054643"/>
    <w:rsid w:val="201B5C14"/>
    <w:rsid w:val="20457135"/>
    <w:rsid w:val="205E01F7"/>
    <w:rsid w:val="20671BE0"/>
    <w:rsid w:val="206A26F8"/>
    <w:rsid w:val="207074E5"/>
    <w:rsid w:val="20717F2A"/>
    <w:rsid w:val="20937EA1"/>
    <w:rsid w:val="209634ED"/>
    <w:rsid w:val="20963CB8"/>
    <w:rsid w:val="209D2ACD"/>
    <w:rsid w:val="20A43B9A"/>
    <w:rsid w:val="20A53730"/>
    <w:rsid w:val="20A81A1B"/>
    <w:rsid w:val="20AF45AF"/>
    <w:rsid w:val="20B07FB6"/>
    <w:rsid w:val="20B3409F"/>
    <w:rsid w:val="20B41BC5"/>
    <w:rsid w:val="20B646FB"/>
    <w:rsid w:val="20BB73F7"/>
    <w:rsid w:val="20C242E2"/>
    <w:rsid w:val="20C53DD2"/>
    <w:rsid w:val="20CE0ED9"/>
    <w:rsid w:val="20D109C9"/>
    <w:rsid w:val="20DD55C0"/>
    <w:rsid w:val="20E406FC"/>
    <w:rsid w:val="20E73D48"/>
    <w:rsid w:val="20E92118"/>
    <w:rsid w:val="21004E0A"/>
    <w:rsid w:val="21025026"/>
    <w:rsid w:val="212C3E51"/>
    <w:rsid w:val="2136082C"/>
    <w:rsid w:val="213B74B1"/>
    <w:rsid w:val="214B4D76"/>
    <w:rsid w:val="214D6DCB"/>
    <w:rsid w:val="21505D92"/>
    <w:rsid w:val="21515666"/>
    <w:rsid w:val="215A2310"/>
    <w:rsid w:val="21780E44"/>
    <w:rsid w:val="21811C8C"/>
    <w:rsid w:val="2190618E"/>
    <w:rsid w:val="219739C1"/>
    <w:rsid w:val="219C4B33"/>
    <w:rsid w:val="21B226FC"/>
    <w:rsid w:val="21C347B6"/>
    <w:rsid w:val="21CB5418"/>
    <w:rsid w:val="21CC3CDF"/>
    <w:rsid w:val="21DE318A"/>
    <w:rsid w:val="21EB5ABA"/>
    <w:rsid w:val="21EF55AB"/>
    <w:rsid w:val="21EF5B80"/>
    <w:rsid w:val="22124DF5"/>
    <w:rsid w:val="221943D6"/>
    <w:rsid w:val="221B014E"/>
    <w:rsid w:val="22372AAE"/>
    <w:rsid w:val="223C6B10"/>
    <w:rsid w:val="2241392C"/>
    <w:rsid w:val="224D22D1"/>
    <w:rsid w:val="22576990"/>
    <w:rsid w:val="22665141"/>
    <w:rsid w:val="226D64CF"/>
    <w:rsid w:val="227F50C3"/>
    <w:rsid w:val="228C2DF9"/>
    <w:rsid w:val="229323DA"/>
    <w:rsid w:val="22934188"/>
    <w:rsid w:val="229977E2"/>
    <w:rsid w:val="22A04AF7"/>
    <w:rsid w:val="22A5210D"/>
    <w:rsid w:val="22AC6FF8"/>
    <w:rsid w:val="22BD1205"/>
    <w:rsid w:val="22C00CF5"/>
    <w:rsid w:val="22C500B9"/>
    <w:rsid w:val="22DD18A7"/>
    <w:rsid w:val="22DF561F"/>
    <w:rsid w:val="22E42C35"/>
    <w:rsid w:val="22EC5646"/>
    <w:rsid w:val="22F47480"/>
    <w:rsid w:val="22F62969"/>
    <w:rsid w:val="22FD7853"/>
    <w:rsid w:val="230E380E"/>
    <w:rsid w:val="231E77CA"/>
    <w:rsid w:val="231F5A1C"/>
    <w:rsid w:val="23241284"/>
    <w:rsid w:val="23243032"/>
    <w:rsid w:val="23386ADD"/>
    <w:rsid w:val="23403BE4"/>
    <w:rsid w:val="234E6301"/>
    <w:rsid w:val="2355143D"/>
    <w:rsid w:val="2378337E"/>
    <w:rsid w:val="237D6BE6"/>
    <w:rsid w:val="238166D6"/>
    <w:rsid w:val="2392443F"/>
    <w:rsid w:val="239301B8"/>
    <w:rsid w:val="2398757C"/>
    <w:rsid w:val="23A44173"/>
    <w:rsid w:val="23A6613D"/>
    <w:rsid w:val="23C95987"/>
    <w:rsid w:val="23D26F32"/>
    <w:rsid w:val="23D700A4"/>
    <w:rsid w:val="23D83E1C"/>
    <w:rsid w:val="23DA1943"/>
    <w:rsid w:val="23DE1C48"/>
    <w:rsid w:val="240210CD"/>
    <w:rsid w:val="24286B52"/>
    <w:rsid w:val="24390D5F"/>
    <w:rsid w:val="2443573A"/>
    <w:rsid w:val="2446022B"/>
    <w:rsid w:val="244B2840"/>
    <w:rsid w:val="24521E21"/>
    <w:rsid w:val="245C0A75"/>
    <w:rsid w:val="24613E12"/>
    <w:rsid w:val="24655054"/>
    <w:rsid w:val="2472601F"/>
    <w:rsid w:val="24883A94"/>
    <w:rsid w:val="249C309C"/>
    <w:rsid w:val="24AB32DF"/>
    <w:rsid w:val="24AF4B7D"/>
    <w:rsid w:val="24B86128"/>
    <w:rsid w:val="24B91EA0"/>
    <w:rsid w:val="24BF09F7"/>
    <w:rsid w:val="24C0322E"/>
    <w:rsid w:val="24C90335"/>
    <w:rsid w:val="24CA5E5B"/>
    <w:rsid w:val="24D740D4"/>
    <w:rsid w:val="24F55E66"/>
    <w:rsid w:val="250824DF"/>
    <w:rsid w:val="250A44A9"/>
    <w:rsid w:val="25113A8A"/>
    <w:rsid w:val="25227A45"/>
    <w:rsid w:val="252D53FE"/>
    <w:rsid w:val="252F3F10"/>
    <w:rsid w:val="25387269"/>
    <w:rsid w:val="253F05F7"/>
    <w:rsid w:val="25423C43"/>
    <w:rsid w:val="254A2AF8"/>
    <w:rsid w:val="255A0F8D"/>
    <w:rsid w:val="255F65A3"/>
    <w:rsid w:val="25714529"/>
    <w:rsid w:val="25755DC7"/>
    <w:rsid w:val="25897AC4"/>
    <w:rsid w:val="25965D3D"/>
    <w:rsid w:val="25A4045A"/>
    <w:rsid w:val="25A95A70"/>
    <w:rsid w:val="25D54AB7"/>
    <w:rsid w:val="25E92311"/>
    <w:rsid w:val="25EC2D81"/>
    <w:rsid w:val="25FA451E"/>
    <w:rsid w:val="25FD5DBC"/>
    <w:rsid w:val="25FF7D86"/>
    <w:rsid w:val="260333D3"/>
    <w:rsid w:val="2604539D"/>
    <w:rsid w:val="260E3B25"/>
    <w:rsid w:val="26221957"/>
    <w:rsid w:val="264B2FCC"/>
    <w:rsid w:val="264D6C20"/>
    <w:rsid w:val="264F6618"/>
    <w:rsid w:val="265522F3"/>
    <w:rsid w:val="26591245"/>
    <w:rsid w:val="26804A23"/>
    <w:rsid w:val="269E30FB"/>
    <w:rsid w:val="26A76454"/>
    <w:rsid w:val="26A83F7A"/>
    <w:rsid w:val="26A85D28"/>
    <w:rsid w:val="26BD1A51"/>
    <w:rsid w:val="26BE379D"/>
    <w:rsid w:val="26BE554B"/>
    <w:rsid w:val="26C54B2C"/>
    <w:rsid w:val="26D20FF7"/>
    <w:rsid w:val="26DB434F"/>
    <w:rsid w:val="26DE799C"/>
    <w:rsid w:val="26E256DE"/>
    <w:rsid w:val="26F96584"/>
    <w:rsid w:val="26FB257F"/>
    <w:rsid w:val="26FD42C6"/>
    <w:rsid w:val="270D35CE"/>
    <w:rsid w:val="274719E5"/>
    <w:rsid w:val="275163C0"/>
    <w:rsid w:val="27533EE6"/>
    <w:rsid w:val="275E288B"/>
    <w:rsid w:val="27651E6B"/>
    <w:rsid w:val="27675BE3"/>
    <w:rsid w:val="276854B7"/>
    <w:rsid w:val="277057A2"/>
    <w:rsid w:val="27767BD4"/>
    <w:rsid w:val="27873B8F"/>
    <w:rsid w:val="278F0C96"/>
    <w:rsid w:val="27A02EA3"/>
    <w:rsid w:val="27A91D58"/>
    <w:rsid w:val="27A97C35"/>
    <w:rsid w:val="27A97FAA"/>
    <w:rsid w:val="27B16E5E"/>
    <w:rsid w:val="27B801ED"/>
    <w:rsid w:val="27BA3F65"/>
    <w:rsid w:val="27DA4607"/>
    <w:rsid w:val="27DF39CB"/>
    <w:rsid w:val="27EC0313"/>
    <w:rsid w:val="27F356C9"/>
    <w:rsid w:val="280671AA"/>
    <w:rsid w:val="28173165"/>
    <w:rsid w:val="2818512F"/>
    <w:rsid w:val="28247630"/>
    <w:rsid w:val="282F4953"/>
    <w:rsid w:val="285A12A4"/>
    <w:rsid w:val="285E08FB"/>
    <w:rsid w:val="28667C49"/>
    <w:rsid w:val="287A36F4"/>
    <w:rsid w:val="288F1208"/>
    <w:rsid w:val="28902F18"/>
    <w:rsid w:val="289A4CFE"/>
    <w:rsid w:val="289B3D96"/>
    <w:rsid w:val="28A16ED3"/>
    <w:rsid w:val="28A17F82"/>
    <w:rsid w:val="28A54C15"/>
    <w:rsid w:val="28AF7842"/>
    <w:rsid w:val="28B07116"/>
    <w:rsid w:val="28C57065"/>
    <w:rsid w:val="28E026ED"/>
    <w:rsid w:val="28E55011"/>
    <w:rsid w:val="28F25980"/>
    <w:rsid w:val="28F901F0"/>
    <w:rsid w:val="29206EB8"/>
    <w:rsid w:val="2927562A"/>
    <w:rsid w:val="292A336C"/>
    <w:rsid w:val="292A511A"/>
    <w:rsid w:val="29363ABF"/>
    <w:rsid w:val="2939535D"/>
    <w:rsid w:val="293D6BFB"/>
    <w:rsid w:val="29477A7A"/>
    <w:rsid w:val="29595666"/>
    <w:rsid w:val="29763EBB"/>
    <w:rsid w:val="29787C34"/>
    <w:rsid w:val="29874881"/>
    <w:rsid w:val="29930F11"/>
    <w:rsid w:val="29A749BD"/>
    <w:rsid w:val="29C56BF1"/>
    <w:rsid w:val="29CA2F90"/>
    <w:rsid w:val="29CC4423"/>
    <w:rsid w:val="29D11A3A"/>
    <w:rsid w:val="29D67050"/>
    <w:rsid w:val="29E325E0"/>
    <w:rsid w:val="2A005E7B"/>
    <w:rsid w:val="2A063491"/>
    <w:rsid w:val="2A0B6CFA"/>
    <w:rsid w:val="2A326C65"/>
    <w:rsid w:val="2A375D41"/>
    <w:rsid w:val="2A383867"/>
    <w:rsid w:val="2A3D0E7D"/>
    <w:rsid w:val="2A452503"/>
    <w:rsid w:val="2A467D32"/>
    <w:rsid w:val="2A497591"/>
    <w:rsid w:val="2A5341FD"/>
    <w:rsid w:val="2A866380"/>
    <w:rsid w:val="2A946CEF"/>
    <w:rsid w:val="2AA36F32"/>
    <w:rsid w:val="2AA66A22"/>
    <w:rsid w:val="2AAD7DB1"/>
    <w:rsid w:val="2AB56C65"/>
    <w:rsid w:val="2ABB0720"/>
    <w:rsid w:val="2ACD0453"/>
    <w:rsid w:val="2ACF5F79"/>
    <w:rsid w:val="2ADC2444"/>
    <w:rsid w:val="2AE80DE9"/>
    <w:rsid w:val="2AED28A3"/>
    <w:rsid w:val="2AEF2177"/>
    <w:rsid w:val="2B0A0D5F"/>
    <w:rsid w:val="2B204A27"/>
    <w:rsid w:val="2B255B99"/>
    <w:rsid w:val="2B3202B6"/>
    <w:rsid w:val="2B361B54"/>
    <w:rsid w:val="2B395AE8"/>
    <w:rsid w:val="2B473D61"/>
    <w:rsid w:val="2B4C1378"/>
    <w:rsid w:val="2B593A95"/>
    <w:rsid w:val="2B603075"/>
    <w:rsid w:val="2B6366C1"/>
    <w:rsid w:val="2B726905"/>
    <w:rsid w:val="2B734671"/>
    <w:rsid w:val="2B8925CC"/>
    <w:rsid w:val="2B9D1BD3"/>
    <w:rsid w:val="2BA262E3"/>
    <w:rsid w:val="2BA431F1"/>
    <w:rsid w:val="2BA936A8"/>
    <w:rsid w:val="2BB92785"/>
    <w:rsid w:val="2BCF3D57"/>
    <w:rsid w:val="2BD355F5"/>
    <w:rsid w:val="2BD96984"/>
    <w:rsid w:val="2BE75544"/>
    <w:rsid w:val="2BE94E19"/>
    <w:rsid w:val="2BFA7026"/>
    <w:rsid w:val="2C0559CB"/>
    <w:rsid w:val="2C0A1963"/>
    <w:rsid w:val="2C273B93"/>
    <w:rsid w:val="2C2E4F21"/>
    <w:rsid w:val="2C302A48"/>
    <w:rsid w:val="2C315A5A"/>
    <w:rsid w:val="2C3562B0"/>
    <w:rsid w:val="2C4141EA"/>
    <w:rsid w:val="2C4B1C25"/>
    <w:rsid w:val="2C583D4C"/>
    <w:rsid w:val="2C6170A5"/>
    <w:rsid w:val="2C6B7F24"/>
    <w:rsid w:val="2C746837"/>
    <w:rsid w:val="2C974875"/>
    <w:rsid w:val="2C9E20A7"/>
    <w:rsid w:val="2CAE1BBE"/>
    <w:rsid w:val="2CCB6C14"/>
    <w:rsid w:val="2CD94E8D"/>
    <w:rsid w:val="2CDC2BCF"/>
    <w:rsid w:val="2CF577ED"/>
    <w:rsid w:val="2CF9108B"/>
    <w:rsid w:val="2D157E8F"/>
    <w:rsid w:val="2D1934DC"/>
    <w:rsid w:val="2D1B54A6"/>
    <w:rsid w:val="2D3622E0"/>
    <w:rsid w:val="2D377E06"/>
    <w:rsid w:val="2D4367AA"/>
    <w:rsid w:val="2D4C1B03"/>
    <w:rsid w:val="2D510EC7"/>
    <w:rsid w:val="2D5B4C0F"/>
    <w:rsid w:val="2D654973"/>
    <w:rsid w:val="2D662499"/>
    <w:rsid w:val="2D713318"/>
    <w:rsid w:val="2D776454"/>
    <w:rsid w:val="2D8D5C78"/>
    <w:rsid w:val="2D9E56F5"/>
    <w:rsid w:val="2DAA682A"/>
    <w:rsid w:val="2DBD47AF"/>
    <w:rsid w:val="2DC07DFB"/>
    <w:rsid w:val="2DE41D3C"/>
    <w:rsid w:val="2DE55AB4"/>
    <w:rsid w:val="2DF06932"/>
    <w:rsid w:val="2DF6381D"/>
    <w:rsid w:val="2E0028ED"/>
    <w:rsid w:val="2E00644A"/>
    <w:rsid w:val="2E1B3283"/>
    <w:rsid w:val="2E3D31FA"/>
    <w:rsid w:val="2E644C2A"/>
    <w:rsid w:val="2E667F96"/>
    <w:rsid w:val="2E7035CF"/>
    <w:rsid w:val="2E8226AB"/>
    <w:rsid w:val="2E8452CD"/>
    <w:rsid w:val="2E89643F"/>
    <w:rsid w:val="2E964D4F"/>
    <w:rsid w:val="2EA80FBB"/>
    <w:rsid w:val="2EA9088F"/>
    <w:rsid w:val="2EAD783E"/>
    <w:rsid w:val="2EDC6EB7"/>
    <w:rsid w:val="2EE87609"/>
    <w:rsid w:val="2EEB534C"/>
    <w:rsid w:val="2F0349B9"/>
    <w:rsid w:val="2F05640D"/>
    <w:rsid w:val="2F1228D8"/>
    <w:rsid w:val="2F1C04D2"/>
    <w:rsid w:val="2F1E302B"/>
    <w:rsid w:val="2F260132"/>
    <w:rsid w:val="2F2B74F6"/>
    <w:rsid w:val="2F364819"/>
    <w:rsid w:val="2F3B1E2F"/>
    <w:rsid w:val="2F5E78CC"/>
    <w:rsid w:val="2F6F3887"/>
    <w:rsid w:val="2F77098D"/>
    <w:rsid w:val="2F7B3E20"/>
    <w:rsid w:val="2F9E23BE"/>
    <w:rsid w:val="2FA21EAE"/>
    <w:rsid w:val="2FA84FEB"/>
    <w:rsid w:val="2FB13E9F"/>
    <w:rsid w:val="2FB27C17"/>
    <w:rsid w:val="2FC260AC"/>
    <w:rsid w:val="2FC8743B"/>
    <w:rsid w:val="2FD065E6"/>
    <w:rsid w:val="2FD1009E"/>
    <w:rsid w:val="2FD96870"/>
    <w:rsid w:val="2FF3270A"/>
    <w:rsid w:val="2FFF10AF"/>
    <w:rsid w:val="300466C5"/>
    <w:rsid w:val="301306B6"/>
    <w:rsid w:val="301F34FF"/>
    <w:rsid w:val="302B784A"/>
    <w:rsid w:val="302C1778"/>
    <w:rsid w:val="30316D8E"/>
    <w:rsid w:val="3034687E"/>
    <w:rsid w:val="3038011D"/>
    <w:rsid w:val="3049232A"/>
    <w:rsid w:val="30580BC9"/>
    <w:rsid w:val="305B3E0B"/>
    <w:rsid w:val="30696528"/>
    <w:rsid w:val="306C6018"/>
    <w:rsid w:val="309D61D2"/>
    <w:rsid w:val="30AB6B41"/>
    <w:rsid w:val="30B33C47"/>
    <w:rsid w:val="30C61BCC"/>
    <w:rsid w:val="30CC4D09"/>
    <w:rsid w:val="30FC114A"/>
    <w:rsid w:val="310444A3"/>
    <w:rsid w:val="310A6749"/>
    <w:rsid w:val="311566B0"/>
    <w:rsid w:val="31172428"/>
    <w:rsid w:val="311E2ED7"/>
    <w:rsid w:val="313905F0"/>
    <w:rsid w:val="3139239E"/>
    <w:rsid w:val="31462D0D"/>
    <w:rsid w:val="31490108"/>
    <w:rsid w:val="31556AAC"/>
    <w:rsid w:val="315619EE"/>
    <w:rsid w:val="315C449C"/>
    <w:rsid w:val="31615451"/>
    <w:rsid w:val="31662A68"/>
    <w:rsid w:val="317C04DD"/>
    <w:rsid w:val="318B6972"/>
    <w:rsid w:val="318D6246"/>
    <w:rsid w:val="31A31F0E"/>
    <w:rsid w:val="31A517E2"/>
    <w:rsid w:val="31AD4B3A"/>
    <w:rsid w:val="31B82709"/>
    <w:rsid w:val="31C37EBA"/>
    <w:rsid w:val="31CE14C9"/>
    <w:rsid w:val="31D05482"/>
    <w:rsid w:val="31DD5420"/>
    <w:rsid w:val="32024E86"/>
    <w:rsid w:val="32026C34"/>
    <w:rsid w:val="320D55D9"/>
    <w:rsid w:val="321626E0"/>
    <w:rsid w:val="32400B34"/>
    <w:rsid w:val="3255145A"/>
    <w:rsid w:val="32562ADC"/>
    <w:rsid w:val="32621481"/>
    <w:rsid w:val="326A6587"/>
    <w:rsid w:val="326F3B9E"/>
    <w:rsid w:val="32737B32"/>
    <w:rsid w:val="328E2276"/>
    <w:rsid w:val="32904240"/>
    <w:rsid w:val="329B61B8"/>
    <w:rsid w:val="329E6876"/>
    <w:rsid w:val="32A970B0"/>
    <w:rsid w:val="32BD2B5B"/>
    <w:rsid w:val="32CC0FF0"/>
    <w:rsid w:val="32D63C1D"/>
    <w:rsid w:val="32D700C1"/>
    <w:rsid w:val="32E20814"/>
    <w:rsid w:val="32E4458C"/>
    <w:rsid w:val="32EB1476"/>
    <w:rsid w:val="32EE71B8"/>
    <w:rsid w:val="32F75F53"/>
    <w:rsid w:val="330662B0"/>
    <w:rsid w:val="331210F9"/>
    <w:rsid w:val="332E1CAB"/>
    <w:rsid w:val="333015F2"/>
    <w:rsid w:val="3330332D"/>
    <w:rsid w:val="333A0650"/>
    <w:rsid w:val="33437504"/>
    <w:rsid w:val="334868C9"/>
    <w:rsid w:val="334B6320"/>
    <w:rsid w:val="33501C21"/>
    <w:rsid w:val="33541711"/>
    <w:rsid w:val="33582884"/>
    <w:rsid w:val="335C4122"/>
    <w:rsid w:val="335F1E64"/>
    <w:rsid w:val="336851BD"/>
    <w:rsid w:val="336B25B7"/>
    <w:rsid w:val="337376BE"/>
    <w:rsid w:val="33753436"/>
    <w:rsid w:val="337E7E8A"/>
    <w:rsid w:val="33833DA5"/>
    <w:rsid w:val="33843679"/>
    <w:rsid w:val="338F274A"/>
    <w:rsid w:val="33925D96"/>
    <w:rsid w:val="33A61841"/>
    <w:rsid w:val="33B10912"/>
    <w:rsid w:val="33C341A1"/>
    <w:rsid w:val="33D934D4"/>
    <w:rsid w:val="33EC194A"/>
    <w:rsid w:val="33FE167D"/>
    <w:rsid w:val="33FE2F6A"/>
    <w:rsid w:val="34060532"/>
    <w:rsid w:val="340A0022"/>
    <w:rsid w:val="340E07E5"/>
    <w:rsid w:val="3417273F"/>
    <w:rsid w:val="34235BF7"/>
    <w:rsid w:val="34254E5C"/>
    <w:rsid w:val="342F7A89"/>
    <w:rsid w:val="343155AF"/>
    <w:rsid w:val="343926B5"/>
    <w:rsid w:val="343C3F54"/>
    <w:rsid w:val="343E7CCC"/>
    <w:rsid w:val="34453658"/>
    <w:rsid w:val="344E43B3"/>
    <w:rsid w:val="344F3C87"/>
    <w:rsid w:val="34533777"/>
    <w:rsid w:val="345B6AD0"/>
    <w:rsid w:val="34627E5E"/>
    <w:rsid w:val="347100A1"/>
    <w:rsid w:val="34732160"/>
    <w:rsid w:val="34761214"/>
    <w:rsid w:val="3491429F"/>
    <w:rsid w:val="349647EC"/>
    <w:rsid w:val="34967B08"/>
    <w:rsid w:val="34A83397"/>
    <w:rsid w:val="34A915E9"/>
    <w:rsid w:val="34DD1293"/>
    <w:rsid w:val="34EB1C02"/>
    <w:rsid w:val="34F12F90"/>
    <w:rsid w:val="34F8431E"/>
    <w:rsid w:val="34FC3E0F"/>
    <w:rsid w:val="3502519D"/>
    <w:rsid w:val="350B4052"/>
    <w:rsid w:val="351E2CD3"/>
    <w:rsid w:val="35215623"/>
    <w:rsid w:val="35223149"/>
    <w:rsid w:val="35284C04"/>
    <w:rsid w:val="35303AB8"/>
    <w:rsid w:val="35571045"/>
    <w:rsid w:val="355D23D3"/>
    <w:rsid w:val="355E0625"/>
    <w:rsid w:val="35814314"/>
    <w:rsid w:val="35843E04"/>
    <w:rsid w:val="35847960"/>
    <w:rsid w:val="358C5FA8"/>
    <w:rsid w:val="35A01AAF"/>
    <w:rsid w:val="35A65B28"/>
    <w:rsid w:val="35AD335B"/>
    <w:rsid w:val="35C15DF1"/>
    <w:rsid w:val="35C16E06"/>
    <w:rsid w:val="35D46B3A"/>
    <w:rsid w:val="35E30B2B"/>
    <w:rsid w:val="35E6686D"/>
    <w:rsid w:val="35E87EEF"/>
    <w:rsid w:val="35EF74CF"/>
    <w:rsid w:val="35F44AE6"/>
    <w:rsid w:val="35FA5E74"/>
    <w:rsid w:val="36017203"/>
    <w:rsid w:val="36074A7F"/>
    <w:rsid w:val="360C62D3"/>
    <w:rsid w:val="36201FC2"/>
    <w:rsid w:val="36341386"/>
    <w:rsid w:val="363B2715"/>
    <w:rsid w:val="363C023B"/>
    <w:rsid w:val="364C4922"/>
    <w:rsid w:val="364D2448"/>
    <w:rsid w:val="36513CE6"/>
    <w:rsid w:val="366003CD"/>
    <w:rsid w:val="36687E67"/>
    <w:rsid w:val="368C37AC"/>
    <w:rsid w:val="36923549"/>
    <w:rsid w:val="36A06A1C"/>
    <w:rsid w:val="36A4475E"/>
    <w:rsid w:val="36A4650C"/>
    <w:rsid w:val="36B64491"/>
    <w:rsid w:val="36B75FBF"/>
    <w:rsid w:val="36BD0C45"/>
    <w:rsid w:val="36DB7A54"/>
    <w:rsid w:val="36EE3C2B"/>
    <w:rsid w:val="36EF34FF"/>
    <w:rsid w:val="36F82FBB"/>
    <w:rsid w:val="37081C58"/>
    <w:rsid w:val="370E607B"/>
    <w:rsid w:val="370F76FD"/>
    <w:rsid w:val="37113475"/>
    <w:rsid w:val="37166CDE"/>
    <w:rsid w:val="37215DAE"/>
    <w:rsid w:val="37272C99"/>
    <w:rsid w:val="373C4996"/>
    <w:rsid w:val="37503F9E"/>
    <w:rsid w:val="3757272A"/>
    <w:rsid w:val="37584478"/>
    <w:rsid w:val="375A06BB"/>
    <w:rsid w:val="376E08C8"/>
    <w:rsid w:val="37A147F9"/>
    <w:rsid w:val="37BA1D5F"/>
    <w:rsid w:val="37C30C14"/>
    <w:rsid w:val="37C36E66"/>
    <w:rsid w:val="37C404E8"/>
    <w:rsid w:val="37D20E57"/>
    <w:rsid w:val="37E00298"/>
    <w:rsid w:val="37F232A7"/>
    <w:rsid w:val="381F1BC2"/>
    <w:rsid w:val="3825367C"/>
    <w:rsid w:val="38270896"/>
    <w:rsid w:val="3834566E"/>
    <w:rsid w:val="383E029A"/>
    <w:rsid w:val="384E6C21"/>
    <w:rsid w:val="38602906"/>
    <w:rsid w:val="38883C0B"/>
    <w:rsid w:val="38A81BB8"/>
    <w:rsid w:val="38AF2F46"/>
    <w:rsid w:val="38B302F9"/>
    <w:rsid w:val="38B44A00"/>
    <w:rsid w:val="38B642D4"/>
    <w:rsid w:val="38B8629F"/>
    <w:rsid w:val="38B93DC5"/>
    <w:rsid w:val="38BD5663"/>
    <w:rsid w:val="38DE1A7D"/>
    <w:rsid w:val="38E7318A"/>
    <w:rsid w:val="38E86458"/>
    <w:rsid w:val="38F12CD3"/>
    <w:rsid w:val="38F17A02"/>
    <w:rsid w:val="38F60B75"/>
    <w:rsid w:val="38F94775"/>
    <w:rsid w:val="38FE5C7B"/>
    <w:rsid w:val="39050DB8"/>
    <w:rsid w:val="390E5EBF"/>
    <w:rsid w:val="39162FC5"/>
    <w:rsid w:val="39203E44"/>
    <w:rsid w:val="392971ED"/>
    <w:rsid w:val="39325651"/>
    <w:rsid w:val="39455658"/>
    <w:rsid w:val="394A2C6F"/>
    <w:rsid w:val="394D72B7"/>
    <w:rsid w:val="39504729"/>
    <w:rsid w:val="3958538C"/>
    <w:rsid w:val="395C3887"/>
    <w:rsid w:val="395F671A"/>
    <w:rsid w:val="39677CC5"/>
    <w:rsid w:val="397A17A6"/>
    <w:rsid w:val="398D772B"/>
    <w:rsid w:val="399860D0"/>
    <w:rsid w:val="39A44A75"/>
    <w:rsid w:val="39B06F76"/>
    <w:rsid w:val="39E0016F"/>
    <w:rsid w:val="39FE23D7"/>
    <w:rsid w:val="39FE4185"/>
    <w:rsid w:val="3A0B0650"/>
    <w:rsid w:val="3A1C460B"/>
    <w:rsid w:val="3A1E4827"/>
    <w:rsid w:val="3A233BEC"/>
    <w:rsid w:val="3A23599A"/>
    <w:rsid w:val="3A26548A"/>
    <w:rsid w:val="3A282FB0"/>
    <w:rsid w:val="3A2A1071"/>
    <w:rsid w:val="3A361B71"/>
    <w:rsid w:val="3A60099C"/>
    <w:rsid w:val="3A6D4E67"/>
    <w:rsid w:val="3A774841"/>
    <w:rsid w:val="3A810912"/>
    <w:rsid w:val="3A8328DC"/>
    <w:rsid w:val="3A872856"/>
    <w:rsid w:val="3A914FF9"/>
    <w:rsid w:val="3A940645"/>
    <w:rsid w:val="3AA15FB4"/>
    <w:rsid w:val="3AA60379"/>
    <w:rsid w:val="3AB111F7"/>
    <w:rsid w:val="3AB331C1"/>
    <w:rsid w:val="3AC058DE"/>
    <w:rsid w:val="3AC56A51"/>
    <w:rsid w:val="3ACC2540"/>
    <w:rsid w:val="3AD35612"/>
    <w:rsid w:val="3AD66EB0"/>
    <w:rsid w:val="3AE50EA1"/>
    <w:rsid w:val="3AEF7F72"/>
    <w:rsid w:val="3B131EB2"/>
    <w:rsid w:val="3B304812"/>
    <w:rsid w:val="3B3763D1"/>
    <w:rsid w:val="3B381919"/>
    <w:rsid w:val="3B40257B"/>
    <w:rsid w:val="3B4200A1"/>
    <w:rsid w:val="3B4E4C98"/>
    <w:rsid w:val="3B626996"/>
    <w:rsid w:val="3B6E0E96"/>
    <w:rsid w:val="3B750477"/>
    <w:rsid w:val="3B7A5B26"/>
    <w:rsid w:val="3B7B35B3"/>
    <w:rsid w:val="3B8701AA"/>
    <w:rsid w:val="3B8C3A12"/>
    <w:rsid w:val="3B9A612F"/>
    <w:rsid w:val="3B9E3900"/>
    <w:rsid w:val="3BBF5B96"/>
    <w:rsid w:val="3BC44F5A"/>
    <w:rsid w:val="3BC907C3"/>
    <w:rsid w:val="3BD80A06"/>
    <w:rsid w:val="3BDC04F6"/>
    <w:rsid w:val="3C025A83"/>
    <w:rsid w:val="3C265C15"/>
    <w:rsid w:val="3C277297"/>
    <w:rsid w:val="3C2B6D87"/>
    <w:rsid w:val="3C2D2B00"/>
    <w:rsid w:val="3C2F6E1E"/>
    <w:rsid w:val="3C335C3C"/>
    <w:rsid w:val="3C3A521C"/>
    <w:rsid w:val="3C461E13"/>
    <w:rsid w:val="3C4F64BA"/>
    <w:rsid w:val="3C4F6F1A"/>
    <w:rsid w:val="3C642299"/>
    <w:rsid w:val="3C6F3118"/>
    <w:rsid w:val="3C8B5A78"/>
    <w:rsid w:val="3C8C2A7B"/>
    <w:rsid w:val="3C9506A5"/>
    <w:rsid w:val="3CAD1E92"/>
    <w:rsid w:val="3CB74ABF"/>
    <w:rsid w:val="3CB94393"/>
    <w:rsid w:val="3CBF5755"/>
    <w:rsid w:val="3CC571DC"/>
    <w:rsid w:val="3CCB2319"/>
    <w:rsid w:val="3CD236A7"/>
    <w:rsid w:val="3CD613E9"/>
    <w:rsid w:val="3CDA245A"/>
    <w:rsid w:val="3CDC0F86"/>
    <w:rsid w:val="3CED6733"/>
    <w:rsid w:val="3CF03B2D"/>
    <w:rsid w:val="3D0F0457"/>
    <w:rsid w:val="3D1E06B7"/>
    <w:rsid w:val="3D22018A"/>
    <w:rsid w:val="3D2C725B"/>
    <w:rsid w:val="3D2F28A7"/>
    <w:rsid w:val="3D3B56F0"/>
    <w:rsid w:val="3D3E2AEA"/>
    <w:rsid w:val="3D4C5207"/>
    <w:rsid w:val="3D54230E"/>
    <w:rsid w:val="3D5642D8"/>
    <w:rsid w:val="3D583BAC"/>
    <w:rsid w:val="3D5B369C"/>
    <w:rsid w:val="3D6F7148"/>
    <w:rsid w:val="3D711112"/>
    <w:rsid w:val="3D785FFC"/>
    <w:rsid w:val="3D8A3F82"/>
    <w:rsid w:val="3D8C7CFA"/>
    <w:rsid w:val="3DA54918"/>
    <w:rsid w:val="3DA908AC"/>
    <w:rsid w:val="3DAF5796"/>
    <w:rsid w:val="3DCB0822"/>
    <w:rsid w:val="3DD75419"/>
    <w:rsid w:val="3DDC2A2F"/>
    <w:rsid w:val="3DE2354A"/>
    <w:rsid w:val="3DE2791A"/>
    <w:rsid w:val="3DE43692"/>
    <w:rsid w:val="3DE73182"/>
    <w:rsid w:val="3DE9514C"/>
    <w:rsid w:val="3DF15DAF"/>
    <w:rsid w:val="3DF31B27"/>
    <w:rsid w:val="3DF8713D"/>
    <w:rsid w:val="3E015FF2"/>
    <w:rsid w:val="3E1F291C"/>
    <w:rsid w:val="3E2241BA"/>
    <w:rsid w:val="3E2F1C78"/>
    <w:rsid w:val="3E3A1504"/>
    <w:rsid w:val="3E4405D4"/>
    <w:rsid w:val="3E491747"/>
    <w:rsid w:val="3E4D7143"/>
    <w:rsid w:val="3E5325C6"/>
    <w:rsid w:val="3E66679D"/>
    <w:rsid w:val="3E703177"/>
    <w:rsid w:val="3E8B1D5F"/>
    <w:rsid w:val="3E8B74CC"/>
    <w:rsid w:val="3E921340"/>
    <w:rsid w:val="3EA177D5"/>
    <w:rsid w:val="3EA6303D"/>
    <w:rsid w:val="3EA66B99"/>
    <w:rsid w:val="3EA82911"/>
    <w:rsid w:val="3EC139D3"/>
    <w:rsid w:val="3EC86B10"/>
    <w:rsid w:val="3ECD4126"/>
    <w:rsid w:val="3EDA0523"/>
    <w:rsid w:val="3EE15E23"/>
    <w:rsid w:val="3EE576C2"/>
    <w:rsid w:val="3EE85404"/>
    <w:rsid w:val="3EFF3AEB"/>
    <w:rsid w:val="3F0A35CC"/>
    <w:rsid w:val="3F0B2EA0"/>
    <w:rsid w:val="3F2301EA"/>
    <w:rsid w:val="3F2F3033"/>
    <w:rsid w:val="3F3B3E38"/>
    <w:rsid w:val="3F424B14"/>
    <w:rsid w:val="3F43263A"/>
    <w:rsid w:val="3F505FCA"/>
    <w:rsid w:val="3F6251B6"/>
    <w:rsid w:val="3F7647BE"/>
    <w:rsid w:val="3F827606"/>
    <w:rsid w:val="3F84512C"/>
    <w:rsid w:val="3F982986"/>
    <w:rsid w:val="3F9A4950"/>
    <w:rsid w:val="3F9D61EE"/>
    <w:rsid w:val="3FA96941"/>
    <w:rsid w:val="3FB3156E"/>
    <w:rsid w:val="3FCC262F"/>
    <w:rsid w:val="3FDB6D16"/>
    <w:rsid w:val="3FE060DB"/>
    <w:rsid w:val="4001677D"/>
    <w:rsid w:val="400D3374"/>
    <w:rsid w:val="4025404D"/>
    <w:rsid w:val="40275AB8"/>
    <w:rsid w:val="402A599F"/>
    <w:rsid w:val="402B55A8"/>
    <w:rsid w:val="402C30CE"/>
    <w:rsid w:val="403501D5"/>
    <w:rsid w:val="4041301D"/>
    <w:rsid w:val="40477F08"/>
    <w:rsid w:val="404843AC"/>
    <w:rsid w:val="40672358"/>
    <w:rsid w:val="407A6407"/>
    <w:rsid w:val="40826DB1"/>
    <w:rsid w:val="409018AF"/>
    <w:rsid w:val="40AF442B"/>
    <w:rsid w:val="40B04727"/>
    <w:rsid w:val="40B05AAD"/>
    <w:rsid w:val="40B41A41"/>
    <w:rsid w:val="40C477AB"/>
    <w:rsid w:val="40CB1D5D"/>
    <w:rsid w:val="40E67721"/>
    <w:rsid w:val="40EB11DB"/>
    <w:rsid w:val="40F956A6"/>
    <w:rsid w:val="41035E8D"/>
    <w:rsid w:val="41362456"/>
    <w:rsid w:val="41405083"/>
    <w:rsid w:val="414F176A"/>
    <w:rsid w:val="4177481D"/>
    <w:rsid w:val="417D3AB0"/>
    <w:rsid w:val="417E7959"/>
    <w:rsid w:val="4181579E"/>
    <w:rsid w:val="41986C6D"/>
    <w:rsid w:val="41A35612"/>
    <w:rsid w:val="41AC2719"/>
    <w:rsid w:val="41BE1E6A"/>
    <w:rsid w:val="41C95079"/>
    <w:rsid w:val="41CC6917"/>
    <w:rsid w:val="41D91034"/>
    <w:rsid w:val="41DD0B24"/>
    <w:rsid w:val="41DD13BD"/>
    <w:rsid w:val="41E9571B"/>
    <w:rsid w:val="4200449D"/>
    <w:rsid w:val="42236553"/>
    <w:rsid w:val="423050F8"/>
    <w:rsid w:val="42336996"/>
    <w:rsid w:val="423A3BCC"/>
    <w:rsid w:val="423A5F76"/>
    <w:rsid w:val="42426BD9"/>
    <w:rsid w:val="4249440B"/>
    <w:rsid w:val="424E57D2"/>
    <w:rsid w:val="42576B28"/>
    <w:rsid w:val="425828A0"/>
    <w:rsid w:val="425A2175"/>
    <w:rsid w:val="42733236"/>
    <w:rsid w:val="427D1FB4"/>
    <w:rsid w:val="427E6FE6"/>
    <w:rsid w:val="427F7E2D"/>
    <w:rsid w:val="42890CAC"/>
    <w:rsid w:val="42AB29D0"/>
    <w:rsid w:val="42B26C49"/>
    <w:rsid w:val="42B37AD7"/>
    <w:rsid w:val="42CB4E20"/>
    <w:rsid w:val="42CF15C4"/>
    <w:rsid w:val="42E14644"/>
    <w:rsid w:val="42E80B4B"/>
    <w:rsid w:val="42F04887"/>
    <w:rsid w:val="432033BE"/>
    <w:rsid w:val="432509D4"/>
    <w:rsid w:val="4326474D"/>
    <w:rsid w:val="4337061D"/>
    <w:rsid w:val="433A6FE6"/>
    <w:rsid w:val="433C7ACC"/>
    <w:rsid w:val="43480868"/>
    <w:rsid w:val="4350713C"/>
    <w:rsid w:val="43614853"/>
    <w:rsid w:val="436653E0"/>
    <w:rsid w:val="436A4639"/>
    <w:rsid w:val="436E6F23"/>
    <w:rsid w:val="43813731"/>
    <w:rsid w:val="43853221"/>
    <w:rsid w:val="438576C5"/>
    <w:rsid w:val="43A35D9D"/>
    <w:rsid w:val="43A713E9"/>
    <w:rsid w:val="43AC4C52"/>
    <w:rsid w:val="43AF029E"/>
    <w:rsid w:val="43BC29BB"/>
    <w:rsid w:val="43C024AB"/>
    <w:rsid w:val="43C4431A"/>
    <w:rsid w:val="43CD4BC8"/>
    <w:rsid w:val="43E3619A"/>
    <w:rsid w:val="43E53CC0"/>
    <w:rsid w:val="43F263DD"/>
    <w:rsid w:val="43F403A7"/>
    <w:rsid w:val="43FD725B"/>
    <w:rsid w:val="44110F59"/>
    <w:rsid w:val="441B3B85"/>
    <w:rsid w:val="442A3DC9"/>
    <w:rsid w:val="44456E86"/>
    <w:rsid w:val="445552E9"/>
    <w:rsid w:val="44670B79"/>
    <w:rsid w:val="4484797D"/>
    <w:rsid w:val="448B0D0B"/>
    <w:rsid w:val="44906321"/>
    <w:rsid w:val="44B951CC"/>
    <w:rsid w:val="44BC0EC5"/>
    <w:rsid w:val="44BE2E8F"/>
    <w:rsid w:val="44C164DB"/>
    <w:rsid w:val="44C935E1"/>
    <w:rsid w:val="44CD14E0"/>
    <w:rsid w:val="44D8518B"/>
    <w:rsid w:val="44E65F41"/>
    <w:rsid w:val="44EB3558"/>
    <w:rsid w:val="44F20B0B"/>
    <w:rsid w:val="44F52628"/>
    <w:rsid w:val="44F763A1"/>
    <w:rsid w:val="44FF0DB1"/>
    <w:rsid w:val="45242262"/>
    <w:rsid w:val="45280308"/>
    <w:rsid w:val="452B604A"/>
    <w:rsid w:val="452E5F4C"/>
    <w:rsid w:val="453A628D"/>
    <w:rsid w:val="453C0257"/>
    <w:rsid w:val="454D612E"/>
    <w:rsid w:val="455A06DD"/>
    <w:rsid w:val="455A248C"/>
    <w:rsid w:val="455F497A"/>
    <w:rsid w:val="45612018"/>
    <w:rsid w:val="4565155C"/>
    <w:rsid w:val="456C2177"/>
    <w:rsid w:val="456D0411"/>
    <w:rsid w:val="4582210E"/>
    <w:rsid w:val="458946E9"/>
    <w:rsid w:val="4597723C"/>
    <w:rsid w:val="45A47C0E"/>
    <w:rsid w:val="45B47DEE"/>
    <w:rsid w:val="45C06792"/>
    <w:rsid w:val="45CD0EAF"/>
    <w:rsid w:val="45E16709"/>
    <w:rsid w:val="45ED3300"/>
    <w:rsid w:val="460A3EB2"/>
    <w:rsid w:val="46152F37"/>
    <w:rsid w:val="461865CE"/>
    <w:rsid w:val="46205483"/>
    <w:rsid w:val="4622744D"/>
    <w:rsid w:val="46252A99"/>
    <w:rsid w:val="4631143E"/>
    <w:rsid w:val="46317690"/>
    <w:rsid w:val="463E3B5B"/>
    <w:rsid w:val="46454EEA"/>
    <w:rsid w:val="46577FD6"/>
    <w:rsid w:val="465E0ACC"/>
    <w:rsid w:val="466435C2"/>
    <w:rsid w:val="46787D24"/>
    <w:rsid w:val="46805F22"/>
    <w:rsid w:val="468B4FF2"/>
    <w:rsid w:val="468F5AFD"/>
    <w:rsid w:val="4694372B"/>
    <w:rsid w:val="46965745"/>
    <w:rsid w:val="469F284C"/>
    <w:rsid w:val="46A33E1C"/>
    <w:rsid w:val="46A56407"/>
    <w:rsid w:val="46B502C1"/>
    <w:rsid w:val="46C2653A"/>
    <w:rsid w:val="46C91677"/>
    <w:rsid w:val="46CB53EF"/>
    <w:rsid w:val="46CE4EDF"/>
    <w:rsid w:val="46D955A7"/>
    <w:rsid w:val="46E44703"/>
    <w:rsid w:val="46E75FA1"/>
    <w:rsid w:val="47133957"/>
    <w:rsid w:val="471C3E9C"/>
    <w:rsid w:val="47226FD9"/>
    <w:rsid w:val="47262F6D"/>
    <w:rsid w:val="47637D1D"/>
    <w:rsid w:val="4780267D"/>
    <w:rsid w:val="479954ED"/>
    <w:rsid w:val="47A07E0C"/>
    <w:rsid w:val="47A10846"/>
    <w:rsid w:val="47B57E4D"/>
    <w:rsid w:val="47B9793D"/>
    <w:rsid w:val="47C167F2"/>
    <w:rsid w:val="47CA1B4A"/>
    <w:rsid w:val="47D46525"/>
    <w:rsid w:val="47E04ECA"/>
    <w:rsid w:val="47E10C42"/>
    <w:rsid w:val="47ED3A8B"/>
    <w:rsid w:val="47F15329"/>
    <w:rsid w:val="47F838C9"/>
    <w:rsid w:val="47FB1D04"/>
    <w:rsid w:val="48030BB8"/>
    <w:rsid w:val="481E1E96"/>
    <w:rsid w:val="48256D81"/>
    <w:rsid w:val="482C010F"/>
    <w:rsid w:val="48382F58"/>
    <w:rsid w:val="48594C7C"/>
    <w:rsid w:val="48693111"/>
    <w:rsid w:val="4870272E"/>
    <w:rsid w:val="4880045B"/>
    <w:rsid w:val="488B752C"/>
    <w:rsid w:val="48AB7349"/>
    <w:rsid w:val="48B13B07"/>
    <w:rsid w:val="48C4659A"/>
    <w:rsid w:val="48CC544E"/>
    <w:rsid w:val="48D367DD"/>
    <w:rsid w:val="48DF1625"/>
    <w:rsid w:val="48EF4315"/>
    <w:rsid w:val="48FF5824"/>
    <w:rsid w:val="491237A9"/>
    <w:rsid w:val="491D5CAA"/>
    <w:rsid w:val="491F1F08"/>
    <w:rsid w:val="49303C2F"/>
    <w:rsid w:val="49343EF0"/>
    <w:rsid w:val="493F3E72"/>
    <w:rsid w:val="49641B2B"/>
    <w:rsid w:val="497004D0"/>
    <w:rsid w:val="497A134E"/>
    <w:rsid w:val="49815EF7"/>
    <w:rsid w:val="49A87BD0"/>
    <w:rsid w:val="49B4660E"/>
    <w:rsid w:val="49BC54C3"/>
    <w:rsid w:val="49BE123B"/>
    <w:rsid w:val="49C64593"/>
    <w:rsid w:val="49D56585"/>
    <w:rsid w:val="49DC7715"/>
    <w:rsid w:val="49DE7B2F"/>
    <w:rsid w:val="49E52C6C"/>
    <w:rsid w:val="49E62540"/>
    <w:rsid w:val="4A01737A"/>
    <w:rsid w:val="4A023139"/>
    <w:rsid w:val="4A235542"/>
    <w:rsid w:val="4A282B58"/>
    <w:rsid w:val="4A2C2648"/>
    <w:rsid w:val="4A2F2139"/>
    <w:rsid w:val="4A370FED"/>
    <w:rsid w:val="4A3C6914"/>
    <w:rsid w:val="4A49144C"/>
    <w:rsid w:val="4A4E6A63"/>
    <w:rsid w:val="4A525E27"/>
    <w:rsid w:val="4A5B4CDC"/>
    <w:rsid w:val="4A7B576F"/>
    <w:rsid w:val="4A7D2EA4"/>
    <w:rsid w:val="4A800BE6"/>
    <w:rsid w:val="4A857FAB"/>
    <w:rsid w:val="4A963F66"/>
    <w:rsid w:val="4A9D70A2"/>
    <w:rsid w:val="4AA76173"/>
    <w:rsid w:val="4AB60164"/>
    <w:rsid w:val="4ABB1C1E"/>
    <w:rsid w:val="4ACC3E2B"/>
    <w:rsid w:val="4AE46ED4"/>
    <w:rsid w:val="4AEC002A"/>
    <w:rsid w:val="4AF313B8"/>
    <w:rsid w:val="4AF561A9"/>
    <w:rsid w:val="4AFD5D93"/>
    <w:rsid w:val="4AFF1B0B"/>
    <w:rsid w:val="4B013AD5"/>
    <w:rsid w:val="4B0E7FA0"/>
    <w:rsid w:val="4B105AC6"/>
    <w:rsid w:val="4B1732F9"/>
    <w:rsid w:val="4B18077C"/>
    <w:rsid w:val="4B182BCD"/>
    <w:rsid w:val="4B241572"/>
    <w:rsid w:val="4B2652EA"/>
    <w:rsid w:val="4B490FD8"/>
    <w:rsid w:val="4B5A31E5"/>
    <w:rsid w:val="4B756271"/>
    <w:rsid w:val="4B7C315C"/>
    <w:rsid w:val="4B8464B4"/>
    <w:rsid w:val="4B863FDA"/>
    <w:rsid w:val="4B895879"/>
    <w:rsid w:val="4B8B3C42"/>
    <w:rsid w:val="4B8D7117"/>
    <w:rsid w:val="4B92472D"/>
    <w:rsid w:val="4B985ABC"/>
    <w:rsid w:val="4B9E7576"/>
    <w:rsid w:val="4BA821A3"/>
    <w:rsid w:val="4BA95F1B"/>
    <w:rsid w:val="4BB74194"/>
    <w:rsid w:val="4BBF74EC"/>
    <w:rsid w:val="4BD16BB3"/>
    <w:rsid w:val="4BDE5BC4"/>
    <w:rsid w:val="4BDF36EB"/>
    <w:rsid w:val="4BE56F53"/>
    <w:rsid w:val="4BE64A79"/>
    <w:rsid w:val="4BEA27BB"/>
    <w:rsid w:val="4BED5E07"/>
    <w:rsid w:val="4BF52F0E"/>
    <w:rsid w:val="4BF70A34"/>
    <w:rsid w:val="4BFA22D2"/>
    <w:rsid w:val="4C1B2975"/>
    <w:rsid w:val="4C1C66ED"/>
    <w:rsid w:val="4C2D252F"/>
    <w:rsid w:val="4C3A6B73"/>
    <w:rsid w:val="4C4A0649"/>
    <w:rsid w:val="4C4B0D80"/>
    <w:rsid w:val="4C6D0CF6"/>
    <w:rsid w:val="4C735A0D"/>
    <w:rsid w:val="4C79769B"/>
    <w:rsid w:val="4C7E5ECA"/>
    <w:rsid w:val="4C8147A2"/>
    <w:rsid w:val="4C876AA5"/>
    <w:rsid w:val="4C8F3363"/>
    <w:rsid w:val="4CAF7561"/>
    <w:rsid w:val="4CBB4158"/>
    <w:rsid w:val="4CCA7EF7"/>
    <w:rsid w:val="4CD11285"/>
    <w:rsid w:val="4CD32435"/>
    <w:rsid w:val="4CE4720A"/>
    <w:rsid w:val="4CE865CF"/>
    <w:rsid w:val="4CF73556"/>
    <w:rsid w:val="4CF87F48"/>
    <w:rsid w:val="4CFD02CC"/>
    <w:rsid w:val="4D0E00FB"/>
    <w:rsid w:val="4D176606"/>
    <w:rsid w:val="4D21045F"/>
    <w:rsid w:val="4D2A07B6"/>
    <w:rsid w:val="4D2C6E03"/>
    <w:rsid w:val="4D3006A2"/>
    <w:rsid w:val="4D3857A8"/>
    <w:rsid w:val="4D447CA9"/>
    <w:rsid w:val="4D5A127B"/>
    <w:rsid w:val="4D6C7200"/>
    <w:rsid w:val="4D875DE8"/>
    <w:rsid w:val="4D8B58D8"/>
    <w:rsid w:val="4D8B6D49"/>
    <w:rsid w:val="4D8C33FE"/>
    <w:rsid w:val="4D9329DF"/>
    <w:rsid w:val="4D9724CF"/>
    <w:rsid w:val="4DA22C22"/>
    <w:rsid w:val="4DA93FB0"/>
    <w:rsid w:val="4DBC0187"/>
    <w:rsid w:val="4DBC1F35"/>
    <w:rsid w:val="4DD3727F"/>
    <w:rsid w:val="4DEC4FB0"/>
    <w:rsid w:val="4DFF1193"/>
    <w:rsid w:val="4E075D8A"/>
    <w:rsid w:val="4E08517B"/>
    <w:rsid w:val="4E0B6A19"/>
    <w:rsid w:val="4E173610"/>
    <w:rsid w:val="4E241889"/>
    <w:rsid w:val="4E395334"/>
    <w:rsid w:val="4E54216E"/>
    <w:rsid w:val="4E577EB0"/>
    <w:rsid w:val="4E720846"/>
    <w:rsid w:val="4E8011B5"/>
    <w:rsid w:val="4E854A1D"/>
    <w:rsid w:val="4E8B1908"/>
    <w:rsid w:val="4E980DB4"/>
    <w:rsid w:val="4E992277"/>
    <w:rsid w:val="4EA07161"/>
    <w:rsid w:val="4EA2112B"/>
    <w:rsid w:val="4EC00FAD"/>
    <w:rsid w:val="4EC866B8"/>
    <w:rsid w:val="4ED908C5"/>
    <w:rsid w:val="4EE74D90"/>
    <w:rsid w:val="4EEF00E8"/>
    <w:rsid w:val="4EFC475B"/>
    <w:rsid w:val="4F0771E0"/>
    <w:rsid w:val="4F1D6A04"/>
    <w:rsid w:val="4F1F09CE"/>
    <w:rsid w:val="4F204746"/>
    <w:rsid w:val="4F244236"/>
    <w:rsid w:val="4F2A7373"/>
    <w:rsid w:val="4F2F6737"/>
    <w:rsid w:val="4F3A75B6"/>
    <w:rsid w:val="4F4641AC"/>
    <w:rsid w:val="4F487DE6"/>
    <w:rsid w:val="4F4B17C3"/>
    <w:rsid w:val="4F7A5C04"/>
    <w:rsid w:val="4F9843DC"/>
    <w:rsid w:val="4FA2515B"/>
    <w:rsid w:val="4FAC7D88"/>
    <w:rsid w:val="4FBC446F"/>
    <w:rsid w:val="4FC62A8C"/>
    <w:rsid w:val="4FCE5F50"/>
    <w:rsid w:val="4FDB4616"/>
    <w:rsid w:val="4FE20F0D"/>
    <w:rsid w:val="4FE51552"/>
    <w:rsid w:val="4FE90FDC"/>
    <w:rsid w:val="50055E16"/>
    <w:rsid w:val="500B2D00"/>
    <w:rsid w:val="50106568"/>
    <w:rsid w:val="501F67AB"/>
    <w:rsid w:val="50243DC2"/>
    <w:rsid w:val="502618E8"/>
    <w:rsid w:val="50290180"/>
    <w:rsid w:val="50504C4B"/>
    <w:rsid w:val="506643DA"/>
    <w:rsid w:val="50680152"/>
    <w:rsid w:val="50707007"/>
    <w:rsid w:val="507B7E86"/>
    <w:rsid w:val="50874A7C"/>
    <w:rsid w:val="508F1B83"/>
    <w:rsid w:val="509C6E7C"/>
    <w:rsid w:val="50CA6717"/>
    <w:rsid w:val="50D2381E"/>
    <w:rsid w:val="50D77086"/>
    <w:rsid w:val="50E53551"/>
    <w:rsid w:val="50F9524E"/>
    <w:rsid w:val="510734C7"/>
    <w:rsid w:val="510F1C3C"/>
    <w:rsid w:val="51272EB1"/>
    <w:rsid w:val="51312C3A"/>
    <w:rsid w:val="51363DAD"/>
    <w:rsid w:val="513F5357"/>
    <w:rsid w:val="51404C2B"/>
    <w:rsid w:val="5162104E"/>
    <w:rsid w:val="5167040A"/>
    <w:rsid w:val="5167665C"/>
    <w:rsid w:val="516F72BF"/>
    <w:rsid w:val="51764AF1"/>
    <w:rsid w:val="517B2107"/>
    <w:rsid w:val="5180327A"/>
    <w:rsid w:val="51905BB3"/>
    <w:rsid w:val="519F5DF6"/>
    <w:rsid w:val="51A27694"/>
    <w:rsid w:val="51AB479B"/>
    <w:rsid w:val="51B11685"/>
    <w:rsid w:val="51B80C66"/>
    <w:rsid w:val="51BD44CE"/>
    <w:rsid w:val="51C25640"/>
    <w:rsid w:val="51C4760A"/>
    <w:rsid w:val="51D75590"/>
    <w:rsid w:val="51DA0BDC"/>
    <w:rsid w:val="51DE0AB0"/>
    <w:rsid w:val="51ED4DB3"/>
    <w:rsid w:val="52005794"/>
    <w:rsid w:val="520B348B"/>
    <w:rsid w:val="52157E66"/>
    <w:rsid w:val="5217598C"/>
    <w:rsid w:val="523302EC"/>
    <w:rsid w:val="52377DDC"/>
    <w:rsid w:val="52500E9E"/>
    <w:rsid w:val="52546BE0"/>
    <w:rsid w:val="525564B4"/>
    <w:rsid w:val="5278367D"/>
    <w:rsid w:val="528172AA"/>
    <w:rsid w:val="52976ACD"/>
    <w:rsid w:val="529A3CEF"/>
    <w:rsid w:val="52B15DE1"/>
    <w:rsid w:val="52C04276"/>
    <w:rsid w:val="52C11A6B"/>
    <w:rsid w:val="52C5363A"/>
    <w:rsid w:val="52C673B2"/>
    <w:rsid w:val="52E2243E"/>
    <w:rsid w:val="52F45CCD"/>
    <w:rsid w:val="52F83A10"/>
    <w:rsid w:val="52F91536"/>
    <w:rsid w:val="52FC2DD4"/>
    <w:rsid w:val="52FE08FA"/>
    <w:rsid w:val="53057EDB"/>
    <w:rsid w:val="53080462"/>
    <w:rsid w:val="5313095F"/>
    <w:rsid w:val="531B14AC"/>
    <w:rsid w:val="5333072D"/>
    <w:rsid w:val="534C5B09"/>
    <w:rsid w:val="53530C46"/>
    <w:rsid w:val="536015B5"/>
    <w:rsid w:val="53656BCB"/>
    <w:rsid w:val="536C1D08"/>
    <w:rsid w:val="53837051"/>
    <w:rsid w:val="53986FA1"/>
    <w:rsid w:val="53A039CC"/>
    <w:rsid w:val="53A1505A"/>
    <w:rsid w:val="53AE2320"/>
    <w:rsid w:val="53DD2C05"/>
    <w:rsid w:val="53E144A4"/>
    <w:rsid w:val="53E775E0"/>
    <w:rsid w:val="53F341D7"/>
    <w:rsid w:val="53F8359B"/>
    <w:rsid w:val="54063E08"/>
    <w:rsid w:val="540E7263"/>
    <w:rsid w:val="54106A08"/>
    <w:rsid w:val="543437E8"/>
    <w:rsid w:val="543F11CA"/>
    <w:rsid w:val="544607AB"/>
    <w:rsid w:val="54501629"/>
    <w:rsid w:val="54505185"/>
    <w:rsid w:val="54556C40"/>
    <w:rsid w:val="545E3D46"/>
    <w:rsid w:val="54644E91"/>
    <w:rsid w:val="547660BF"/>
    <w:rsid w:val="54901A26"/>
    <w:rsid w:val="54952FF8"/>
    <w:rsid w:val="549E2E65"/>
    <w:rsid w:val="54C167FA"/>
    <w:rsid w:val="54EB3100"/>
    <w:rsid w:val="54F73313"/>
    <w:rsid w:val="54F80955"/>
    <w:rsid w:val="54FB1595"/>
    <w:rsid w:val="54FC70BB"/>
    <w:rsid w:val="55344AA7"/>
    <w:rsid w:val="553920BD"/>
    <w:rsid w:val="553E2C9F"/>
    <w:rsid w:val="554A6079"/>
    <w:rsid w:val="555170A7"/>
    <w:rsid w:val="55517407"/>
    <w:rsid w:val="55717AA9"/>
    <w:rsid w:val="557355CF"/>
    <w:rsid w:val="5587536D"/>
    <w:rsid w:val="558A46C7"/>
    <w:rsid w:val="559519EA"/>
    <w:rsid w:val="559B174B"/>
    <w:rsid w:val="559E0172"/>
    <w:rsid w:val="55C93441"/>
    <w:rsid w:val="55CE0CF4"/>
    <w:rsid w:val="55CE2806"/>
    <w:rsid w:val="55DD6EED"/>
    <w:rsid w:val="55E95892"/>
    <w:rsid w:val="55F14746"/>
    <w:rsid w:val="55F52488"/>
    <w:rsid w:val="5604091D"/>
    <w:rsid w:val="561F12B3"/>
    <w:rsid w:val="5627460C"/>
    <w:rsid w:val="56327239"/>
    <w:rsid w:val="56496330"/>
    <w:rsid w:val="564C7BCE"/>
    <w:rsid w:val="56551179"/>
    <w:rsid w:val="566118CC"/>
    <w:rsid w:val="56633896"/>
    <w:rsid w:val="567A0BDF"/>
    <w:rsid w:val="567C04B4"/>
    <w:rsid w:val="568B06F7"/>
    <w:rsid w:val="569021B1"/>
    <w:rsid w:val="56927CD7"/>
    <w:rsid w:val="56981066"/>
    <w:rsid w:val="56B22A9C"/>
    <w:rsid w:val="56D227CA"/>
    <w:rsid w:val="56D51B57"/>
    <w:rsid w:val="56F049FE"/>
    <w:rsid w:val="56F664B8"/>
    <w:rsid w:val="571701DC"/>
    <w:rsid w:val="571B4873"/>
    <w:rsid w:val="571C3A45"/>
    <w:rsid w:val="571C75AD"/>
    <w:rsid w:val="571E5A0F"/>
    <w:rsid w:val="57234DD3"/>
    <w:rsid w:val="57323268"/>
    <w:rsid w:val="574216FD"/>
    <w:rsid w:val="574C257C"/>
    <w:rsid w:val="575150B1"/>
    <w:rsid w:val="57566F57"/>
    <w:rsid w:val="5778511F"/>
    <w:rsid w:val="5789732C"/>
    <w:rsid w:val="57917F8F"/>
    <w:rsid w:val="57A9177C"/>
    <w:rsid w:val="57B10631"/>
    <w:rsid w:val="57B72A76"/>
    <w:rsid w:val="57B91294"/>
    <w:rsid w:val="57C3426C"/>
    <w:rsid w:val="57CA524F"/>
    <w:rsid w:val="57CD1FA4"/>
    <w:rsid w:val="57CE1F93"/>
    <w:rsid w:val="57D33473"/>
    <w:rsid w:val="57E00F16"/>
    <w:rsid w:val="57EA769F"/>
    <w:rsid w:val="57F95B34"/>
    <w:rsid w:val="5818420C"/>
    <w:rsid w:val="58207565"/>
    <w:rsid w:val="582B03E3"/>
    <w:rsid w:val="584E5E80"/>
    <w:rsid w:val="58580AAD"/>
    <w:rsid w:val="585A4825"/>
    <w:rsid w:val="58675193"/>
    <w:rsid w:val="58845D45"/>
    <w:rsid w:val="588743D1"/>
    <w:rsid w:val="5887701A"/>
    <w:rsid w:val="58937D37"/>
    <w:rsid w:val="589F0489"/>
    <w:rsid w:val="58AE691E"/>
    <w:rsid w:val="58B32187"/>
    <w:rsid w:val="58E10AA2"/>
    <w:rsid w:val="58FC1D80"/>
    <w:rsid w:val="590370D7"/>
    <w:rsid w:val="591E1CF6"/>
    <w:rsid w:val="59215342"/>
    <w:rsid w:val="59266DFD"/>
    <w:rsid w:val="593257A1"/>
    <w:rsid w:val="594352B9"/>
    <w:rsid w:val="5955323E"/>
    <w:rsid w:val="595C45CC"/>
    <w:rsid w:val="596516D3"/>
    <w:rsid w:val="59682F71"/>
    <w:rsid w:val="596A4F3B"/>
    <w:rsid w:val="596F60AE"/>
    <w:rsid w:val="59725B9E"/>
    <w:rsid w:val="59747B68"/>
    <w:rsid w:val="597933D0"/>
    <w:rsid w:val="5979517E"/>
    <w:rsid w:val="597C532E"/>
    <w:rsid w:val="59973856"/>
    <w:rsid w:val="59981AA8"/>
    <w:rsid w:val="59AA17DC"/>
    <w:rsid w:val="59BB12F3"/>
    <w:rsid w:val="59BE7035"/>
    <w:rsid w:val="59C0439F"/>
    <w:rsid w:val="59DE1485"/>
    <w:rsid w:val="59F44805"/>
    <w:rsid w:val="59F6057D"/>
    <w:rsid w:val="59FE24C2"/>
    <w:rsid w:val="59FE7432"/>
    <w:rsid w:val="5A0E3B19"/>
    <w:rsid w:val="5A250E62"/>
    <w:rsid w:val="5A2C21F1"/>
    <w:rsid w:val="5A355549"/>
    <w:rsid w:val="5A380B96"/>
    <w:rsid w:val="5A386DE8"/>
    <w:rsid w:val="5A3A490E"/>
    <w:rsid w:val="5A3B0686"/>
    <w:rsid w:val="5A3B68D8"/>
    <w:rsid w:val="5A4237C2"/>
    <w:rsid w:val="5AA601F5"/>
    <w:rsid w:val="5ABE2233"/>
    <w:rsid w:val="5ABF4E13"/>
    <w:rsid w:val="5AC54B46"/>
    <w:rsid w:val="5AC8016B"/>
    <w:rsid w:val="5ADA39FB"/>
    <w:rsid w:val="5AF820D3"/>
    <w:rsid w:val="5AFD593B"/>
    <w:rsid w:val="5B01542B"/>
    <w:rsid w:val="5B0867BA"/>
    <w:rsid w:val="5B13515F"/>
    <w:rsid w:val="5B172EA1"/>
    <w:rsid w:val="5B182E42"/>
    <w:rsid w:val="5B323837"/>
    <w:rsid w:val="5B3C6463"/>
    <w:rsid w:val="5B417F1E"/>
    <w:rsid w:val="5B465534"/>
    <w:rsid w:val="5B4F263B"/>
    <w:rsid w:val="5B525C87"/>
    <w:rsid w:val="5B57329D"/>
    <w:rsid w:val="5B765E19"/>
    <w:rsid w:val="5B7C0F56"/>
    <w:rsid w:val="5B7C2D04"/>
    <w:rsid w:val="5B8147BE"/>
    <w:rsid w:val="5B8F2A37"/>
    <w:rsid w:val="5B94004E"/>
    <w:rsid w:val="5B975D90"/>
    <w:rsid w:val="5B9F584D"/>
    <w:rsid w:val="5BB57FC4"/>
    <w:rsid w:val="5BBB382C"/>
    <w:rsid w:val="5BBE50CA"/>
    <w:rsid w:val="5BC14BBB"/>
    <w:rsid w:val="5BDF5D95"/>
    <w:rsid w:val="5BEC1C38"/>
    <w:rsid w:val="5BEC60DC"/>
    <w:rsid w:val="5BED775E"/>
    <w:rsid w:val="5BF603EF"/>
    <w:rsid w:val="5BF62AB6"/>
    <w:rsid w:val="5BF94355"/>
    <w:rsid w:val="5BFB1170"/>
    <w:rsid w:val="5BFE7528"/>
    <w:rsid w:val="5C2869E8"/>
    <w:rsid w:val="5C2E04A2"/>
    <w:rsid w:val="5C313AEE"/>
    <w:rsid w:val="5C3830CF"/>
    <w:rsid w:val="5C5157A0"/>
    <w:rsid w:val="5C5477DD"/>
    <w:rsid w:val="5C653798"/>
    <w:rsid w:val="5C693288"/>
    <w:rsid w:val="5C69772C"/>
    <w:rsid w:val="5C7A5495"/>
    <w:rsid w:val="5C7B120D"/>
    <w:rsid w:val="5C8A1451"/>
    <w:rsid w:val="5C8F6A67"/>
    <w:rsid w:val="5C904CB9"/>
    <w:rsid w:val="5CA70254"/>
    <w:rsid w:val="5CB5471F"/>
    <w:rsid w:val="5CBA7F88"/>
    <w:rsid w:val="5CD01559"/>
    <w:rsid w:val="5CD526CC"/>
    <w:rsid w:val="5CDB3A5A"/>
    <w:rsid w:val="5CE648D9"/>
    <w:rsid w:val="5D107BA8"/>
    <w:rsid w:val="5D123D88"/>
    <w:rsid w:val="5D261179"/>
    <w:rsid w:val="5D2D2508"/>
    <w:rsid w:val="5D331AE8"/>
    <w:rsid w:val="5D3D64C3"/>
    <w:rsid w:val="5D494E68"/>
    <w:rsid w:val="5D573A29"/>
    <w:rsid w:val="5D5757D7"/>
    <w:rsid w:val="5D60466A"/>
    <w:rsid w:val="5D6972B8"/>
    <w:rsid w:val="5D6F2B20"/>
    <w:rsid w:val="5D7A14C5"/>
    <w:rsid w:val="5D883BE2"/>
    <w:rsid w:val="5D902A97"/>
    <w:rsid w:val="5DB46785"/>
    <w:rsid w:val="5DB91FED"/>
    <w:rsid w:val="5DBC1ADE"/>
    <w:rsid w:val="5DBC7D30"/>
    <w:rsid w:val="5DC866D4"/>
    <w:rsid w:val="5DCD5A99"/>
    <w:rsid w:val="5DD07337"/>
    <w:rsid w:val="5DD15589"/>
    <w:rsid w:val="5DD75DAA"/>
    <w:rsid w:val="5DDE3802"/>
    <w:rsid w:val="5DE30E18"/>
    <w:rsid w:val="5E08087F"/>
    <w:rsid w:val="5E0A0A9B"/>
    <w:rsid w:val="5E0C4813"/>
    <w:rsid w:val="5E0C65C1"/>
    <w:rsid w:val="5E225DE5"/>
    <w:rsid w:val="5E2467F1"/>
    <w:rsid w:val="5E280F21"/>
    <w:rsid w:val="5E2F0501"/>
    <w:rsid w:val="5E361890"/>
    <w:rsid w:val="5E3B0C54"/>
    <w:rsid w:val="5E457D25"/>
    <w:rsid w:val="5E4A70E9"/>
    <w:rsid w:val="5E5D6E1D"/>
    <w:rsid w:val="5E7457CA"/>
    <w:rsid w:val="5E785A05"/>
    <w:rsid w:val="5E7A79CF"/>
    <w:rsid w:val="5E9D546B"/>
    <w:rsid w:val="5E9F7435"/>
    <w:rsid w:val="5EA04F5B"/>
    <w:rsid w:val="5EC24ED2"/>
    <w:rsid w:val="5ECF1260"/>
    <w:rsid w:val="5ED05841"/>
    <w:rsid w:val="5EE94B54"/>
    <w:rsid w:val="5EF7101F"/>
    <w:rsid w:val="5F0C439F"/>
    <w:rsid w:val="5F1020E1"/>
    <w:rsid w:val="5F1A2B43"/>
    <w:rsid w:val="5F1A6ABC"/>
    <w:rsid w:val="5F2609E1"/>
    <w:rsid w:val="5F4853CE"/>
    <w:rsid w:val="5F4E2C09"/>
    <w:rsid w:val="5F5244A8"/>
    <w:rsid w:val="5F5C5FB8"/>
    <w:rsid w:val="5F661D01"/>
    <w:rsid w:val="5F70492E"/>
    <w:rsid w:val="5F893C41"/>
    <w:rsid w:val="5F990328"/>
    <w:rsid w:val="5FAD7930"/>
    <w:rsid w:val="5FB7255D"/>
    <w:rsid w:val="5FB837BB"/>
    <w:rsid w:val="5FB92779"/>
    <w:rsid w:val="5FD255E8"/>
    <w:rsid w:val="5FE175D9"/>
    <w:rsid w:val="5FF90DC7"/>
    <w:rsid w:val="5FFC4413"/>
    <w:rsid w:val="6008725C"/>
    <w:rsid w:val="602045A6"/>
    <w:rsid w:val="6025396A"/>
    <w:rsid w:val="60340051"/>
    <w:rsid w:val="60600E46"/>
    <w:rsid w:val="609D5BF6"/>
    <w:rsid w:val="60B1405E"/>
    <w:rsid w:val="60B31E5F"/>
    <w:rsid w:val="60B44CEE"/>
    <w:rsid w:val="60B66CB8"/>
    <w:rsid w:val="60B82A30"/>
    <w:rsid w:val="60C2740B"/>
    <w:rsid w:val="60CC405A"/>
    <w:rsid w:val="60D55390"/>
    <w:rsid w:val="60E92BEA"/>
    <w:rsid w:val="60FF7EB4"/>
    <w:rsid w:val="610C4B2A"/>
    <w:rsid w:val="6118527D"/>
    <w:rsid w:val="611B4D6D"/>
    <w:rsid w:val="61264AB9"/>
    <w:rsid w:val="612956DC"/>
    <w:rsid w:val="613025C6"/>
    <w:rsid w:val="61377DF9"/>
    <w:rsid w:val="61406582"/>
    <w:rsid w:val="614E5143"/>
    <w:rsid w:val="615C785F"/>
    <w:rsid w:val="6162474A"/>
    <w:rsid w:val="61645D9E"/>
    <w:rsid w:val="61693D2A"/>
    <w:rsid w:val="61750921"/>
    <w:rsid w:val="6175447D"/>
    <w:rsid w:val="617A1A94"/>
    <w:rsid w:val="617E77D6"/>
    <w:rsid w:val="618B0277"/>
    <w:rsid w:val="618C17C7"/>
    <w:rsid w:val="618E7EC0"/>
    <w:rsid w:val="619568CD"/>
    <w:rsid w:val="619F599E"/>
    <w:rsid w:val="61A11716"/>
    <w:rsid w:val="61A3723C"/>
    <w:rsid w:val="61A62889"/>
    <w:rsid w:val="61B13504"/>
    <w:rsid w:val="61C64CD9"/>
    <w:rsid w:val="61C76291"/>
    <w:rsid w:val="61CD6067"/>
    <w:rsid w:val="61E215D8"/>
    <w:rsid w:val="61EA4E6B"/>
    <w:rsid w:val="61F41846"/>
    <w:rsid w:val="621B3775"/>
    <w:rsid w:val="6223037D"/>
    <w:rsid w:val="622B7232"/>
    <w:rsid w:val="62364782"/>
    <w:rsid w:val="6239194F"/>
    <w:rsid w:val="62426A55"/>
    <w:rsid w:val="62465E1A"/>
    <w:rsid w:val="62483940"/>
    <w:rsid w:val="62497C32"/>
    <w:rsid w:val="624C1682"/>
    <w:rsid w:val="625247BE"/>
    <w:rsid w:val="62562501"/>
    <w:rsid w:val="62650335"/>
    <w:rsid w:val="6267026A"/>
    <w:rsid w:val="62764951"/>
    <w:rsid w:val="6280757E"/>
    <w:rsid w:val="62943029"/>
    <w:rsid w:val="6299063F"/>
    <w:rsid w:val="62AE40EB"/>
    <w:rsid w:val="62B2525D"/>
    <w:rsid w:val="62B375BB"/>
    <w:rsid w:val="62B47227"/>
    <w:rsid w:val="62C27B96"/>
    <w:rsid w:val="62C9714A"/>
    <w:rsid w:val="62CC27C3"/>
    <w:rsid w:val="62E4650E"/>
    <w:rsid w:val="62F13FD7"/>
    <w:rsid w:val="62FE04A2"/>
    <w:rsid w:val="631303F2"/>
    <w:rsid w:val="63161C90"/>
    <w:rsid w:val="632B74E9"/>
    <w:rsid w:val="632C5010"/>
    <w:rsid w:val="63347E65"/>
    <w:rsid w:val="634B7B8C"/>
    <w:rsid w:val="63585E05"/>
    <w:rsid w:val="636447A9"/>
    <w:rsid w:val="637D586B"/>
    <w:rsid w:val="638766EA"/>
    <w:rsid w:val="6393508F"/>
    <w:rsid w:val="6394356A"/>
    <w:rsid w:val="63BC2837"/>
    <w:rsid w:val="63C61B2C"/>
    <w:rsid w:val="63D40BE9"/>
    <w:rsid w:val="63E1229E"/>
    <w:rsid w:val="64102431"/>
    <w:rsid w:val="64153CF6"/>
    <w:rsid w:val="64191A38"/>
    <w:rsid w:val="6424218B"/>
    <w:rsid w:val="642503DD"/>
    <w:rsid w:val="64322AF9"/>
    <w:rsid w:val="643423CE"/>
    <w:rsid w:val="64462101"/>
    <w:rsid w:val="644D348F"/>
    <w:rsid w:val="64616F3B"/>
    <w:rsid w:val="64801AB7"/>
    <w:rsid w:val="64803865"/>
    <w:rsid w:val="648A0240"/>
    <w:rsid w:val="648C220A"/>
    <w:rsid w:val="649E3CEB"/>
    <w:rsid w:val="64A15589"/>
    <w:rsid w:val="64A5243A"/>
    <w:rsid w:val="64AF414A"/>
    <w:rsid w:val="64D3668C"/>
    <w:rsid w:val="64E75692"/>
    <w:rsid w:val="64F1593F"/>
    <w:rsid w:val="64F531DE"/>
    <w:rsid w:val="64FF0C2E"/>
    <w:rsid w:val="65060EC8"/>
    <w:rsid w:val="651619BC"/>
    <w:rsid w:val="65222B6E"/>
    <w:rsid w:val="65240694"/>
    <w:rsid w:val="652F2B95"/>
    <w:rsid w:val="65373578"/>
    <w:rsid w:val="654E74BF"/>
    <w:rsid w:val="65736F26"/>
    <w:rsid w:val="657B5DDA"/>
    <w:rsid w:val="65956E9C"/>
    <w:rsid w:val="65960E66"/>
    <w:rsid w:val="65A2780B"/>
    <w:rsid w:val="65B31A18"/>
    <w:rsid w:val="65B75DF4"/>
    <w:rsid w:val="65BD63F3"/>
    <w:rsid w:val="65DD0843"/>
    <w:rsid w:val="65DF45BB"/>
    <w:rsid w:val="65E6594A"/>
    <w:rsid w:val="65E971E8"/>
    <w:rsid w:val="65F31E15"/>
    <w:rsid w:val="65F77B57"/>
    <w:rsid w:val="66067D9A"/>
    <w:rsid w:val="66140709"/>
    <w:rsid w:val="663059EE"/>
    <w:rsid w:val="663A7A43"/>
    <w:rsid w:val="6644245E"/>
    <w:rsid w:val="6654328E"/>
    <w:rsid w:val="66652D12"/>
    <w:rsid w:val="666F593F"/>
    <w:rsid w:val="667A42E4"/>
    <w:rsid w:val="66807B4C"/>
    <w:rsid w:val="66AD6467"/>
    <w:rsid w:val="66AF0431"/>
    <w:rsid w:val="66B477F6"/>
    <w:rsid w:val="66BF7081"/>
    <w:rsid w:val="66CA526B"/>
    <w:rsid w:val="66CA7019"/>
    <w:rsid w:val="66DE4873"/>
    <w:rsid w:val="66EC6F90"/>
    <w:rsid w:val="67024A05"/>
    <w:rsid w:val="670D5158"/>
    <w:rsid w:val="670D6F06"/>
    <w:rsid w:val="671169F6"/>
    <w:rsid w:val="67177D85"/>
    <w:rsid w:val="67187556"/>
    <w:rsid w:val="671D539B"/>
    <w:rsid w:val="671F124A"/>
    <w:rsid w:val="67284B58"/>
    <w:rsid w:val="67317098"/>
    <w:rsid w:val="6735795A"/>
    <w:rsid w:val="673646AF"/>
    <w:rsid w:val="67401089"/>
    <w:rsid w:val="67423054"/>
    <w:rsid w:val="67424E02"/>
    <w:rsid w:val="675D60DF"/>
    <w:rsid w:val="67612EC4"/>
    <w:rsid w:val="677156E7"/>
    <w:rsid w:val="6779459B"/>
    <w:rsid w:val="677A33C6"/>
    <w:rsid w:val="67803B7C"/>
    <w:rsid w:val="6784541A"/>
    <w:rsid w:val="678A67A9"/>
    <w:rsid w:val="67BF6452"/>
    <w:rsid w:val="67CD2695"/>
    <w:rsid w:val="67D0065F"/>
    <w:rsid w:val="67D143D7"/>
    <w:rsid w:val="67E20393"/>
    <w:rsid w:val="67F56318"/>
    <w:rsid w:val="67F81964"/>
    <w:rsid w:val="67F87BB6"/>
    <w:rsid w:val="68064081"/>
    <w:rsid w:val="68126ECA"/>
    <w:rsid w:val="68183DB4"/>
    <w:rsid w:val="681F6961"/>
    <w:rsid w:val="682664D1"/>
    <w:rsid w:val="682C160E"/>
    <w:rsid w:val="683139C0"/>
    <w:rsid w:val="6833299C"/>
    <w:rsid w:val="684352D5"/>
    <w:rsid w:val="684B23DC"/>
    <w:rsid w:val="684B5F38"/>
    <w:rsid w:val="68534DEC"/>
    <w:rsid w:val="68610A2F"/>
    <w:rsid w:val="68660FC4"/>
    <w:rsid w:val="68752FB5"/>
    <w:rsid w:val="687C4343"/>
    <w:rsid w:val="68805514"/>
    <w:rsid w:val="68810C55"/>
    <w:rsid w:val="68B43ADD"/>
    <w:rsid w:val="68B57855"/>
    <w:rsid w:val="68BA4E6C"/>
    <w:rsid w:val="68C77CB4"/>
    <w:rsid w:val="68CC52CB"/>
    <w:rsid w:val="68D423D1"/>
    <w:rsid w:val="68DE6DAC"/>
    <w:rsid w:val="68F62348"/>
    <w:rsid w:val="68F95994"/>
    <w:rsid w:val="690B56C7"/>
    <w:rsid w:val="691C1682"/>
    <w:rsid w:val="692D388F"/>
    <w:rsid w:val="692F13B6"/>
    <w:rsid w:val="692F585A"/>
    <w:rsid w:val="69316E2F"/>
    <w:rsid w:val="693E052C"/>
    <w:rsid w:val="6942558D"/>
    <w:rsid w:val="694C1F68"/>
    <w:rsid w:val="694E2071"/>
    <w:rsid w:val="697274F4"/>
    <w:rsid w:val="69735746"/>
    <w:rsid w:val="69766163"/>
    <w:rsid w:val="697A3B33"/>
    <w:rsid w:val="697F6B90"/>
    <w:rsid w:val="69823BDB"/>
    <w:rsid w:val="6985191D"/>
    <w:rsid w:val="698A6F34"/>
    <w:rsid w:val="699F29DF"/>
    <w:rsid w:val="69A178FF"/>
    <w:rsid w:val="69CC12FA"/>
    <w:rsid w:val="69CC4E56"/>
    <w:rsid w:val="69CE5072"/>
    <w:rsid w:val="69D44760"/>
    <w:rsid w:val="69F54B09"/>
    <w:rsid w:val="69F66377"/>
    <w:rsid w:val="69FD14B4"/>
    <w:rsid w:val="6A010FA4"/>
    <w:rsid w:val="6A0665BA"/>
    <w:rsid w:val="6A0960AB"/>
    <w:rsid w:val="6A3824EC"/>
    <w:rsid w:val="6A3A2708"/>
    <w:rsid w:val="6A3D5D54"/>
    <w:rsid w:val="6A3F387A"/>
    <w:rsid w:val="6A520EC7"/>
    <w:rsid w:val="6A537326"/>
    <w:rsid w:val="6A554E4C"/>
    <w:rsid w:val="6A674B7F"/>
    <w:rsid w:val="6A690544"/>
    <w:rsid w:val="6A6D03E7"/>
    <w:rsid w:val="6A6E23B2"/>
    <w:rsid w:val="6A7A48B2"/>
    <w:rsid w:val="6A9F256B"/>
    <w:rsid w:val="6AAB0F10"/>
    <w:rsid w:val="6ABC4ECB"/>
    <w:rsid w:val="6AC56475"/>
    <w:rsid w:val="6AD95A7D"/>
    <w:rsid w:val="6AF87E20"/>
    <w:rsid w:val="6B014FD4"/>
    <w:rsid w:val="6B030D4C"/>
    <w:rsid w:val="6B0C1C2D"/>
    <w:rsid w:val="6B153E1D"/>
    <w:rsid w:val="6B1B42E7"/>
    <w:rsid w:val="6B225676"/>
    <w:rsid w:val="6B234F4A"/>
    <w:rsid w:val="6B286A04"/>
    <w:rsid w:val="6B2D7B77"/>
    <w:rsid w:val="6B304103"/>
    <w:rsid w:val="6B322639"/>
    <w:rsid w:val="6B453112"/>
    <w:rsid w:val="6B460C38"/>
    <w:rsid w:val="6B673089"/>
    <w:rsid w:val="6B67752D"/>
    <w:rsid w:val="6B7834E8"/>
    <w:rsid w:val="6B7A6903"/>
    <w:rsid w:val="6B7C465A"/>
    <w:rsid w:val="6BA0659B"/>
    <w:rsid w:val="6BCE135A"/>
    <w:rsid w:val="6BD9731F"/>
    <w:rsid w:val="6BE26BB3"/>
    <w:rsid w:val="6BFB5EC7"/>
    <w:rsid w:val="6C150D37"/>
    <w:rsid w:val="6C1A00FB"/>
    <w:rsid w:val="6C1A5E63"/>
    <w:rsid w:val="6C1C0317"/>
    <w:rsid w:val="6C2B055A"/>
    <w:rsid w:val="6C4433CA"/>
    <w:rsid w:val="6C44786E"/>
    <w:rsid w:val="6C636C38"/>
    <w:rsid w:val="6C702411"/>
    <w:rsid w:val="6C7C2B64"/>
    <w:rsid w:val="6CA125CA"/>
    <w:rsid w:val="6CB247D7"/>
    <w:rsid w:val="6CB73B9C"/>
    <w:rsid w:val="6CC30793"/>
    <w:rsid w:val="6CC85DA9"/>
    <w:rsid w:val="6CD75FEC"/>
    <w:rsid w:val="6CE60925"/>
    <w:rsid w:val="6CEB1A97"/>
    <w:rsid w:val="6CF05300"/>
    <w:rsid w:val="6CF44DF0"/>
    <w:rsid w:val="6CFB4D33"/>
    <w:rsid w:val="6CFF5543"/>
    <w:rsid w:val="6D064B23"/>
    <w:rsid w:val="6D080DD4"/>
    <w:rsid w:val="6D0F1C2A"/>
    <w:rsid w:val="6D0F39D8"/>
    <w:rsid w:val="6D1504AB"/>
    <w:rsid w:val="6D3276C6"/>
    <w:rsid w:val="6D4318D3"/>
    <w:rsid w:val="6D4A0EB4"/>
    <w:rsid w:val="6D4A4A10"/>
    <w:rsid w:val="6D57712D"/>
    <w:rsid w:val="6D5E04BB"/>
    <w:rsid w:val="6D635AD2"/>
    <w:rsid w:val="6D673814"/>
    <w:rsid w:val="6D6830E8"/>
    <w:rsid w:val="6D8C5028"/>
    <w:rsid w:val="6D9739CD"/>
    <w:rsid w:val="6DA71E62"/>
    <w:rsid w:val="6DB1246A"/>
    <w:rsid w:val="6DB14A8F"/>
    <w:rsid w:val="6DB34098"/>
    <w:rsid w:val="6DB545B6"/>
    <w:rsid w:val="6DDB5FB0"/>
    <w:rsid w:val="6DDE33AA"/>
    <w:rsid w:val="6DE02FB4"/>
    <w:rsid w:val="6DF64B98"/>
    <w:rsid w:val="6E005A16"/>
    <w:rsid w:val="6E054DDB"/>
    <w:rsid w:val="6E0F7A08"/>
    <w:rsid w:val="6E297654"/>
    <w:rsid w:val="6E380D0C"/>
    <w:rsid w:val="6E405E13"/>
    <w:rsid w:val="6E4B4EE4"/>
    <w:rsid w:val="6E4B6C92"/>
    <w:rsid w:val="6E514CED"/>
    <w:rsid w:val="6E5641CB"/>
    <w:rsid w:val="6E58315D"/>
    <w:rsid w:val="6E5D69C5"/>
    <w:rsid w:val="6E66587A"/>
    <w:rsid w:val="6E695AB8"/>
    <w:rsid w:val="6E70494A"/>
    <w:rsid w:val="6E7F693B"/>
    <w:rsid w:val="6E873A42"/>
    <w:rsid w:val="6E9323E7"/>
    <w:rsid w:val="6E9C573F"/>
    <w:rsid w:val="6E9D5013"/>
    <w:rsid w:val="6EA6036C"/>
    <w:rsid w:val="6EAD16FA"/>
    <w:rsid w:val="6EAE0FCF"/>
    <w:rsid w:val="6EB563D5"/>
    <w:rsid w:val="6ECF78C3"/>
    <w:rsid w:val="6ED92677"/>
    <w:rsid w:val="6EF8049C"/>
    <w:rsid w:val="6F225983"/>
    <w:rsid w:val="6F265009"/>
    <w:rsid w:val="6F40256E"/>
    <w:rsid w:val="6F4F27B2"/>
    <w:rsid w:val="6F593630"/>
    <w:rsid w:val="6F6A3147"/>
    <w:rsid w:val="6F7246F2"/>
    <w:rsid w:val="6F771D08"/>
    <w:rsid w:val="6F7E6BF3"/>
    <w:rsid w:val="6F857F81"/>
    <w:rsid w:val="6F8A5598"/>
    <w:rsid w:val="6F96218E"/>
    <w:rsid w:val="6F9C351D"/>
    <w:rsid w:val="6FA7439C"/>
    <w:rsid w:val="6FC30AAA"/>
    <w:rsid w:val="6FC52A74"/>
    <w:rsid w:val="6FCA1E38"/>
    <w:rsid w:val="6FE3114C"/>
    <w:rsid w:val="6FEC1DAE"/>
    <w:rsid w:val="6FF62C2D"/>
    <w:rsid w:val="6FFC5590"/>
    <w:rsid w:val="7000585A"/>
    <w:rsid w:val="70161521"/>
    <w:rsid w:val="70205EFC"/>
    <w:rsid w:val="703B0F88"/>
    <w:rsid w:val="70441BEA"/>
    <w:rsid w:val="704E0CBB"/>
    <w:rsid w:val="704E2A69"/>
    <w:rsid w:val="704F058F"/>
    <w:rsid w:val="705F6A24"/>
    <w:rsid w:val="706D1DD0"/>
    <w:rsid w:val="707149AA"/>
    <w:rsid w:val="70730722"/>
    <w:rsid w:val="707F0E75"/>
    <w:rsid w:val="70856B87"/>
    <w:rsid w:val="70932B72"/>
    <w:rsid w:val="70981F36"/>
    <w:rsid w:val="709D12FB"/>
    <w:rsid w:val="70A3782C"/>
    <w:rsid w:val="70A72179"/>
    <w:rsid w:val="70A94143"/>
    <w:rsid w:val="70D07922"/>
    <w:rsid w:val="70D32F6E"/>
    <w:rsid w:val="70D527EE"/>
    <w:rsid w:val="70DC1E23"/>
    <w:rsid w:val="70DD5B9B"/>
    <w:rsid w:val="70E37655"/>
    <w:rsid w:val="70ED4030"/>
    <w:rsid w:val="70F353BF"/>
    <w:rsid w:val="70FF3D63"/>
    <w:rsid w:val="71080E6A"/>
    <w:rsid w:val="711517D9"/>
    <w:rsid w:val="71181D55"/>
    <w:rsid w:val="711D243B"/>
    <w:rsid w:val="713954C7"/>
    <w:rsid w:val="71597917"/>
    <w:rsid w:val="715B5300"/>
    <w:rsid w:val="71793B16"/>
    <w:rsid w:val="718F50E7"/>
    <w:rsid w:val="719E532A"/>
    <w:rsid w:val="71B20DD6"/>
    <w:rsid w:val="71B40FF2"/>
    <w:rsid w:val="71BE777B"/>
    <w:rsid w:val="71D27F8A"/>
    <w:rsid w:val="71D84CE0"/>
    <w:rsid w:val="71DE7E1D"/>
    <w:rsid w:val="71E33685"/>
    <w:rsid w:val="72007D93"/>
    <w:rsid w:val="72247F25"/>
    <w:rsid w:val="72323CC5"/>
    <w:rsid w:val="724759C2"/>
    <w:rsid w:val="72553024"/>
    <w:rsid w:val="726E73F3"/>
    <w:rsid w:val="727D3192"/>
    <w:rsid w:val="72822E9E"/>
    <w:rsid w:val="729329B5"/>
    <w:rsid w:val="72BB015E"/>
    <w:rsid w:val="72BF7C4E"/>
    <w:rsid w:val="72D07765"/>
    <w:rsid w:val="72DA4A88"/>
    <w:rsid w:val="72EB459F"/>
    <w:rsid w:val="72ED1180"/>
    <w:rsid w:val="730218E9"/>
    <w:rsid w:val="73122968"/>
    <w:rsid w:val="731A4E85"/>
    <w:rsid w:val="731F06ED"/>
    <w:rsid w:val="731F5D5E"/>
    <w:rsid w:val="73247AB1"/>
    <w:rsid w:val="7338355D"/>
    <w:rsid w:val="733F2B3D"/>
    <w:rsid w:val="73410663"/>
    <w:rsid w:val="734B3290"/>
    <w:rsid w:val="73532145"/>
    <w:rsid w:val="73832A2A"/>
    <w:rsid w:val="7386251A"/>
    <w:rsid w:val="738A025C"/>
    <w:rsid w:val="738F5872"/>
    <w:rsid w:val="73922C6D"/>
    <w:rsid w:val="73A6496A"/>
    <w:rsid w:val="73AA445A"/>
    <w:rsid w:val="73AB01D2"/>
    <w:rsid w:val="73BB0416"/>
    <w:rsid w:val="73BB1DFB"/>
    <w:rsid w:val="73C51AD5"/>
    <w:rsid w:val="73FB6A64"/>
    <w:rsid w:val="741367C5"/>
    <w:rsid w:val="741E793C"/>
    <w:rsid w:val="74213FF1"/>
    <w:rsid w:val="742F670E"/>
    <w:rsid w:val="74424693"/>
    <w:rsid w:val="745443C6"/>
    <w:rsid w:val="74561EEC"/>
    <w:rsid w:val="745E3944"/>
    <w:rsid w:val="745E5245"/>
    <w:rsid w:val="746C7962"/>
    <w:rsid w:val="747131CA"/>
    <w:rsid w:val="74982505"/>
    <w:rsid w:val="74B35591"/>
    <w:rsid w:val="74B65081"/>
    <w:rsid w:val="74C72DEA"/>
    <w:rsid w:val="74D06143"/>
    <w:rsid w:val="74D6302D"/>
    <w:rsid w:val="74DF5558"/>
    <w:rsid w:val="74E219D2"/>
    <w:rsid w:val="74E514C2"/>
    <w:rsid w:val="74E92D60"/>
    <w:rsid w:val="750162FC"/>
    <w:rsid w:val="7510653F"/>
    <w:rsid w:val="751072E3"/>
    <w:rsid w:val="75120509"/>
    <w:rsid w:val="75157FF9"/>
    <w:rsid w:val="751D2A0A"/>
    <w:rsid w:val="75265D63"/>
    <w:rsid w:val="753F5076"/>
    <w:rsid w:val="754271CA"/>
    <w:rsid w:val="754335D1"/>
    <w:rsid w:val="75640639"/>
    <w:rsid w:val="756B19C7"/>
    <w:rsid w:val="75842A89"/>
    <w:rsid w:val="759811F0"/>
    <w:rsid w:val="759929D8"/>
    <w:rsid w:val="75A5137D"/>
    <w:rsid w:val="75B23A9A"/>
    <w:rsid w:val="75BE5F9B"/>
    <w:rsid w:val="75CA0DE4"/>
    <w:rsid w:val="75CD61DE"/>
    <w:rsid w:val="75D21A46"/>
    <w:rsid w:val="75DE03EB"/>
    <w:rsid w:val="7605090C"/>
    <w:rsid w:val="761D3793"/>
    <w:rsid w:val="762304F4"/>
    <w:rsid w:val="76257199"/>
    <w:rsid w:val="7635099D"/>
    <w:rsid w:val="76397D18"/>
    <w:rsid w:val="76424E1E"/>
    <w:rsid w:val="76460A60"/>
    <w:rsid w:val="764741E2"/>
    <w:rsid w:val="76595A34"/>
    <w:rsid w:val="766D176F"/>
    <w:rsid w:val="767B0330"/>
    <w:rsid w:val="76937428"/>
    <w:rsid w:val="769F5AE6"/>
    <w:rsid w:val="76A35191"/>
    <w:rsid w:val="76A96C4B"/>
    <w:rsid w:val="76AA651F"/>
    <w:rsid w:val="76AF7FDA"/>
    <w:rsid w:val="76BF646F"/>
    <w:rsid w:val="76C53359"/>
    <w:rsid w:val="76C70E7F"/>
    <w:rsid w:val="76EB7264"/>
    <w:rsid w:val="76FD6F97"/>
    <w:rsid w:val="76FF4ABD"/>
    <w:rsid w:val="77000835"/>
    <w:rsid w:val="770245AD"/>
    <w:rsid w:val="7725204A"/>
    <w:rsid w:val="77316C41"/>
    <w:rsid w:val="77336515"/>
    <w:rsid w:val="77383B2B"/>
    <w:rsid w:val="77392721"/>
    <w:rsid w:val="776C0060"/>
    <w:rsid w:val="77756B2D"/>
    <w:rsid w:val="77762421"/>
    <w:rsid w:val="77770AF7"/>
    <w:rsid w:val="779416A9"/>
    <w:rsid w:val="77972F48"/>
    <w:rsid w:val="77976AA4"/>
    <w:rsid w:val="779E42D6"/>
    <w:rsid w:val="77A45665"/>
    <w:rsid w:val="77A47413"/>
    <w:rsid w:val="77A94A29"/>
    <w:rsid w:val="77B56B1F"/>
    <w:rsid w:val="77BF424C"/>
    <w:rsid w:val="77CB2BF1"/>
    <w:rsid w:val="77CD5E8D"/>
    <w:rsid w:val="77DF452E"/>
    <w:rsid w:val="77E45A61"/>
    <w:rsid w:val="780F09F4"/>
    <w:rsid w:val="78372035"/>
    <w:rsid w:val="784309DA"/>
    <w:rsid w:val="784A620C"/>
    <w:rsid w:val="785E1CB7"/>
    <w:rsid w:val="78801C2E"/>
    <w:rsid w:val="7880578A"/>
    <w:rsid w:val="789B25C4"/>
    <w:rsid w:val="78A90480"/>
    <w:rsid w:val="78B10039"/>
    <w:rsid w:val="78C55892"/>
    <w:rsid w:val="78E71CAD"/>
    <w:rsid w:val="78F817C4"/>
    <w:rsid w:val="79073098"/>
    <w:rsid w:val="790A599B"/>
    <w:rsid w:val="791F1447"/>
    <w:rsid w:val="7924080B"/>
    <w:rsid w:val="792720A9"/>
    <w:rsid w:val="79305402"/>
    <w:rsid w:val="79382508"/>
    <w:rsid w:val="794E5888"/>
    <w:rsid w:val="794F38DC"/>
    <w:rsid w:val="795C61F7"/>
    <w:rsid w:val="796450AB"/>
    <w:rsid w:val="79674B9C"/>
    <w:rsid w:val="796B643A"/>
    <w:rsid w:val="796E5F2A"/>
    <w:rsid w:val="797D616D"/>
    <w:rsid w:val="79960FDD"/>
    <w:rsid w:val="799B65F3"/>
    <w:rsid w:val="79AB6836"/>
    <w:rsid w:val="79AE27CB"/>
    <w:rsid w:val="79B37DE1"/>
    <w:rsid w:val="79E85CDC"/>
    <w:rsid w:val="79F301DD"/>
    <w:rsid w:val="79F503F9"/>
    <w:rsid w:val="79FF66EB"/>
    <w:rsid w:val="7A0128FA"/>
    <w:rsid w:val="7A067F11"/>
    <w:rsid w:val="7A0F14BB"/>
    <w:rsid w:val="7A124B07"/>
    <w:rsid w:val="7A13262E"/>
    <w:rsid w:val="7A1940E8"/>
    <w:rsid w:val="7A333422"/>
    <w:rsid w:val="7A364017"/>
    <w:rsid w:val="7A5944E4"/>
    <w:rsid w:val="7A65732D"/>
    <w:rsid w:val="7A6A0B10"/>
    <w:rsid w:val="7A715CD2"/>
    <w:rsid w:val="7A811C8D"/>
    <w:rsid w:val="7A8265E1"/>
    <w:rsid w:val="7A8D0632"/>
    <w:rsid w:val="7A9D6AC7"/>
    <w:rsid w:val="7AAB3DCB"/>
    <w:rsid w:val="7AB23BF5"/>
    <w:rsid w:val="7ABE07EB"/>
    <w:rsid w:val="7AD65B35"/>
    <w:rsid w:val="7AD718AD"/>
    <w:rsid w:val="7AD95625"/>
    <w:rsid w:val="7AD973D3"/>
    <w:rsid w:val="7ADB314B"/>
    <w:rsid w:val="7AE04785"/>
    <w:rsid w:val="7AE77D42"/>
    <w:rsid w:val="7AF10BC1"/>
    <w:rsid w:val="7AF1296F"/>
    <w:rsid w:val="7B073F40"/>
    <w:rsid w:val="7B07552E"/>
    <w:rsid w:val="7B0F1047"/>
    <w:rsid w:val="7B1E74DC"/>
    <w:rsid w:val="7B2C39A7"/>
    <w:rsid w:val="7B5573A2"/>
    <w:rsid w:val="7B5F5B2A"/>
    <w:rsid w:val="7B656F4A"/>
    <w:rsid w:val="7B686D42"/>
    <w:rsid w:val="7B6C46EB"/>
    <w:rsid w:val="7B7F441F"/>
    <w:rsid w:val="7B803CF3"/>
    <w:rsid w:val="7B841746"/>
    <w:rsid w:val="7B841A35"/>
    <w:rsid w:val="7B8E6410"/>
    <w:rsid w:val="7BBA7205"/>
    <w:rsid w:val="7BC167E5"/>
    <w:rsid w:val="7BD06A28"/>
    <w:rsid w:val="7BDD2EF3"/>
    <w:rsid w:val="7BEB1AB4"/>
    <w:rsid w:val="7BF24BF0"/>
    <w:rsid w:val="7BF45ABD"/>
    <w:rsid w:val="7BFA3AA5"/>
    <w:rsid w:val="7C15268D"/>
    <w:rsid w:val="7C1A7CA3"/>
    <w:rsid w:val="7C2F7BF3"/>
    <w:rsid w:val="7C3945CD"/>
    <w:rsid w:val="7C611D76"/>
    <w:rsid w:val="7C63164A"/>
    <w:rsid w:val="7C6C5AC7"/>
    <w:rsid w:val="7C703D67"/>
    <w:rsid w:val="7C741AA9"/>
    <w:rsid w:val="7C773348"/>
    <w:rsid w:val="7C8D4919"/>
    <w:rsid w:val="7C9E6B26"/>
    <w:rsid w:val="7CB24380"/>
    <w:rsid w:val="7CC0084B"/>
    <w:rsid w:val="7CC6544B"/>
    <w:rsid w:val="7CCA16C9"/>
    <w:rsid w:val="7CCF4F32"/>
    <w:rsid w:val="7CE3278B"/>
    <w:rsid w:val="7CE86C9A"/>
    <w:rsid w:val="7D0239FF"/>
    <w:rsid w:val="7D07647A"/>
    <w:rsid w:val="7D0C0B1D"/>
    <w:rsid w:val="7D1110A6"/>
    <w:rsid w:val="7D11554A"/>
    <w:rsid w:val="7D1943FF"/>
    <w:rsid w:val="7D197F5B"/>
    <w:rsid w:val="7D1C7A4B"/>
    <w:rsid w:val="7D225061"/>
    <w:rsid w:val="7D2C5EE0"/>
    <w:rsid w:val="7D3923AB"/>
    <w:rsid w:val="7D4F6073"/>
    <w:rsid w:val="7D562F5D"/>
    <w:rsid w:val="7D5E40CD"/>
    <w:rsid w:val="7D67516A"/>
    <w:rsid w:val="7D6E474B"/>
    <w:rsid w:val="7D851A94"/>
    <w:rsid w:val="7D8775BA"/>
    <w:rsid w:val="7D8E6B9B"/>
    <w:rsid w:val="7D985324"/>
    <w:rsid w:val="7DC4436B"/>
    <w:rsid w:val="7DCD56F2"/>
    <w:rsid w:val="7DD547CA"/>
    <w:rsid w:val="7DDB3462"/>
    <w:rsid w:val="7DE60785"/>
    <w:rsid w:val="7DF2712A"/>
    <w:rsid w:val="7DF6029C"/>
    <w:rsid w:val="7DFA4230"/>
    <w:rsid w:val="7E01736D"/>
    <w:rsid w:val="7E096221"/>
    <w:rsid w:val="7E1A21DD"/>
    <w:rsid w:val="7E1C7D03"/>
    <w:rsid w:val="7E307C52"/>
    <w:rsid w:val="7E3949FD"/>
    <w:rsid w:val="7E472923"/>
    <w:rsid w:val="7E527BC8"/>
    <w:rsid w:val="7E573431"/>
    <w:rsid w:val="7E633B84"/>
    <w:rsid w:val="7E730F03"/>
    <w:rsid w:val="7E7F64E4"/>
    <w:rsid w:val="7E90249F"/>
    <w:rsid w:val="7E921EFC"/>
    <w:rsid w:val="7E933D3D"/>
    <w:rsid w:val="7EC64112"/>
    <w:rsid w:val="7ED44A81"/>
    <w:rsid w:val="7EDE76AE"/>
    <w:rsid w:val="7F001CE7"/>
    <w:rsid w:val="7F054C3B"/>
    <w:rsid w:val="7F1255AA"/>
    <w:rsid w:val="7F192494"/>
    <w:rsid w:val="7F1C1F84"/>
    <w:rsid w:val="7F1E3F4E"/>
    <w:rsid w:val="7F2C666B"/>
    <w:rsid w:val="7F547970"/>
    <w:rsid w:val="7F577F01"/>
    <w:rsid w:val="7F6A0F42"/>
    <w:rsid w:val="7F6C6A68"/>
    <w:rsid w:val="7F6E0A32"/>
    <w:rsid w:val="7F857B2A"/>
    <w:rsid w:val="7FA97CBC"/>
    <w:rsid w:val="7FAE0E2E"/>
    <w:rsid w:val="7FD840FD"/>
    <w:rsid w:val="7FDA7E75"/>
    <w:rsid w:val="7FE42AA2"/>
    <w:rsid w:val="7FE47E50"/>
    <w:rsid w:val="7FE707E4"/>
    <w:rsid w:val="7FF52F0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qFormat="1" w:unhideWhenUsed="0"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snapToGrid w:val="0"/>
      <w:outlineLvl w:val="1"/>
    </w:pPr>
    <w:rPr>
      <w:sz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4">
    <w:name w:val="annotation text"/>
    <w:basedOn w:val="1"/>
    <w:link w:val="32"/>
    <w:semiHidden/>
    <w:qFormat/>
    <w:uiPriority w:val="0"/>
    <w:pPr>
      <w:jc w:val="left"/>
    </w:pPr>
    <w:rPr>
      <w:kern w:val="0"/>
      <w:sz w:val="24"/>
      <w:szCs w:val="20"/>
    </w:rPr>
  </w:style>
  <w:style w:type="paragraph" w:styleId="5">
    <w:name w:val="Body Text 3"/>
    <w:basedOn w:val="1"/>
    <w:qFormat/>
    <w:locked/>
    <w:uiPriority w:val="0"/>
    <w:pPr>
      <w:widowControl w:val="0"/>
      <w:spacing w:line="360" w:lineRule="auto"/>
    </w:pPr>
    <w:rPr>
      <w:rFonts w:ascii="Times New Roman" w:hAnsi="Times New Roman"/>
      <w:kern w:val="0"/>
      <w:sz w:val="20"/>
      <w:szCs w:val="24"/>
    </w:rPr>
  </w:style>
  <w:style w:type="paragraph" w:styleId="6">
    <w:name w:val="Body Text"/>
    <w:basedOn w:val="1"/>
    <w:link w:val="33"/>
    <w:qFormat/>
    <w:uiPriority w:val="0"/>
    <w:pPr>
      <w:widowControl/>
      <w:snapToGrid w:val="0"/>
      <w:spacing w:before="60" w:after="160" w:line="259" w:lineRule="auto"/>
      <w:ind w:right="113"/>
    </w:pPr>
    <w:rPr>
      <w:kern w:val="0"/>
      <w:sz w:val="18"/>
      <w:szCs w:val="20"/>
    </w:rPr>
  </w:style>
  <w:style w:type="paragraph" w:styleId="7">
    <w:name w:val="Body Text Indent"/>
    <w:basedOn w:val="1"/>
    <w:link w:val="34"/>
    <w:qFormat/>
    <w:uiPriority w:val="0"/>
    <w:pPr>
      <w:spacing w:after="120"/>
      <w:ind w:left="420" w:leftChars="200"/>
    </w:pPr>
    <w:rPr>
      <w:kern w:val="0"/>
      <w:sz w:val="24"/>
      <w:szCs w:val="20"/>
    </w:rPr>
  </w:style>
  <w:style w:type="paragraph" w:styleId="8">
    <w:name w:val="Block Text"/>
    <w:basedOn w:val="1"/>
    <w:next w:val="1"/>
    <w:qFormat/>
    <w:locked/>
    <w:uiPriority w:val="0"/>
    <w:pPr>
      <w:spacing w:line="320" w:lineRule="exact"/>
      <w:ind w:left="113" w:right="113" w:firstLine="480" w:firstLineChars="200"/>
      <w:jc w:val="center"/>
    </w:pPr>
    <w:rPr>
      <w:b/>
      <w:sz w:val="13"/>
      <w:szCs w:val="15"/>
    </w:rPr>
  </w:style>
  <w:style w:type="paragraph" w:styleId="9">
    <w:name w:val="Plain Text"/>
    <w:basedOn w:val="1"/>
    <w:qFormat/>
    <w:locked/>
    <w:uiPriority w:val="0"/>
    <w:rPr>
      <w:rFonts w:hint="eastAsia" w:ascii="宋体" w:hAnsi="Courier New"/>
      <w:sz w:val="28"/>
      <w:szCs w:val="21"/>
    </w:rPr>
  </w:style>
  <w:style w:type="paragraph" w:styleId="10">
    <w:name w:val="List Bullet 5"/>
    <w:basedOn w:val="1"/>
    <w:qFormat/>
    <w:locked/>
    <w:uiPriority w:val="0"/>
    <w:pPr>
      <w:numPr>
        <w:ilvl w:val="0"/>
        <w:numId w:val="1"/>
      </w:numPr>
    </w:pPr>
  </w:style>
  <w:style w:type="paragraph" w:styleId="11">
    <w:name w:val="Date"/>
    <w:basedOn w:val="1"/>
    <w:next w:val="1"/>
    <w:link w:val="35"/>
    <w:qFormat/>
    <w:uiPriority w:val="0"/>
    <w:pPr>
      <w:ind w:left="100" w:leftChars="2500"/>
    </w:pPr>
    <w:rPr>
      <w:kern w:val="0"/>
      <w:sz w:val="24"/>
      <w:szCs w:val="20"/>
    </w:rPr>
  </w:style>
  <w:style w:type="paragraph" w:styleId="12">
    <w:name w:val="Body Text Indent 2"/>
    <w:basedOn w:val="1"/>
    <w:next w:val="13"/>
    <w:qFormat/>
    <w:locked/>
    <w:uiPriority w:val="0"/>
    <w:pPr>
      <w:spacing w:after="120" w:line="480" w:lineRule="auto"/>
      <w:ind w:left="420" w:leftChars="200"/>
    </w:pPr>
  </w:style>
  <w:style w:type="paragraph" w:customStyle="1" w:styleId="13">
    <w:name w:val=" Char"/>
    <w:basedOn w:val="1"/>
    <w:qFormat/>
    <w:uiPriority w:val="0"/>
    <w:rPr>
      <w:rFonts w:ascii="Times New Roman" w:hAnsi="Times New Roman"/>
      <w:szCs w:val="24"/>
    </w:rPr>
  </w:style>
  <w:style w:type="paragraph" w:styleId="14">
    <w:name w:val="Balloon Text"/>
    <w:basedOn w:val="1"/>
    <w:link w:val="36"/>
    <w:semiHidden/>
    <w:qFormat/>
    <w:uiPriority w:val="0"/>
    <w:rPr>
      <w:kern w:val="0"/>
      <w:sz w:val="18"/>
      <w:szCs w:val="20"/>
    </w:rPr>
  </w:style>
  <w:style w:type="paragraph" w:styleId="15">
    <w:name w:val="footer"/>
    <w:basedOn w:val="1"/>
    <w:link w:val="37"/>
    <w:qFormat/>
    <w:uiPriority w:val="99"/>
    <w:pPr>
      <w:tabs>
        <w:tab w:val="center" w:pos="4153"/>
        <w:tab w:val="right" w:pos="8306"/>
      </w:tabs>
      <w:snapToGrid w:val="0"/>
      <w:jc w:val="left"/>
    </w:pPr>
    <w:rPr>
      <w:kern w:val="0"/>
      <w:sz w:val="18"/>
      <w:szCs w:val="20"/>
    </w:rPr>
  </w:style>
  <w:style w:type="paragraph" w:styleId="16">
    <w:name w:val="header"/>
    <w:basedOn w:val="1"/>
    <w:link w:val="38"/>
    <w:qFormat/>
    <w:uiPriority w:val="0"/>
    <w:pPr>
      <w:pBdr>
        <w:bottom w:val="single" w:color="auto" w:sz="6" w:space="1"/>
      </w:pBdr>
      <w:tabs>
        <w:tab w:val="center" w:pos="4153"/>
        <w:tab w:val="right" w:pos="8306"/>
      </w:tabs>
      <w:snapToGrid w:val="0"/>
      <w:jc w:val="center"/>
    </w:pPr>
    <w:rPr>
      <w:kern w:val="0"/>
      <w:sz w:val="18"/>
      <w:szCs w:val="20"/>
    </w:rPr>
  </w:style>
  <w:style w:type="paragraph" w:styleId="17">
    <w:name w:val="toc 1"/>
    <w:basedOn w:val="1"/>
    <w:next w:val="1"/>
    <w:qFormat/>
    <w:locked/>
    <w:uiPriority w:val="0"/>
  </w:style>
  <w:style w:type="paragraph" w:styleId="18">
    <w:name w:val="table of figures"/>
    <w:basedOn w:val="1"/>
    <w:next w:val="1"/>
    <w:qFormat/>
    <w:locked/>
    <w:uiPriority w:val="99"/>
    <w:pPr>
      <w:ind w:left="200" w:leftChars="200" w:hanging="200" w:hangingChars="200"/>
    </w:pPr>
    <w:rPr>
      <w:rFonts w:ascii="Calibri" w:hAnsi="Calibri"/>
      <w:kern w:val="2"/>
      <w:sz w:val="21"/>
      <w:szCs w:val="22"/>
    </w:rPr>
  </w:style>
  <w:style w:type="paragraph" w:styleId="19">
    <w:name w:val="toc 2"/>
    <w:basedOn w:val="1"/>
    <w:next w:val="1"/>
    <w:qFormat/>
    <w:locked/>
    <w:uiPriority w:val="0"/>
    <w:pPr>
      <w:ind w:left="420" w:leftChars="200"/>
    </w:pPr>
  </w:style>
  <w:style w:type="paragraph" w:styleId="20">
    <w:name w:val="Body Text 2"/>
    <w:basedOn w:val="1"/>
    <w:qFormat/>
    <w:locked/>
    <w:uiPriority w:val="0"/>
    <w:pPr>
      <w:spacing w:after="120" w:line="480" w:lineRule="auto"/>
    </w:pPr>
  </w:style>
  <w:style w:type="paragraph" w:styleId="21">
    <w:name w:val="Normal (Web)"/>
    <w:basedOn w:val="1"/>
    <w:link w:val="39"/>
    <w:qFormat/>
    <w:uiPriority w:val="0"/>
    <w:pPr>
      <w:widowControl/>
      <w:spacing w:before="100" w:beforeAutospacing="1" w:after="100" w:afterAutospacing="1"/>
      <w:jc w:val="left"/>
    </w:pPr>
    <w:rPr>
      <w:rFonts w:ascii="宋体" w:hAnsi="宋体"/>
      <w:kern w:val="0"/>
      <w:sz w:val="24"/>
      <w:szCs w:val="20"/>
    </w:rPr>
  </w:style>
  <w:style w:type="paragraph" w:styleId="22">
    <w:name w:val="annotation subject"/>
    <w:basedOn w:val="4"/>
    <w:next w:val="4"/>
    <w:link w:val="40"/>
    <w:semiHidden/>
    <w:qFormat/>
    <w:uiPriority w:val="0"/>
    <w:rPr>
      <w:b/>
      <w:sz w:val="24"/>
      <w:szCs w:val="20"/>
    </w:rPr>
  </w:style>
  <w:style w:type="paragraph" w:styleId="23">
    <w:name w:val="Body Text First Indent"/>
    <w:basedOn w:val="6"/>
    <w:next w:val="1"/>
    <w:qFormat/>
    <w:locked/>
    <w:uiPriority w:val="0"/>
    <w:pPr>
      <w:widowControl w:val="0"/>
      <w:spacing w:after="120"/>
      <w:ind w:firstLine="420"/>
      <w:jc w:val="both"/>
    </w:pPr>
    <w:rPr>
      <w:rFonts w:ascii="Times New Roman"/>
      <w:sz w:val="24"/>
      <w:lang w:val="en-US" w:eastAsia="zh-CN" w:bidi="ar-SA"/>
    </w:rPr>
  </w:style>
  <w:style w:type="paragraph" w:styleId="24">
    <w:name w:val="Body Text First Indent 2"/>
    <w:basedOn w:val="7"/>
    <w:next w:val="1"/>
    <w:qFormat/>
    <w:locked/>
    <w:uiPriority w:val="0"/>
    <w:pPr>
      <w:ind w:firstLine="420" w:firstLineChars="200"/>
    </w:pPr>
    <w:rPr>
      <w:rFonts w:ascii="宋体" w:hAnsi="黑体"/>
    </w:r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22"/>
    <w:rPr>
      <w:b/>
    </w:rPr>
  </w:style>
  <w:style w:type="character" w:styleId="29">
    <w:name w:val="page number"/>
    <w:basedOn w:val="27"/>
    <w:qFormat/>
    <w:locked/>
    <w:uiPriority w:val="0"/>
  </w:style>
  <w:style w:type="character" w:styleId="30">
    <w:name w:val="Hyperlink"/>
    <w:basedOn w:val="27"/>
    <w:qFormat/>
    <w:locked/>
    <w:uiPriority w:val="0"/>
    <w:rPr>
      <w:color w:val="0000FF"/>
      <w:u w:val="single"/>
    </w:rPr>
  </w:style>
  <w:style w:type="character" w:styleId="31">
    <w:name w:val="annotation reference"/>
    <w:semiHidden/>
    <w:qFormat/>
    <w:uiPriority w:val="0"/>
    <w:rPr>
      <w:sz w:val="21"/>
    </w:rPr>
  </w:style>
  <w:style w:type="character" w:customStyle="1" w:styleId="32">
    <w:name w:val="批注文字 Char"/>
    <w:link w:val="4"/>
    <w:qFormat/>
    <w:locked/>
    <w:uiPriority w:val="0"/>
    <w:rPr>
      <w:rFonts w:ascii="Times New Roman" w:hAnsi="Times New Roman" w:eastAsia="宋体"/>
      <w:sz w:val="24"/>
    </w:rPr>
  </w:style>
  <w:style w:type="character" w:customStyle="1" w:styleId="33">
    <w:name w:val="正文文本 Char"/>
    <w:link w:val="6"/>
    <w:qFormat/>
    <w:locked/>
    <w:uiPriority w:val="0"/>
    <w:rPr>
      <w:sz w:val="18"/>
    </w:rPr>
  </w:style>
  <w:style w:type="character" w:customStyle="1" w:styleId="34">
    <w:name w:val="正文文本缩进 Char"/>
    <w:link w:val="7"/>
    <w:semiHidden/>
    <w:qFormat/>
    <w:locked/>
    <w:uiPriority w:val="0"/>
    <w:rPr>
      <w:rFonts w:ascii="Times New Roman" w:hAnsi="Times New Roman" w:eastAsia="宋体"/>
      <w:sz w:val="24"/>
    </w:rPr>
  </w:style>
  <w:style w:type="character" w:customStyle="1" w:styleId="35">
    <w:name w:val="日期 Char"/>
    <w:link w:val="11"/>
    <w:qFormat/>
    <w:locked/>
    <w:uiPriority w:val="0"/>
    <w:rPr>
      <w:rFonts w:ascii="Times New Roman" w:hAnsi="Times New Roman" w:eastAsia="宋体"/>
      <w:sz w:val="24"/>
    </w:rPr>
  </w:style>
  <w:style w:type="character" w:customStyle="1" w:styleId="36">
    <w:name w:val="批注框文本 Char"/>
    <w:link w:val="14"/>
    <w:semiHidden/>
    <w:qFormat/>
    <w:locked/>
    <w:uiPriority w:val="0"/>
    <w:rPr>
      <w:rFonts w:ascii="Times New Roman" w:hAnsi="Times New Roman" w:eastAsia="宋体"/>
      <w:sz w:val="18"/>
    </w:rPr>
  </w:style>
  <w:style w:type="character" w:customStyle="1" w:styleId="37">
    <w:name w:val="页脚 Char"/>
    <w:link w:val="15"/>
    <w:qFormat/>
    <w:locked/>
    <w:uiPriority w:val="99"/>
    <w:rPr>
      <w:sz w:val="18"/>
    </w:rPr>
  </w:style>
  <w:style w:type="character" w:customStyle="1" w:styleId="38">
    <w:name w:val="页眉 Char"/>
    <w:link w:val="16"/>
    <w:qFormat/>
    <w:locked/>
    <w:uiPriority w:val="0"/>
    <w:rPr>
      <w:sz w:val="18"/>
    </w:rPr>
  </w:style>
  <w:style w:type="character" w:customStyle="1" w:styleId="39">
    <w:name w:val="普通(网站) Char"/>
    <w:link w:val="21"/>
    <w:qFormat/>
    <w:locked/>
    <w:uiPriority w:val="0"/>
    <w:rPr>
      <w:rFonts w:ascii="宋体" w:hAnsi="宋体" w:eastAsia="宋体"/>
      <w:sz w:val="24"/>
    </w:rPr>
  </w:style>
  <w:style w:type="character" w:customStyle="1" w:styleId="40">
    <w:name w:val="批注主题 Char"/>
    <w:link w:val="22"/>
    <w:semiHidden/>
    <w:qFormat/>
    <w:locked/>
    <w:uiPriority w:val="0"/>
    <w:rPr>
      <w:rFonts w:ascii="Times New Roman" w:hAnsi="Times New Roman" w:eastAsia="宋体"/>
      <w:b/>
      <w:kern w:val="2"/>
      <w:sz w:val="24"/>
    </w:rPr>
  </w:style>
  <w:style w:type="paragraph" w:customStyle="1" w:styleId="41">
    <w:name w:val="Default"/>
    <w:basedOn w:val="42"/>
    <w:qFormat/>
    <w:uiPriority w:val="0"/>
    <w:pPr>
      <w:widowControl w:val="0"/>
      <w:autoSpaceDE w:val="0"/>
      <w:autoSpaceDN w:val="0"/>
      <w:adjustRightInd w:val="0"/>
    </w:pPr>
    <w:rPr>
      <w:rFonts w:ascii="宋体" w:hAnsi="Times New Roman" w:eastAsia="宋体" w:cs="宋体"/>
      <w:color w:val="000000"/>
      <w:kern w:val="2"/>
      <w:sz w:val="21"/>
      <w:szCs w:val="24"/>
      <w:lang w:val="en-US" w:eastAsia="zh-CN" w:bidi="ar-SA"/>
    </w:rPr>
  </w:style>
  <w:style w:type="paragraph" w:customStyle="1" w:styleId="42">
    <w:name w:val="纯文本1"/>
    <w:basedOn w:val="1"/>
    <w:qFormat/>
    <w:uiPriority w:val="99"/>
    <w:pPr>
      <w:autoSpaceDE w:val="0"/>
      <w:autoSpaceDN w:val="0"/>
      <w:adjustRightInd w:val="0"/>
      <w:textAlignment w:val="baseline"/>
    </w:pPr>
    <w:rPr>
      <w:rFonts w:ascii="宋体"/>
      <w:szCs w:val="20"/>
    </w:rPr>
  </w:style>
  <w:style w:type="character" w:customStyle="1" w:styleId="43">
    <w:name w:val="页脚 字符"/>
    <w:basedOn w:val="27"/>
    <w:qFormat/>
    <w:uiPriority w:val="99"/>
  </w:style>
  <w:style w:type="character" w:customStyle="1" w:styleId="44">
    <w:name w:val="正文文本 字符1"/>
    <w:semiHidden/>
    <w:qFormat/>
    <w:uiPriority w:val="0"/>
    <w:rPr>
      <w:rFonts w:ascii="Times New Roman" w:hAnsi="Times New Roman" w:eastAsia="宋体"/>
      <w:sz w:val="24"/>
    </w:rPr>
  </w:style>
  <w:style w:type="character" w:customStyle="1" w:styleId="45">
    <w:name w:val="表格 Char"/>
    <w:link w:val="46"/>
    <w:qFormat/>
    <w:locked/>
    <w:uiPriority w:val="0"/>
    <w:rPr>
      <w:rFonts w:ascii="宋体"/>
      <w:sz w:val="21"/>
    </w:rPr>
  </w:style>
  <w:style w:type="paragraph" w:customStyle="1" w:styleId="46">
    <w:name w:val="表格"/>
    <w:basedOn w:val="1"/>
    <w:next w:val="1"/>
    <w:link w:val="45"/>
    <w:qFormat/>
    <w:uiPriority w:val="0"/>
    <w:pPr>
      <w:adjustRightInd w:val="0"/>
      <w:snapToGrid w:val="0"/>
      <w:spacing w:beforeLines="10" w:afterLines="10" w:line="259" w:lineRule="auto"/>
      <w:jc w:val="center"/>
    </w:pPr>
    <w:rPr>
      <w:rFonts w:ascii="宋体"/>
      <w:kern w:val="0"/>
      <w:szCs w:val="20"/>
    </w:rPr>
  </w:style>
  <w:style w:type="character" w:customStyle="1" w:styleId="47">
    <w:name w:val="日期 字符"/>
    <w:semiHidden/>
    <w:qFormat/>
    <w:uiPriority w:val="0"/>
    <w:rPr>
      <w:rFonts w:ascii="Times New Roman" w:hAnsi="Times New Roman" w:eastAsia="宋体"/>
      <w:sz w:val="24"/>
    </w:rPr>
  </w:style>
  <w:style w:type="character" w:customStyle="1" w:styleId="48">
    <w:name w:val="批注文字 字符1"/>
    <w:semiHidden/>
    <w:qFormat/>
    <w:uiPriority w:val="0"/>
    <w:rPr>
      <w:rFonts w:ascii="Times New Roman" w:hAnsi="Times New Roman" w:eastAsia="宋体"/>
      <w:sz w:val="24"/>
    </w:rPr>
  </w:style>
  <w:style w:type="paragraph" w:customStyle="1" w:styleId="4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1">
    <w:name w:val="图表标题"/>
    <w:basedOn w:val="12"/>
    <w:qFormat/>
    <w:uiPriority w:val="0"/>
    <w:pPr>
      <w:spacing w:beforeLines="50" w:after="0" w:line="240" w:lineRule="auto"/>
      <w:ind w:left="0" w:leftChars="0" w:firstLine="200" w:firstLineChars="200"/>
      <w:jc w:val="center"/>
    </w:pPr>
    <w:rPr>
      <w:rFonts w:ascii="宋体" w:hAnsi="宋体" w:eastAsia="黑体"/>
      <w:kern w:val="0"/>
      <w:sz w:val="24"/>
      <w:szCs w:val="22"/>
    </w:rPr>
  </w:style>
  <w:style w:type="paragraph" w:customStyle="1" w:styleId="52">
    <w:name w:val="（新格式）表格"/>
    <w:basedOn w:val="53"/>
    <w:qFormat/>
    <w:uiPriority w:val="0"/>
    <w:pPr>
      <w:topLinePunct/>
    </w:pPr>
    <w:rPr>
      <w:rFonts w:hint="eastAsia" w:ascii="Times New Roman" w:hAnsi="Times New Roman"/>
      <w:sz w:val="21"/>
    </w:rPr>
  </w:style>
  <w:style w:type="paragraph" w:customStyle="1" w:styleId="53">
    <w:name w:val="表格（方）"/>
    <w:qFormat/>
    <w:uiPriority w:val="0"/>
    <w:pPr>
      <w:spacing w:before="20" w:beforeLines="20" w:after="20" w:afterLines="20"/>
      <w:jc w:val="center"/>
    </w:pPr>
    <w:rPr>
      <w:rFonts w:ascii="Times New Roman" w:hAnsi="Times New Roman" w:eastAsia="宋体" w:cs="Times New Roman"/>
      <w:snapToGrid w:val="0"/>
      <w:sz w:val="21"/>
      <w:lang w:val="en-US" w:eastAsia="zh-CN" w:bidi="ar-SA"/>
    </w:rPr>
  </w:style>
  <w:style w:type="paragraph" w:customStyle="1" w:styleId="54">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5">
    <w:name w:val="列出段落2"/>
    <w:basedOn w:val="1"/>
    <w:qFormat/>
    <w:uiPriority w:val="99"/>
    <w:pPr>
      <w:ind w:firstLine="420" w:firstLineChars="200"/>
    </w:pPr>
    <w:rPr>
      <w:rFonts w:ascii="Calibri" w:hAnsi="Calibri"/>
      <w:szCs w:val="22"/>
    </w:rPr>
  </w:style>
  <w:style w:type="paragraph" w:customStyle="1" w:styleId="56">
    <w:name w:val="1_正文"/>
    <w:basedOn w:val="1"/>
    <w:qFormat/>
    <w:uiPriority w:val="0"/>
    <w:pPr>
      <w:adjustRightInd w:val="0"/>
      <w:snapToGrid w:val="0"/>
      <w:spacing w:line="360" w:lineRule="auto"/>
      <w:ind w:firstLine="480" w:firstLineChars="200"/>
    </w:pPr>
    <w:rPr>
      <w:color w:val="000000"/>
      <w:sz w:val="24"/>
    </w:rPr>
  </w:style>
  <w:style w:type="paragraph" w:customStyle="1" w:styleId="57">
    <w:name w:val="表格文字"/>
    <w:basedOn w:val="9"/>
    <w:qFormat/>
    <w:uiPriority w:val="0"/>
    <w:pPr>
      <w:spacing w:line="560" w:lineRule="exact"/>
      <w:jc w:val="center"/>
    </w:pPr>
  </w:style>
  <w:style w:type="paragraph" w:customStyle="1" w:styleId="58">
    <w:name w:val="萝卜"/>
    <w:basedOn w:val="1"/>
    <w:qFormat/>
    <w:uiPriority w:val="0"/>
    <w:pPr>
      <w:tabs>
        <w:tab w:val="left" w:pos="540"/>
      </w:tabs>
      <w:spacing w:line="360" w:lineRule="auto"/>
      <w:ind w:firstLine="200" w:firstLineChars="200"/>
    </w:pPr>
    <w:rPr>
      <w:sz w:val="24"/>
    </w:rPr>
  </w:style>
  <w:style w:type="paragraph" w:styleId="59">
    <w:name w:val="No Spacing"/>
    <w:qFormat/>
    <w:uiPriority w:val="1"/>
    <w:pPr>
      <w:widowControl w:val="0"/>
      <w:adjustRightInd w:val="0"/>
      <w:snapToGrid w:val="0"/>
      <w:jc w:val="center"/>
    </w:pPr>
    <w:rPr>
      <w:rFonts w:ascii="Times New Roman" w:hAnsi="Times New Roman" w:eastAsia="宋体" w:cs="Times New Roman"/>
      <w:kern w:val="2"/>
      <w:sz w:val="21"/>
      <w:szCs w:val="22"/>
      <w:lang w:val="en-US" w:eastAsia="zh-CN" w:bidi="ar-SA"/>
    </w:rPr>
  </w:style>
  <w:style w:type="paragraph" w:customStyle="1" w:styleId="60">
    <w:name w:val="正文缩进1"/>
    <w:next w:val="1"/>
    <w:qFormat/>
    <w:uiPriority w:val="0"/>
    <w:pPr>
      <w:widowControl w:val="0"/>
      <w:ind w:firstLine="200" w:firstLineChars="200"/>
      <w:jc w:val="both"/>
    </w:pPr>
    <w:rPr>
      <w:rFonts w:ascii="Times New Roman" w:hAnsi="Times New Roman" w:eastAsia="宋体" w:cs="Times New Roman"/>
      <w:kern w:val="2"/>
      <w:sz w:val="36"/>
      <w:szCs w:val="24"/>
      <w:lang w:val="en-US" w:eastAsia="zh-CN" w:bidi="ar-SA"/>
    </w:rPr>
  </w:style>
  <w:style w:type="paragraph" w:customStyle="1" w:styleId="61">
    <w:name w:val="Table Text"/>
    <w:basedOn w:val="1"/>
    <w:semiHidden/>
    <w:qFormat/>
    <w:uiPriority w:val="0"/>
    <w:rPr>
      <w:rFonts w:ascii="宋体" w:hAnsi="宋体" w:eastAsia="宋体" w:cs="宋体"/>
      <w:sz w:val="24"/>
      <w:szCs w:val="24"/>
      <w:lang w:val="en-US" w:eastAsia="en-US" w:bidi="ar-SA"/>
    </w:rPr>
  </w:style>
  <w:style w:type="table" w:customStyle="1" w:styleId="62">
    <w:name w:val="Table Normal"/>
    <w:unhideWhenUsed/>
    <w:qFormat/>
    <w:uiPriority w:val="0"/>
    <w:tblPr>
      <w:tblCellMar>
        <w:top w:w="0" w:type="dxa"/>
        <w:left w:w="0" w:type="dxa"/>
        <w:bottom w:w="0" w:type="dxa"/>
        <w:right w:w="0" w:type="dxa"/>
      </w:tblCellMar>
    </w:tblPr>
  </w:style>
  <w:style w:type="character" w:customStyle="1" w:styleId="63">
    <w:name w:val="font21"/>
    <w:basedOn w:val="27"/>
    <w:qFormat/>
    <w:uiPriority w:val="0"/>
    <w:rPr>
      <w:rFonts w:hint="eastAsia" w:ascii="宋体" w:hAnsi="宋体" w:eastAsia="宋体" w:cs="宋体"/>
      <w:color w:val="000000"/>
      <w:sz w:val="21"/>
      <w:szCs w:val="21"/>
      <w:u w:val="none"/>
    </w:rPr>
  </w:style>
  <w:style w:type="character" w:customStyle="1" w:styleId="64">
    <w:name w:val="font11"/>
    <w:basedOn w:val="27"/>
    <w:qFormat/>
    <w:uiPriority w:val="0"/>
    <w:rPr>
      <w:rFonts w:hint="default" w:ascii="Times New Roman" w:hAnsi="Times New Roman" w:cs="Times New Roman"/>
      <w:color w:val="000000"/>
      <w:sz w:val="21"/>
      <w:szCs w:val="21"/>
      <w:u w:val="none"/>
    </w:rPr>
  </w:style>
  <w:style w:type="character" w:customStyle="1" w:styleId="65">
    <w:name w:val="font31"/>
    <w:basedOn w:val="27"/>
    <w:qFormat/>
    <w:uiPriority w:val="0"/>
    <w:rPr>
      <w:rFonts w:hint="default" w:ascii="Times New Roman" w:hAnsi="Times New Roman" w:cs="Times New Roman"/>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wmf"/><Relationship Id="rId12" Type="http://schemas.openxmlformats.org/officeDocument/2006/relationships/oleObject" Target="embeddings/oleObject1.bin"/><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68</Pages>
  <Words>14524</Words>
  <Characters>15268</Characters>
  <Lines>13</Lines>
  <Paragraphs>3</Paragraphs>
  <TotalTime>49</TotalTime>
  <ScaleCrop>false</ScaleCrop>
  <LinksUpToDate>false</LinksUpToDate>
  <CharactersWithSpaces>15338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庞文渊</cp:lastModifiedBy>
  <cp:lastPrinted>2025-06-04T01:59:00Z</cp:lastPrinted>
  <dcterms:modified xsi:type="dcterms:W3CDTF">2025-09-02T03:18:47Z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E69F0A08E1E14FF5A69B7BDAF396DA9C_13</vt:lpwstr>
  </property>
  <property fmtid="{D5CDD505-2E9C-101B-9397-08002B2CF9AE}" pid="4" name="KSOTemplateDocerSaveRecord">
    <vt:lpwstr>eyJoZGlkIjoiNTVlOTVlMmU4YzZjYjI4MGYxOTM1ZDg3YTRmNGZiZDAiLCJ1c2VySWQiOiI0NDMxMTg1MzgifQ==</vt:lpwstr>
  </property>
</Properties>
</file>